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6BA" w:rsidRPr="00C241B5" w:rsidRDefault="00D876BA" w:rsidP="00D876BA">
      <w:pPr>
        <w:spacing w:before="0" w:after="0"/>
        <w:jc w:val="center"/>
        <w:rPr>
          <w:b/>
          <w:lang w:val="en-GB"/>
        </w:rPr>
      </w:pPr>
      <w:bookmarkStart w:id="0" w:name="_GoBack"/>
      <w:bookmarkEnd w:id="0"/>
      <w:r w:rsidRPr="00C241B5">
        <w:rPr>
          <w:b/>
          <w:lang w:val="en-GB"/>
        </w:rPr>
        <w:t>Project Description</w:t>
      </w:r>
    </w:p>
    <w:tbl>
      <w:tblPr>
        <w:tblW w:w="8954" w:type="dxa"/>
        <w:tblInd w:w="487" w:type="dxa"/>
        <w:tblLayout w:type="fixed"/>
        <w:tblCellMar>
          <w:left w:w="71" w:type="dxa"/>
          <w:right w:w="71" w:type="dxa"/>
        </w:tblCellMar>
        <w:tblLook w:val="0000" w:firstRow="0" w:lastRow="0" w:firstColumn="0" w:lastColumn="0" w:noHBand="0" w:noVBand="0"/>
      </w:tblPr>
      <w:tblGrid>
        <w:gridCol w:w="433"/>
        <w:gridCol w:w="2837"/>
        <w:gridCol w:w="2288"/>
        <w:gridCol w:w="3039"/>
        <w:gridCol w:w="357"/>
      </w:tblGrid>
      <w:tr w:rsidR="00D876BA" w:rsidRPr="000E663E" w:rsidTr="004C20BA">
        <w:trPr>
          <w:trHeight w:val="266"/>
        </w:trPr>
        <w:tc>
          <w:tcPr>
            <w:tcW w:w="433" w:type="dxa"/>
          </w:tcPr>
          <w:p w:rsidR="00D876BA" w:rsidRPr="00D53135" w:rsidRDefault="00D876BA" w:rsidP="004C20BA">
            <w:pPr>
              <w:spacing w:before="0" w:after="0"/>
              <w:rPr>
                <w:rFonts w:eastAsia="Times New Roman" w:cs="Times New Roman"/>
                <w:b/>
                <w:sz w:val="20"/>
                <w:szCs w:val="20"/>
                <w:lang w:val="en-GB"/>
              </w:rPr>
            </w:pPr>
          </w:p>
        </w:tc>
        <w:tc>
          <w:tcPr>
            <w:tcW w:w="2837" w:type="dxa"/>
          </w:tcPr>
          <w:p w:rsidR="00D876BA" w:rsidRPr="00D53135" w:rsidRDefault="00D876BA" w:rsidP="004C20BA">
            <w:pPr>
              <w:spacing w:before="0" w:after="0"/>
              <w:rPr>
                <w:rFonts w:eastAsia="Times New Roman" w:cs="Times New Roman"/>
                <w:b/>
                <w:sz w:val="20"/>
                <w:szCs w:val="20"/>
                <w:lang w:val="en-GB"/>
              </w:rPr>
            </w:pPr>
          </w:p>
        </w:tc>
        <w:tc>
          <w:tcPr>
            <w:tcW w:w="2288" w:type="dxa"/>
          </w:tcPr>
          <w:p w:rsidR="00D876BA" w:rsidRPr="00D53135" w:rsidRDefault="00D876BA" w:rsidP="004C20BA">
            <w:pPr>
              <w:spacing w:before="0" w:after="0"/>
              <w:rPr>
                <w:rFonts w:eastAsia="Times New Roman" w:cs="Times New Roman"/>
                <w:i/>
                <w:sz w:val="20"/>
                <w:szCs w:val="20"/>
                <w:lang w:val="en-GB"/>
              </w:rPr>
            </w:pPr>
          </w:p>
        </w:tc>
        <w:tc>
          <w:tcPr>
            <w:tcW w:w="3396" w:type="dxa"/>
            <w:gridSpan w:val="2"/>
          </w:tcPr>
          <w:p w:rsidR="00D876BA" w:rsidRPr="00D53135" w:rsidRDefault="00D876BA" w:rsidP="004C20BA">
            <w:pPr>
              <w:spacing w:before="0" w:after="0"/>
              <w:rPr>
                <w:rFonts w:eastAsia="Times New Roman" w:cs="Times New Roman"/>
                <w:sz w:val="20"/>
                <w:szCs w:val="20"/>
                <w:lang w:val="en-GB"/>
              </w:rPr>
            </w:pPr>
          </w:p>
        </w:tc>
      </w:tr>
      <w:tr w:rsidR="00D876BA" w:rsidRPr="00FE5E99" w:rsidTr="004C20BA">
        <w:trPr>
          <w:gridAfter w:val="1"/>
          <w:wAfter w:w="357" w:type="dxa"/>
          <w:trHeight w:val="306"/>
        </w:trPr>
        <w:tc>
          <w:tcPr>
            <w:tcW w:w="433" w:type="dxa"/>
          </w:tcPr>
          <w:p w:rsidR="00D876BA" w:rsidRPr="00D53135" w:rsidRDefault="00D876BA" w:rsidP="004C20BA">
            <w:pPr>
              <w:spacing w:before="0" w:after="0"/>
              <w:rPr>
                <w:rFonts w:eastAsia="Times New Roman" w:cs="Times New Roman"/>
                <w:b/>
                <w:sz w:val="20"/>
                <w:szCs w:val="20"/>
                <w:lang w:val="en-GB"/>
              </w:rPr>
            </w:pPr>
            <w:r>
              <w:rPr>
                <w:rFonts w:eastAsia="Times New Roman" w:cs="Times New Roman"/>
                <w:b/>
                <w:sz w:val="20"/>
                <w:szCs w:val="20"/>
                <w:lang w:val="en-GB"/>
              </w:rPr>
              <w:t>I</w:t>
            </w:r>
            <w:r w:rsidRPr="00D53135">
              <w:rPr>
                <w:rFonts w:eastAsia="Times New Roman" w:cs="Times New Roman"/>
                <w:b/>
                <w:sz w:val="20"/>
                <w:szCs w:val="20"/>
                <w:lang w:val="en-GB"/>
              </w:rPr>
              <w:t>.</w:t>
            </w:r>
          </w:p>
        </w:tc>
        <w:tc>
          <w:tcPr>
            <w:tcW w:w="2837" w:type="dxa"/>
            <w:tcBorders>
              <w:top w:val="single" w:sz="12" w:space="0" w:color="auto"/>
              <w:left w:val="single" w:sz="12" w:space="0" w:color="auto"/>
              <w:bottom w:val="single" w:sz="6" w:space="0" w:color="auto"/>
              <w:right w:val="single" w:sz="6" w:space="0" w:color="auto"/>
            </w:tcBorders>
            <w:shd w:val="pct5" w:color="auto" w:fill="auto"/>
          </w:tcPr>
          <w:p w:rsidR="00D876BA" w:rsidRPr="00D53135" w:rsidRDefault="00D876BA" w:rsidP="004C20BA">
            <w:pPr>
              <w:spacing w:before="0" w:after="0"/>
              <w:rPr>
                <w:rFonts w:eastAsia="Times New Roman" w:cs="Times New Roman"/>
                <w:b/>
                <w:sz w:val="20"/>
                <w:szCs w:val="20"/>
                <w:lang w:val="en-GB"/>
              </w:rPr>
            </w:pPr>
            <w:r w:rsidRPr="00D53135">
              <w:rPr>
                <w:rFonts w:eastAsia="Times New Roman" w:cs="Times New Roman"/>
                <w:b/>
                <w:sz w:val="20"/>
                <w:szCs w:val="20"/>
                <w:lang w:val="en-GB"/>
              </w:rPr>
              <w:t>Sector(s) of action</w:t>
            </w:r>
          </w:p>
        </w:tc>
        <w:tc>
          <w:tcPr>
            <w:tcW w:w="5327" w:type="dxa"/>
            <w:gridSpan w:val="2"/>
            <w:tcBorders>
              <w:top w:val="single" w:sz="12" w:space="0" w:color="auto"/>
              <w:left w:val="single" w:sz="6" w:space="0" w:color="auto"/>
              <w:bottom w:val="single" w:sz="6" w:space="0" w:color="auto"/>
              <w:right w:val="single" w:sz="12" w:space="0" w:color="auto"/>
            </w:tcBorders>
            <w:shd w:val="pct5" w:color="auto" w:fill="auto"/>
          </w:tcPr>
          <w:p w:rsidR="00D876BA" w:rsidRPr="000E663E" w:rsidRDefault="00D876BA" w:rsidP="004C20BA">
            <w:pPr>
              <w:spacing w:before="0" w:after="0"/>
              <w:rPr>
                <w:sz w:val="20"/>
                <w:szCs w:val="20"/>
                <w:lang w:val="en-US"/>
              </w:rPr>
            </w:pPr>
            <w:r w:rsidRPr="000E663E">
              <w:rPr>
                <w:sz w:val="20"/>
                <w:szCs w:val="20"/>
                <w:lang w:val="en-US"/>
              </w:rPr>
              <w:t>The Project will encompass the following sectors of action:</w:t>
            </w:r>
          </w:p>
          <w:p w:rsidR="00D876BA" w:rsidRPr="00A66B7C" w:rsidRDefault="00D876BA" w:rsidP="00D876BA">
            <w:pPr>
              <w:numPr>
                <w:ilvl w:val="0"/>
                <w:numId w:val="2"/>
              </w:numPr>
              <w:spacing w:before="0" w:after="0"/>
              <w:rPr>
                <w:rFonts w:cs="Arial"/>
                <w:sz w:val="20"/>
                <w:szCs w:val="20"/>
                <w:lang w:val="en-US"/>
              </w:rPr>
            </w:pPr>
            <w:r w:rsidRPr="00A66B7C">
              <w:rPr>
                <w:rFonts w:cs="Arial"/>
                <w:sz w:val="20"/>
                <w:szCs w:val="20"/>
                <w:lang w:val="en-US"/>
              </w:rPr>
              <w:t>Component A: Supporting MSMEs for the creation and preservation of viable jobs</w:t>
            </w:r>
          </w:p>
          <w:p w:rsidR="00D876BA" w:rsidRPr="00D53135" w:rsidRDefault="00D876BA" w:rsidP="00D876BA">
            <w:pPr>
              <w:numPr>
                <w:ilvl w:val="0"/>
                <w:numId w:val="2"/>
              </w:numPr>
              <w:spacing w:before="0" w:after="0"/>
              <w:rPr>
                <w:sz w:val="20"/>
                <w:szCs w:val="20"/>
                <w:lang w:val="en-GB"/>
              </w:rPr>
            </w:pPr>
            <w:r w:rsidRPr="00A66B7C">
              <w:rPr>
                <w:rFonts w:cs="Arial"/>
                <w:sz w:val="20"/>
                <w:szCs w:val="20"/>
                <w:lang w:val="en-US"/>
              </w:rPr>
              <w:t>Component B: Improving living conditions in urban and rural areas</w:t>
            </w:r>
            <w:r>
              <w:rPr>
                <w:sz w:val="20"/>
                <w:szCs w:val="20"/>
                <w:lang w:val="en-GB"/>
              </w:rPr>
              <w:t xml:space="preserve"> </w:t>
            </w:r>
          </w:p>
        </w:tc>
      </w:tr>
      <w:tr w:rsidR="00D876BA" w:rsidRPr="00FE5E99" w:rsidTr="004C20BA">
        <w:trPr>
          <w:gridAfter w:val="1"/>
          <w:wAfter w:w="357" w:type="dxa"/>
          <w:trHeight w:val="306"/>
        </w:trPr>
        <w:tc>
          <w:tcPr>
            <w:tcW w:w="433" w:type="dxa"/>
          </w:tcPr>
          <w:p w:rsidR="00D876BA" w:rsidRPr="00D53135" w:rsidRDefault="00D876BA" w:rsidP="004C20BA">
            <w:pPr>
              <w:spacing w:before="0" w:after="0"/>
              <w:rPr>
                <w:rFonts w:eastAsia="Times New Roman" w:cs="Times New Roman"/>
                <w:b/>
                <w:sz w:val="20"/>
                <w:szCs w:val="20"/>
                <w:lang w:val="en-GB"/>
              </w:rPr>
            </w:pPr>
          </w:p>
        </w:tc>
        <w:tc>
          <w:tcPr>
            <w:tcW w:w="2837" w:type="dxa"/>
            <w:tcBorders>
              <w:top w:val="single" w:sz="12" w:space="0" w:color="auto"/>
              <w:left w:val="single" w:sz="12" w:space="0" w:color="auto"/>
              <w:bottom w:val="single" w:sz="6" w:space="0" w:color="auto"/>
              <w:right w:val="single" w:sz="6" w:space="0" w:color="auto"/>
            </w:tcBorders>
            <w:shd w:val="pct5" w:color="auto" w:fill="auto"/>
          </w:tcPr>
          <w:p w:rsidR="00D876BA" w:rsidRPr="00D53135" w:rsidRDefault="00D876BA" w:rsidP="004C20BA">
            <w:pPr>
              <w:spacing w:before="0" w:after="0"/>
              <w:rPr>
                <w:rFonts w:eastAsia="Times New Roman" w:cs="Times New Roman"/>
                <w:b/>
                <w:sz w:val="20"/>
                <w:szCs w:val="20"/>
                <w:lang w:val="en-GB"/>
              </w:rPr>
            </w:pPr>
            <w:r w:rsidRPr="00D53135">
              <w:rPr>
                <w:rFonts w:eastAsia="Times New Roman" w:cs="Times New Roman"/>
                <w:b/>
                <w:sz w:val="20"/>
                <w:szCs w:val="20"/>
                <w:lang w:val="en-GB"/>
              </w:rPr>
              <w:t>Final Borrowers/</w:t>
            </w:r>
          </w:p>
          <w:p w:rsidR="00D876BA" w:rsidRPr="00D53135" w:rsidRDefault="00D876BA" w:rsidP="004C20BA">
            <w:pPr>
              <w:spacing w:before="0" w:after="0"/>
              <w:rPr>
                <w:rFonts w:eastAsia="Times New Roman" w:cs="Times New Roman"/>
                <w:b/>
                <w:sz w:val="20"/>
                <w:szCs w:val="20"/>
                <w:lang w:val="en-GB"/>
              </w:rPr>
            </w:pPr>
            <w:r w:rsidRPr="00D53135">
              <w:rPr>
                <w:rFonts w:eastAsia="Times New Roman" w:cs="Times New Roman"/>
                <w:b/>
                <w:sz w:val="20"/>
                <w:szCs w:val="20"/>
                <w:lang w:val="en-GB"/>
              </w:rPr>
              <w:t>Final Beneficiaries</w:t>
            </w:r>
          </w:p>
        </w:tc>
        <w:tc>
          <w:tcPr>
            <w:tcW w:w="5327" w:type="dxa"/>
            <w:gridSpan w:val="2"/>
            <w:tcBorders>
              <w:top w:val="single" w:sz="12" w:space="0" w:color="auto"/>
              <w:left w:val="single" w:sz="6" w:space="0" w:color="auto"/>
              <w:bottom w:val="single" w:sz="6" w:space="0" w:color="auto"/>
              <w:right w:val="single" w:sz="12" w:space="0" w:color="auto"/>
            </w:tcBorders>
            <w:shd w:val="pct5" w:color="auto" w:fill="auto"/>
          </w:tcPr>
          <w:p w:rsidR="00D876BA" w:rsidRPr="000E663E" w:rsidRDefault="00D876BA" w:rsidP="00D876BA">
            <w:pPr>
              <w:numPr>
                <w:ilvl w:val="0"/>
                <w:numId w:val="1"/>
              </w:numPr>
              <w:spacing w:before="0" w:after="0"/>
              <w:rPr>
                <w:rFonts w:eastAsia="Times New Roman" w:cs="Times New Roman"/>
                <w:sz w:val="20"/>
                <w:szCs w:val="20"/>
                <w:lang w:val="en-US"/>
              </w:rPr>
            </w:pPr>
            <w:r w:rsidRPr="000E663E">
              <w:rPr>
                <w:rFonts w:cs="Arial"/>
                <w:sz w:val="20"/>
                <w:szCs w:val="20"/>
                <w:lang w:val="en-US"/>
              </w:rPr>
              <w:t>Local and regional authorities and/or other related public sector entities;</w:t>
            </w:r>
          </w:p>
          <w:p w:rsidR="00D876BA" w:rsidRPr="00B606EB" w:rsidRDefault="00D876BA" w:rsidP="00D876BA">
            <w:pPr>
              <w:numPr>
                <w:ilvl w:val="0"/>
                <w:numId w:val="1"/>
              </w:numPr>
              <w:spacing w:before="0" w:after="0"/>
              <w:rPr>
                <w:rFonts w:eastAsia="Times New Roman" w:cs="Times New Roman"/>
                <w:sz w:val="20"/>
                <w:szCs w:val="20"/>
                <w:lang w:val="en-US"/>
              </w:rPr>
            </w:pPr>
            <w:r w:rsidRPr="000E663E">
              <w:rPr>
                <w:rFonts w:cs="Arial"/>
                <w:sz w:val="20"/>
                <w:szCs w:val="20"/>
                <w:lang w:val="en-US"/>
              </w:rPr>
              <w:t>Micro, small and medium-sized enterprises (MSMEs).</w:t>
            </w:r>
          </w:p>
        </w:tc>
      </w:tr>
      <w:tr w:rsidR="00D876BA" w:rsidRPr="000E663E" w:rsidTr="004C20BA">
        <w:trPr>
          <w:gridAfter w:val="1"/>
          <w:wAfter w:w="357" w:type="dxa"/>
          <w:trHeight w:val="266"/>
        </w:trPr>
        <w:tc>
          <w:tcPr>
            <w:tcW w:w="433" w:type="dxa"/>
          </w:tcPr>
          <w:p w:rsidR="00D876BA" w:rsidRPr="00972B5B" w:rsidRDefault="00D876BA" w:rsidP="004C20BA">
            <w:pPr>
              <w:spacing w:before="0" w:after="0"/>
              <w:rPr>
                <w:rFonts w:eastAsia="Times New Roman" w:cs="Times New Roman"/>
                <w:b/>
                <w:sz w:val="20"/>
                <w:szCs w:val="20"/>
                <w:lang w:val="en-GB"/>
              </w:rPr>
            </w:pPr>
          </w:p>
        </w:tc>
        <w:tc>
          <w:tcPr>
            <w:tcW w:w="2837" w:type="dxa"/>
            <w:tcBorders>
              <w:top w:val="single" w:sz="6" w:space="0" w:color="auto"/>
              <w:left w:val="single" w:sz="12" w:space="0" w:color="auto"/>
              <w:bottom w:val="single" w:sz="6" w:space="0" w:color="auto"/>
              <w:right w:val="single" w:sz="6" w:space="0" w:color="auto"/>
            </w:tcBorders>
            <w:shd w:val="pct5" w:color="auto" w:fill="auto"/>
          </w:tcPr>
          <w:p w:rsidR="00D876BA" w:rsidRPr="00972B5B" w:rsidRDefault="00D876BA" w:rsidP="004C20BA">
            <w:pPr>
              <w:spacing w:before="0" w:after="0"/>
              <w:rPr>
                <w:rFonts w:eastAsia="Times New Roman" w:cs="Times New Roman"/>
                <w:b/>
                <w:sz w:val="20"/>
                <w:szCs w:val="20"/>
                <w:lang w:val="en-GB"/>
              </w:rPr>
            </w:pPr>
            <w:r w:rsidRPr="00972B5B">
              <w:rPr>
                <w:rFonts w:eastAsia="Times New Roman" w:cs="Times New Roman"/>
                <w:b/>
                <w:sz w:val="20"/>
                <w:szCs w:val="20"/>
                <w:lang w:val="en-GB"/>
              </w:rPr>
              <w:t>Location</w:t>
            </w:r>
          </w:p>
        </w:tc>
        <w:tc>
          <w:tcPr>
            <w:tcW w:w="5327" w:type="dxa"/>
            <w:gridSpan w:val="2"/>
            <w:tcBorders>
              <w:top w:val="single" w:sz="6" w:space="0" w:color="auto"/>
              <w:left w:val="single" w:sz="6" w:space="0" w:color="auto"/>
              <w:bottom w:val="single" w:sz="6" w:space="0" w:color="auto"/>
              <w:right w:val="single" w:sz="12" w:space="0" w:color="auto"/>
            </w:tcBorders>
            <w:shd w:val="pct5" w:color="auto" w:fill="auto"/>
          </w:tcPr>
          <w:p w:rsidR="00D876BA" w:rsidRPr="00972B5B" w:rsidRDefault="00D876BA" w:rsidP="004C20BA">
            <w:pPr>
              <w:spacing w:before="0" w:after="0"/>
              <w:rPr>
                <w:rFonts w:eastAsia="Times New Roman" w:cs="Times New Roman"/>
                <w:sz w:val="20"/>
                <w:szCs w:val="20"/>
                <w:lang w:val="en-GB"/>
              </w:rPr>
            </w:pPr>
            <w:r w:rsidRPr="00972B5B">
              <w:rPr>
                <w:rFonts w:eastAsia="Times New Roman" w:cs="Times New Roman"/>
                <w:sz w:val="20"/>
                <w:szCs w:val="20"/>
                <w:lang w:val="en-GB"/>
              </w:rPr>
              <w:t>Throughout Croatia</w:t>
            </w:r>
          </w:p>
        </w:tc>
      </w:tr>
      <w:tr w:rsidR="00D876BA" w:rsidRPr="000E663E" w:rsidTr="004C20BA">
        <w:trPr>
          <w:trHeight w:val="51"/>
        </w:trPr>
        <w:tc>
          <w:tcPr>
            <w:tcW w:w="433" w:type="dxa"/>
          </w:tcPr>
          <w:p w:rsidR="00D876BA" w:rsidRPr="00972B5B" w:rsidRDefault="00D876BA" w:rsidP="004C20BA">
            <w:pPr>
              <w:spacing w:before="0" w:after="0"/>
              <w:rPr>
                <w:rFonts w:eastAsia="Times New Roman" w:cs="Times New Roman"/>
                <w:b/>
                <w:sz w:val="20"/>
                <w:szCs w:val="20"/>
                <w:lang w:val="en-GB"/>
              </w:rPr>
            </w:pPr>
          </w:p>
        </w:tc>
        <w:tc>
          <w:tcPr>
            <w:tcW w:w="2837" w:type="dxa"/>
          </w:tcPr>
          <w:p w:rsidR="00D876BA" w:rsidRPr="00972B5B" w:rsidRDefault="00D876BA" w:rsidP="004C20BA">
            <w:pPr>
              <w:spacing w:before="0" w:after="0"/>
              <w:rPr>
                <w:rFonts w:eastAsia="Times New Roman" w:cs="Times New Roman"/>
                <w:b/>
                <w:sz w:val="20"/>
                <w:szCs w:val="20"/>
                <w:lang w:val="en-GB"/>
              </w:rPr>
            </w:pPr>
          </w:p>
        </w:tc>
        <w:tc>
          <w:tcPr>
            <w:tcW w:w="2288" w:type="dxa"/>
          </w:tcPr>
          <w:p w:rsidR="00D876BA" w:rsidRPr="00972B5B" w:rsidRDefault="00D876BA" w:rsidP="004C20BA">
            <w:pPr>
              <w:spacing w:before="0" w:after="0"/>
              <w:rPr>
                <w:rFonts w:eastAsia="Times New Roman" w:cs="Times New Roman"/>
                <w:i/>
                <w:sz w:val="20"/>
                <w:szCs w:val="20"/>
                <w:lang w:val="en-GB"/>
              </w:rPr>
            </w:pPr>
          </w:p>
        </w:tc>
        <w:tc>
          <w:tcPr>
            <w:tcW w:w="3396" w:type="dxa"/>
            <w:gridSpan w:val="2"/>
          </w:tcPr>
          <w:p w:rsidR="00D876BA" w:rsidRPr="00972B5B" w:rsidRDefault="00D876BA" w:rsidP="004C20BA">
            <w:pPr>
              <w:spacing w:before="0" w:after="0"/>
              <w:rPr>
                <w:rFonts w:eastAsia="Times New Roman" w:cs="Times New Roman"/>
                <w:sz w:val="20"/>
                <w:szCs w:val="20"/>
                <w:lang w:val="en-GB"/>
              </w:rPr>
            </w:pPr>
          </w:p>
        </w:tc>
      </w:tr>
      <w:tr w:rsidR="00D876BA" w:rsidRPr="00FE5E99" w:rsidTr="004C20BA">
        <w:trPr>
          <w:gridAfter w:val="1"/>
          <w:wAfter w:w="357" w:type="dxa"/>
          <w:trHeight w:val="532"/>
        </w:trPr>
        <w:tc>
          <w:tcPr>
            <w:tcW w:w="433" w:type="dxa"/>
          </w:tcPr>
          <w:p w:rsidR="00D876BA" w:rsidRPr="00972B5B" w:rsidRDefault="00D876BA" w:rsidP="004C20BA">
            <w:pPr>
              <w:spacing w:before="0" w:after="0"/>
              <w:rPr>
                <w:rFonts w:eastAsia="Times New Roman" w:cs="Times New Roman"/>
                <w:b/>
                <w:sz w:val="20"/>
                <w:szCs w:val="20"/>
                <w:lang w:val="en-GB"/>
              </w:rPr>
            </w:pPr>
            <w:r>
              <w:rPr>
                <w:rFonts w:eastAsia="Times New Roman" w:cs="Times New Roman"/>
                <w:b/>
                <w:sz w:val="20"/>
                <w:szCs w:val="20"/>
                <w:lang w:val="en-GB"/>
              </w:rPr>
              <w:t>II</w:t>
            </w:r>
            <w:r w:rsidRPr="00972B5B">
              <w:rPr>
                <w:rFonts w:eastAsia="Times New Roman" w:cs="Times New Roman"/>
                <w:b/>
                <w:sz w:val="20"/>
                <w:szCs w:val="20"/>
                <w:lang w:val="en-GB"/>
              </w:rPr>
              <w:t>.</w:t>
            </w:r>
          </w:p>
        </w:tc>
        <w:tc>
          <w:tcPr>
            <w:tcW w:w="2837" w:type="dxa"/>
            <w:tcBorders>
              <w:top w:val="single" w:sz="12" w:space="0" w:color="auto"/>
              <w:left w:val="single" w:sz="12" w:space="0" w:color="auto"/>
              <w:bottom w:val="single" w:sz="12" w:space="0" w:color="auto"/>
              <w:right w:val="single" w:sz="6" w:space="0" w:color="auto"/>
            </w:tcBorders>
            <w:shd w:val="pct5" w:color="auto" w:fill="auto"/>
          </w:tcPr>
          <w:p w:rsidR="00D876BA" w:rsidRPr="00972B5B" w:rsidRDefault="00D876BA" w:rsidP="004C20BA">
            <w:pPr>
              <w:spacing w:before="0" w:after="0"/>
              <w:rPr>
                <w:rFonts w:eastAsia="Times New Roman" w:cs="Times New Roman"/>
                <w:b/>
                <w:sz w:val="20"/>
                <w:szCs w:val="20"/>
                <w:lang w:val="en-GB"/>
              </w:rPr>
            </w:pPr>
            <w:r w:rsidRPr="00972B5B">
              <w:rPr>
                <w:rFonts w:eastAsia="Times New Roman" w:cs="Times New Roman"/>
                <w:b/>
                <w:sz w:val="20"/>
                <w:szCs w:val="20"/>
                <w:lang w:val="en-GB"/>
              </w:rPr>
              <w:t>Eligibility Criteria</w:t>
            </w:r>
          </w:p>
        </w:tc>
        <w:tc>
          <w:tcPr>
            <w:tcW w:w="5327" w:type="dxa"/>
            <w:gridSpan w:val="2"/>
            <w:tcBorders>
              <w:top w:val="single" w:sz="12" w:space="0" w:color="auto"/>
              <w:left w:val="single" w:sz="6" w:space="0" w:color="auto"/>
              <w:bottom w:val="single" w:sz="12" w:space="0" w:color="auto"/>
              <w:right w:val="single" w:sz="12" w:space="0" w:color="auto"/>
            </w:tcBorders>
            <w:shd w:val="pct5" w:color="auto" w:fill="auto"/>
          </w:tcPr>
          <w:p w:rsidR="00D876BA" w:rsidRPr="00573D05" w:rsidRDefault="00D876BA" w:rsidP="00D876BA">
            <w:pPr>
              <w:numPr>
                <w:ilvl w:val="0"/>
                <w:numId w:val="2"/>
              </w:numPr>
              <w:spacing w:before="0" w:after="0"/>
              <w:rPr>
                <w:b/>
                <w:sz w:val="20"/>
                <w:szCs w:val="20"/>
                <w:lang w:val="en-US"/>
              </w:rPr>
            </w:pPr>
            <w:r w:rsidRPr="00573D05">
              <w:rPr>
                <w:b/>
                <w:sz w:val="20"/>
                <w:szCs w:val="20"/>
                <w:lang w:val="en-GB"/>
              </w:rPr>
              <w:t>Component A “Supporting MSMEs for the creation and preservation of viable jobs”</w:t>
            </w:r>
          </w:p>
          <w:p w:rsidR="00D876BA" w:rsidRPr="00573D05" w:rsidRDefault="00D876BA" w:rsidP="004C20BA">
            <w:pPr>
              <w:spacing w:before="0" w:after="0"/>
              <w:rPr>
                <w:rFonts w:cs="Calibri"/>
                <w:sz w:val="20"/>
                <w:szCs w:val="20"/>
                <w:lang w:val="en-US"/>
              </w:rPr>
            </w:pPr>
            <w:r w:rsidRPr="00573D05">
              <w:rPr>
                <w:rFonts w:cstheme="majorHAnsi"/>
                <w:sz w:val="20"/>
                <w:szCs w:val="20"/>
                <w:lang w:val="en-US"/>
              </w:rPr>
              <w:t xml:space="preserve">The CEB provides Programme Loans with the primary purpose of promoting the creation and preservation of viable permanent and/or seasonal jobs by facilitating access to credit. Such loans </w:t>
            </w:r>
            <w:r w:rsidRPr="00573D05">
              <w:rPr>
                <w:rFonts w:cs="Calibri"/>
                <w:sz w:val="20"/>
                <w:szCs w:val="20"/>
                <w:lang w:val="en-US"/>
              </w:rPr>
              <w:t>can finance fixed productive investments, or working capital requirements as deemed eligible by CEB. They are aimed at micro, small and medium-sized enterprises (MSMEs), including those exercising craftsmanship/artisan activities or small family-owned enterprises engaged in regular economic activity.</w:t>
            </w:r>
          </w:p>
          <w:p w:rsidR="00D876BA" w:rsidRPr="00573D05" w:rsidRDefault="00D876BA" w:rsidP="004C20BA">
            <w:pPr>
              <w:spacing w:before="0" w:after="0"/>
              <w:rPr>
                <w:rFonts w:cs="Calibri"/>
                <w:sz w:val="20"/>
                <w:szCs w:val="20"/>
                <w:lang w:val="en-US"/>
              </w:rPr>
            </w:pPr>
            <w:r w:rsidRPr="00573D05">
              <w:rPr>
                <w:rFonts w:cs="Calibri"/>
                <w:sz w:val="20"/>
                <w:szCs w:val="20"/>
                <w:lang w:val="en-US"/>
              </w:rPr>
              <w:t>Reflecting its social mandate, CEB prioritises for its support the smaller MSMEs and those with limited, less favourable, or even no access to credit. This includes in particular start-ups and enterprises owned by women, by minorities and by vulnerable groups.</w:t>
            </w:r>
          </w:p>
          <w:p w:rsidR="00D876BA" w:rsidRPr="00573D05" w:rsidRDefault="00D876BA" w:rsidP="004C20BA">
            <w:pPr>
              <w:spacing w:before="0" w:after="0"/>
              <w:rPr>
                <w:rFonts w:cs="Arial"/>
                <w:sz w:val="20"/>
                <w:szCs w:val="20"/>
                <w:lang w:val="en-US"/>
              </w:rPr>
            </w:pPr>
            <w:r w:rsidRPr="00573D05">
              <w:rPr>
                <w:rFonts w:cs="Calibri"/>
                <w:sz w:val="20"/>
                <w:szCs w:val="20"/>
                <w:lang w:val="en-US"/>
              </w:rPr>
              <w:t xml:space="preserve"> CEB uses the same definition of MSMEs as the European Union (</w:t>
            </w:r>
            <w:r w:rsidRPr="00573D05">
              <w:rPr>
                <w:rFonts w:cs="Arial"/>
                <w:bCs/>
                <w:sz w:val="20"/>
                <w:szCs w:val="20"/>
                <w:lang w:val="en-US"/>
              </w:rPr>
              <w:t>EU Commission Recommendation 2003/361/EC),</w:t>
            </w:r>
            <w:r w:rsidRPr="00573D05">
              <w:rPr>
                <w:rFonts w:cs="Calibri"/>
                <w:sz w:val="20"/>
                <w:szCs w:val="20"/>
                <w:lang w:val="en-US"/>
              </w:rPr>
              <w:t xml:space="preserve"> which may be updated from time to time. </w:t>
            </w:r>
            <w:r w:rsidRPr="00573D05">
              <w:rPr>
                <w:rFonts w:cs="Arial"/>
                <w:sz w:val="20"/>
                <w:szCs w:val="20"/>
                <w:lang w:val="en-US"/>
              </w:rPr>
              <w:t>Extract of Article 2 of the Annex of Recommendation 2003/361/EC: “The category of micro, small and medium-sized enterprises (SMEs) is made up of enterprises which employ less than 250 persons and which have an annual turnover not exceeding 50 million euro, and/or an annual balance sheet total not exceeding 43 million euro.”</w:t>
            </w:r>
          </w:p>
          <w:p w:rsidR="00D876BA" w:rsidRPr="00573D05" w:rsidRDefault="00D876BA" w:rsidP="004C20BA">
            <w:pPr>
              <w:spacing w:before="0" w:after="0"/>
              <w:rPr>
                <w:rFonts w:cs="Calibri"/>
                <w:sz w:val="20"/>
                <w:szCs w:val="20"/>
                <w:lang w:val="en-US"/>
              </w:rPr>
            </w:pPr>
            <w:r w:rsidRPr="00573D05">
              <w:rPr>
                <w:rFonts w:cs="Calibri"/>
                <w:sz w:val="20"/>
                <w:szCs w:val="20"/>
                <w:lang w:val="en-US"/>
              </w:rPr>
              <w:t>Investments related to renewable energy, education (schools/universities) and health (hospitals/clinics) sectors should not be financed under CEB’s “Supporting MSMEs” sector of action. Smaller scale sub-projects related to health and education (e.g. privately owned dental/medical practices, childcare/kindergarten or elderly care facilities) may be financed under the “MSMEs” sector of action provided that the sub-borrowers comply with the above-referred MSME definition.</w:t>
            </w:r>
          </w:p>
          <w:p w:rsidR="00D876BA" w:rsidRPr="00573D05" w:rsidRDefault="00D876BA" w:rsidP="004C20BA">
            <w:pPr>
              <w:spacing w:before="0" w:after="0"/>
              <w:rPr>
                <w:rFonts w:cs="Calibri"/>
                <w:sz w:val="20"/>
                <w:szCs w:val="20"/>
                <w:lang w:val="en-US"/>
              </w:rPr>
            </w:pPr>
          </w:p>
          <w:p w:rsidR="00D876BA" w:rsidRPr="00AE5010" w:rsidRDefault="00D876BA" w:rsidP="00D876BA">
            <w:pPr>
              <w:numPr>
                <w:ilvl w:val="0"/>
                <w:numId w:val="2"/>
              </w:numPr>
              <w:spacing w:before="0" w:after="0"/>
              <w:rPr>
                <w:b/>
                <w:sz w:val="20"/>
                <w:szCs w:val="20"/>
                <w:lang w:val="en-GB"/>
              </w:rPr>
            </w:pPr>
            <w:r w:rsidRPr="00AE5010">
              <w:rPr>
                <w:b/>
                <w:sz w:val="20"/>
                <w:szCs w:val="20"/>
                <w:lang w:val="en-GB"/>
              </w:rPr>
              <w:t>Component B “Improving living conditions in urban and rural areas”</w:t>
            </w:r>
          </w:p>
          <w:p w:rsidR="00D876BA" w:rsidRPr="00AE5010" w:rsidRDefault="00D876BA" w:rsidP="004C20BA">
            <w:pPr>
              <w:spacing w:before="0" w:after="0"/>
              <w:rPr>
                <w:rFonts w:cs="Calibri"/>
                <w:sz w:val="20"/>
                <w:szCs w:val="20"/>
                <w:lang w:val="en-US"/>
              </w:rPr>
            </w:pPr>
            <w:r w:rsidRPr="007674E0">
              <w:rPr>
                <w:rFonts w:cs="Calibri"/>
                <w:sz w:val="20"/>
                <w:szCs w:val="20"/>
                <w:lang w:val="en-US"/>
              </w:rPr>
              <w:t>Sub-projects aimed at improving living conditions in urban areas must concern rundown neighborhoods or urban areas lacking in urban infrastructure and/or in social and cultural amenities.</w:t>
            </w:r>
          </w:p>
          <w:p w:rsidR="00D876BA" w:rsidRPr="00AE5010" w:rsidRDefault="00D876BA" w:rsidP="004C20BA">
            <w:pPr>
              <w:spacing w:before="0" w:after="0"/>
              <w:rPr>
                <w:rFonts w:cs="Calibri"/>
                <w:sz w:val="20"/>
                <w:szCs w:val="20"/>
                <w:lang w:val="en-US"/>
              </w:rPr>
            </w:pPr>
          </w:p>
          <w:p w:rsidR="00D876BA" w:rsidRPr="00AE5010" w:rsidRDefault="00D876BA" w:rsidP="004C20BA">
            <w:pPr>
              <w:spacing w:before="0" w:after="0"/>
              <w:rPr>
                <w:rFonts w:cs="Calibri"/>
                <w:sz w:val="20"/>
                <w:szCs w:val="20"/>
                <w:lang w:val="en-US"/>
              </w:rPr>
            </w:pPr>
            <w:r w:rsidRPr="00AE5010">
              <w:rPr>
                <w:rFonts w:cs="Calibri"/>
                <w:sz w:val="20"/>
                <w:szCs w:val="20"/>
                <w:lang w:val="en-US"/>
              </w:rPr>
              <w:t xml:space="preserve">Sub-projects aimed at improving living conditions in rural areas must concern regions characterised by a low population density or activities in fields such as agriculture, forestry, aquaculture and fishing, defined by the national legislation. </w:t>
            </w:r>
          </w:p>
          <w:p w:rsidR="00D876BA" w:rsidRPr="00AE5010" w:rsidRDefault="00D876BA" w:rsidP="004C20BA">
            <w:pPr>
              <w:spacing w:before="0" w:after="0"/>
              <w:rPr>
                <w:rFonts w:cs="Calibri"/>
                <w:sz w:val="20"/>
                <w:szCs w:val="20"/>
                <w:lang w:val="en-US"/>
              </w:rPr>
            </w:pPr>
          </w:p>
          <w:p w:rsidR="00D876BA" w:rsidRPr="00AE5010" w:rsidRDefault="00D876BA" w:rsidP="004C20BA">
            <w:pPr>
              <w:spacing w:before="0" w:after="0"/>
              <w:rPr>
                <w:rFonts w:cs="Calibri"/>
                <w:sz w:val="20"/>
                <w:szCs w:val="20"/>
                <w:lang w:val="en-US"/>
              </w:rPr>
            </w:pPr>
            <w:r w:rsidRPr="00AE5010">
              <w:rPr>
                <w:rFonts w:cs="Calibri"/>
                <w:sz w:val="20"/>
                <w:szCs w:val="20"/>
                <w:lang w:val="en-US"/>
              </w:rPr>
              <w:lastRenderedPageBreak/>
              <w:t>The CEB finances Sub-projects involving the construction or rehabilitation of infrastructure aimed at urban or rural modernisation. Only those infrastructure investments included in the regional or municipal budget will be considered as eligible, such as:</w:t>
            </w:r>
          </w:p>
          <w:p w:rsidR="00D876BA" w:rsidRPr="00B838C0" w:rsidRDefault="00D876BA" w:rsidP="00D876BA">
            <w:pPr>
              <w:pStyle w:val="ListParagraph"/>
              <w:numPr>
                <w:ilvl w:val="0"/>
                <w:numId w:val="5"/>
              </w:numPr>
              <w:rPr>
                <w:sz w:val="20"/>
                <w:szCs w:val="20"/>
              </w:rPr>
            </w:pPr>
            <w:r w:rsidRPr="00B838C0">
              <w:rPr>
                <w:sz w:val="20"/>
                <w:szCs w:val="20"/>
              </w:rPr>
              <w:t>utilities such as water mains, electricity and gas supplies, sewers, treatment of solid and liquid waste;</w:t>
            </w:r>
          </w:p>
          <w:p w:rsidR="00D876BA" w:rsidRPr="00B838C0" w:rsidRDefault="00D876BA" w:rsidP="00D876BA">
            <w:pPr>
              <w:pStyle w:val="ListParagraph"/>
              <w:numPr>
                <w:ilvl w:val="0"/>
                <w:numId w:val="5"/>
              </w:numPr>
              <w:rPr>
                <w:sz w:val="20"/>
                <w:szCs w:val="20"/>
              </w:rPr>
            </w:pPr>
            <w:r w:rsidRPr="00B838C0">
              <w:rPr>
                <w:sz w:val="20"/>
                <w:szCs w:val="20"/>
              </w:rPr>
              <w:t>local road network infrastructure and maintenance;</w:t>
            </w:r>
          </w:p>
          <w:p w:rsidR="00D876BA" w:rsidRPr="00B838C0" w:rsidRDefault="00D876BA" w:rsidP="00D876BA">
            <w:pPr>
              <w:pStyle w:val="ListParagraph"/>
              <w:numPr>
                <w:ilvl w:val="0"/>
                <w:numId w:val="5"/>
              </w:numPr>
              <w:rPr>
                <w:sz w:val="20"/>
                <w:szCs w:val="20"/>
              </w:rPr>
            </w:pPr>
            <w:r w:rsidRPr="00B838C0">
              <w:rPr>
                <w:sz w:val="20"/>
                <w:szCs w:val="20"/>
              </w:rPr>
              <w:t>local public transportation infrastructure, equipment and maintenance;</w:t>
            </w:r>
          </w:p>
          <w:p w:rsidR="00D876BA" w:rsidRPr="00B838C0" w:rsidRDefault="00D876BA" w:rsidP="00D876BA">
            <w:pPr>
              <w:pStyle w:val="ListParagraph"/>
              <w:numPr>
                <w:ilvl w:val="0"/>
                <w:numId w:val="5"/>
              </w:numPr>
              <w:rPr>
                <w:sz w:val="20"/>
                <w:szCs w:val="20"/>
              </w:rPr>
            </w:pPr>
            <w:r w:rsidRPr="00B838C0">
              <w:rPr>
                <w:sz w:val="20"/>
                <w:szCs w:val="20"/>
              </w:rPr>
              <w:t xml:space="preserve">public lighting; </w:t>
            </w:r>
          </w:p>
          <w:p w:rsidR="00D876BA" w:rsidRPr="00B838C0" w:rsidRDefault="00D876BA" w:rsidP="00D876BA">
            <w:pPr>
              <w:pStyle w:val="ListParagraph"/>
              <w:numPr>
                <w:ilvl w:val="0"/>
                <w:numId w:val="5"/>
              </w:numPr>
              <w:rPr>
                <w:sz w:val="20"/>
                <w:szCs w:val="20"/>
              </w:rPr>
            </w:pPr>
            <w:r w:rsidRPr="00B838C0">
              <w:rPr>
                <w:sz w:val="20"/>
                <w:szCs w:val="20"/>
              </w:rPr>
              <w:t>district heating;</w:t>
            </w:r>
          </w:p>
          <w:p w:rsidR="00D876BA" w:rsidRPr="00B838C0" w:rsidRDefault="00D876BA" w:rsidP="00D876BA">
            <w:pPr>
              <w:pStyle w:val="ListParagraph"/>
              <w:numPr>
                <w:ilvl w:val="0"/>
                <w:numId w:val="5"/>
              </w:numPr>
              <w:rPr>
                <w:sz w:val="20"/>
                <w:szCs w:val="20"/>
              </w:rPr>
            </w:pPr>
            <w:r w:rsidRPr="00B838C0">
              <w:rPr>
                <w:sz w:val="20"/>
                <w:szCs w:val="20"/>
              </w:rPr>
              <w:t>community services, educational and medical facilities;</w:t>
            </w:r>
          </w:p>
          <w:p w:rsidR="00D876BA" w:rsidRPr="00B838C0" w:rsidRDefault="00D876BA" w:rsidP="00D876BA">
            <w:pPr>
              <w:pStyle w:val="ListParagraph"/>
              <w:numPr>
                <w:ilvl w:val="0"/>
                <w:numId w:val="5"/>
              </w:numPr>
              <w:rPr>
                <w:sz w:val="20"/>
                <w:szCs w:val="20"/>
              </w:rPr>
            </w:pPr>
            <w:r w:rsidRPr="00B838C0">
              <w:rPr>
                <w:sz w:val="20"/>
                <w:szCs w:val="20"/>
              </w:rPr>
              <w:t xml:space="preserve">temporary shelters and social housing; </w:t>
            </w:r>
          </w:p>
          <w:p w:rsidR="00D876BA" w:rsidRPr="00B838C0" w:rsidRDefault="00D876BA" w:rsidP="00D876BA">
            <w:pPr>
              <w:pStyle w:val="ListParagraph"/>
              <w:numPr>
                <w:ilvl w:val="0"/>
                <w:numId w:val="5"/>
              </w:numPr>
              <w:rPr>
                <w:sz w:val="20"/>
                <w:szCs w:val="20"/>
              </w:rPr>
            </w:pPr>
            <w:r w:rsidRPr="00B838C0">
              <w:rPr>
                <w:sz w:val="20"/>
                <w:szCs w:val="20"/>
              </w:rPr>
              <w:t>socio-cultural or sports facilities such as playgrounds, green spaces, exhibition sites, theatres and libraries;</w:t>
            </w:r>
          </w:p>
          <w:p w:rsidR="00D876BA" w:rsidRPr="00B838C0" w:rsidRDefault="00D876BA" w:rsidP="00D876BA">
            <w:pPr>
              <w:pStyle w:val="ListParagraph"/>
              <w:numPr>
                <w:ilvl w:val="0"/>
                <w:numId w:val="5"/>
              </w:numPr>
              <w:rPr>
                <w:sz w:val="20"/>
                <w:szCs w:val="20"/>
              </w:rPr>
            </w:pPr>
            <w:r w:rsidRPr="00B838C0">
              <w:rPr>
                <w:sz w:val="20"/>
                <w:szCs w:val="20"/>
              </w:rPr>
              <w:t>development of industrial estates;</w:t>
            </w:r>
          </w:p>
          <w:p w:rsidR="00D876BA" w:rsidRPr="00B838C0" w:rsidRDefault="00D876BA" w:rsidP="00D876BA">
            <w:pPr>
              <w:pStyle w:val="ListParagraph"/>
              <w:numPr>
                <w:ilvl w:val="0"/>
                <w:numId w:val="5"/>
              </w:numPr>
              <w:rPr>
                <w:sz w:val="20"/>
                <w:szCs w:val="20"/>
              </w:rPr>
            </w:pPr>
            <w:r w:rsidRPr="00B838C0">
              <w:rPr>
                <w:sz w:val="20"/>
                <w:szCs w:val="20"/>
              </w:rPr>
              <w:t>irrigation networks in rural areas;</w:t>
            </w:r>
          </w:p>
          <w:p w:rsidR="00D876BA" w:rsidRPr="00B838C0" w:rsidRDefault="00D876BA" w:rsidP="00D876BA">
            <w:pPr>
              <w:pStyle w:val="ListParagraph"/>
              <w:numPr>
                <w:ilvl w:val="0"/>
                <w:numId w:val="5"/>
              </w:numPr>
              <w:rPr>
                <w:sz w:val="20"/>
                <w:szCs w:val="20"/>
              </w:rPr>
            </w:pPr>
            <w:r w:rsidRPr="00B838C0">
              <w:rPr>
                <w:sz w:val="20"/>
                <w:szCs w:val="20"/>
              </w:rPr>
              <w:t>administrative buildings and public housing.</w:t>
            </w:r>
          </w:p>
          <w:p w:rsidR="00D876BA" w:rsidRPr="00AE5010" w:rsidRDefault="00D876BA" w:rsidP="004C20BA">
            <w:pPr>
              <w:pStyle w:val="ListParagraph"/>
            </w:pPr>
          </w:p>
          <w:p w:rsidR="00D876BA" w:rsidRPr="00AE5010" w:rsidRDefault="00D876BA" w:rsidP="004C20BA">
            <w:pPr>
              <w:spacing w:before="0" w:after="0"/>
              <w:rPr>
                <w:rFonts w:cs="Calibri"/>
                <w:sz w:val="20"/>
                <w:szCs w:val="20"/>
                <w:lang w:val="en-US"/>
              </w:rPr>
            </w:pPr>
            <w:r w:rsidRPr="00AE5010">
              <w:rPr>
                <w:rFonts w:cs="Calibri"/>
                <w:sz w:val="20"/>
                <w:szCs w:val="20"/>
                <w:lang w:val="en-US"/>
              </w:rPr>
              <w:t xml:space="preserve">The Sub-projects can be carried out by public or private entities. </w:t>
            </w:r>
          </w:p>
          <w:p w:rsidR="00D876BA" w:rsidRPr="00AE5010" w:rsidRDefault="00D876BA" w:rsidP="004C20BA">
            <w:pPr>
              <w:spacing w:before="0" w:after="0"/>
              <w:rPr>
                <w:rFonts w:cs="Calibri"/>
                <w:spacing w:val="-2"/>
                <w:sz w:val="20"/>
                <w:szCs w:val="20"/>
                <w:lang w:val="en-US"/>
              </w:rPr>
            </w:pPr>
            <w:r w:rsidRPr="00AE5010">
              <w:rPr>
                <w:rFonts w:cs="Calibri"/>
                <w:spacing w:val="-2"/>
                <w:sz w:val="20"/>
                <w:szCs w:val="20"/>
                <w:lang w:val="en-US"/>
              </w:rPr>
              <w:t xml:space="preserve">Irrigation </w:t>
            </w:r>
            <w:r w:rsidRPr="00AE5010">
              <w:rPr>
                <w:rFonts w:cs="Calibri"/>
                <w:sz w:val="20"/>
                <w:szCs w:val="20"/>
                <w:lang w:val="en-US"/>
              </w:rPr>
              <w:t xml:space="preserve">Sub-projects </w:t>
            </w:r>
            <w:r w:rsidRPr="00AE5010">
              <w:rPr>
                <w:rFonts w:cs="Calibri"/>
                <w:spacing w:val="-2"/>
                <w:sz w:val="20"/>
                <w:szCs w:val="20"/>
                <w:lang w:val="en-US"/>
              </w:rPr>
              <w:t>involving the building of water-retaining dikes, dams and related infrastructure are eligible as long as the criteria detailed by the CEB's Environmental and Social Safeguards Policy are met.</w:t>
            </w:r>
          </w:p>
          <w:p w:rsidR="00D876BA" w:rsidRPr="009E0BD2" w:rsidRDefault="00D876BA" w:rsidP="004C20BA">
            <w:pPr>
              <w:spacing w:before="0" w:after="0"/>
              <w:rPr>
                <w:rFonts w:cs="Calibri"/>
                <w:spacing w:val="-2"/>
                <w:sz w:val="20"/>
                <w:szCs w:val="20"/>
                <w:lang w:val="en-US"/>
              </w:rPr>
            </w:pPr>
          </w:p>
          <w:p w:rsidR="00D876BA" w:rsidRPr="009E0BD2" w:rsidRDefault="00D876BA" w:rsidP="00D876BA">
            <w:pPr>
              <w:numPr>
                <w:ilvl w:val="0"/>
                <w:numId w:val="2"/>
              </w:numPr>
              <w:spacing w:before="0" w:after="0"/>
              <w:rPr>
                <w:sz w:val="20"/>
                <w:szCs w:val="20"/>
              </w:rPr>
            </w:pPr>
            <w:r w:rsidRPr="009E0BD2">
              <w:rPr>
                <w:sz w:val="20"/>
                <w:szCs w:val="20"/>
              </w:rPr>
              <w:t>Exclusion List</w:t>
            </w:r>
          </w:p>
          <w:p w:rsidR="00D876BA" w:rsidRPr="009E0BD2" w:rsidRDefault="00D876BA" w:rsidP="004C20BA">
            <w:pPr>
              <w:tabs>
                <w:tab w:val="left" w:pos="-720"/>
              </w:tabs>
              <w:suppressAutoHyphens/>
              <w:spacing w:before="0" w:after="0"/>
              <w:rPr>
                <w:rFonts w:ascii="Calibri" w:eastAsia="Calibri" w:hAnsi="Calibri" w:cs="Calibri"/>
                <w:sz w:val="20"/>
                <w:szCs w:val="20"/>
                <w:lang w:val="en-US"/>
              </w:rPr>
            </w:pPr>
            <w:r w:rsidRPr="009E0BD2">
              <w:rPr>
                <w:rFonts w:ascii="Calibri" w:eastAsia="Calibri" w:hAnsi="Calibri" w:cs="Calibri"/>
                <w:sz w:val="20"/>
                <w:szCs w:val="20"/>
                <w:lang w:val="en-US"/>
              </w:rPr>
              <w:t>The following activities defined by the NACE nomenclature of the European Union</w:t>
            </w:r>
            <w:r w:rsidRPr="009E0BD2">
              <w:rPr>
                <w:rFonts w:ascii="Calibri" w:eastAsia="Calibri" w:hAnsi="Calibri"/>
                <w:sz w:val="20"/>
                <w:szCs w:val="20"/>
                <w:vertAlign w:val="superscript"/>
              </w:rPr>
              <w:footnoteReference w:id="1"/>
            </w:r>
            <w:r w:rsidRPr="009E0BD2">
              <w:rPr>
                <w:rFonts w:ascii="Calibri" w:eastAsia="Calibri" w:hAnsi="Calibri" w:cs="Calibri"/>
                <w:sz w:val="20"/>
                <w:szCs w:val="20"/>
                <w:lang w:val="en-US"/>
              </w:rPr>
              <w:t xml:space="preserve"> shall be excluded from the CEB’s financing:</w:t>
            </w:r>
          </w:p>
          <w:p w:rsidR="00D876BA" w:rsidRPr="009E0BD2" w:rsidRDefault="00D876BA" w:rsidP="00D876BA">
            <w:pPr>
              <w:numPr>
                <w:ilvl w:val="0"/>
                <w:numId w:val="3"/>
              </w:numPr>
              <w:spacing w:before="0" w:after="0"/>
              <w:rPr>
                <w:rFonts w:ascii="Calibri" w:hAnsi="Calibri" w:cs="Calibri"/>
                <w:sz w:val="20"/>
                <w:szCs w:val="20"/>
                <w:lang w:val="en-US"/>
              </w:rPr>
            </w:pPr>
            <w:r w:rsidRPr="009E0BD2">
              <w:rPr>
                <w:rFonts w:ascii="Calibri" w:hAnsi="Calibri" w:cs="Calibri"/>
                <w:sz w:val="20"/>
                <w:szCs w:val="20"/>
                <w:lang w:val="en-US"/>
              </w:rPr>
              <w:t>Industries extractives (NACE B) except division 8 Other mining and quarrying (8.1 Quarrying of stone, sand and clay; 08.91 Mining of chemical and fertiliser minerals and 08.92 Extraction of peat; 08.93 Extraction of salt)</w:t>
            </w:r>
          </w:p>
          <w:p w:rsidR="00D876BA" w:rsidRPr="009E0BD2" w:rsidRDefault="00D876BA" w:rsidP="00D876BA">
            <w:pPr>
              <w:numPr>
                <w:ilvl w:val="0"/>
                <w:numId w:val="3"/>
              </w:numPr>
              <w:autoSpaceDE w:val="0"/>
              <w:autoSpaceDN w:val="0"/>
              <w:adjustRightInd w:val="0"/>
              <w:spacing w:before="0" w:after="0"/>
              <w:rPr>
                <w:rFonts w:ascii="Calibri" w:hAnsi="Calibri" w:cs="Calibri"/>
                <w:sz w:val="20"/>
                <w:szCs w:val="20"/>
                <w:lang w:val="en-US"/>
              </w:rPr>
            </w:pPr>
            <w:r w:rsidRPr="009E0BD2">
              <w:rPr>
                <w:rFonts w:ascii="Calibri" w:hAnsi="Calibri" w:cs="Calibri"/>
                <w:sz w:val="20"/>
                <w:szCs w:val="20"/>
                <w:lang w:val="en-US"/>
              </w:rPr>
              <w:t>Distilling, rectifying and blending of spirits (NACE C11.01)</w:t>
            </w:r>
          </w:p>
          <w:p w:rsidR="00D876BA" w:rsidRPr="009E0BD2" w:rsidRDefault="00D876BA" w:rsidP="00D876BA">
            <w:pPr>
              <w:numPr>
                <w:ilvl w:val="0"/>
                <w:numId w:val="3"/>
              </w:numPr>
              <w:autoSpaceDE w:val="0"/>
              <w:autoSpaceDN w:val="0"/>
              <w:adjustRightInd w:val="0"/>
              <w:spacing w:before="0" w:after="0"/>
              <w:rPr>
                <w:rFonts w:ascii="Calibri" w:hAnsi="Calibri" w:cs="Calibri"/>
                <w:sz w:val="20"/>
                <w:szCs w:val="20"/>
                <w:lang w:val="en-US"/>
              </w:rPr>
            </w:pPr>
            <w:r w:rsidRPr="009E0BD2">
              <w:rPr>
                <w:rFonts w:ascii="Calibri" w:hAnsi="Calibri" w:cs="Calibri"/>
                <w:sz w:val="20"/>
                <w:szCs w:val="20"/>
                <w:lang w:val="en-US"/>
              </w:rPr>
              <w:t>Manufacture of tobacco products (NACE C12)</w:t>
            </w:r>
          </w:p>
          <w:p w:rsidR="00D876BA" w:rsidRPr="009E0BD2" w:rsidRDefault="00D876BA" w:rsidP="00D876BA">
            <w:pPr>
              <w:numPr>
                <w:ilvl w:val="0"/>
                <w:numId w:val="3"/>
              </w:numPr>
              <w:autoSpaceDE w:val="0"/>
              <w:autoSpaceDN w:val="0"/>
              <w:adjustRightInd w:val="0"/>
              <w:spacing w:before="0" w:after="0"/>
              <w:rPr>
                <w:rFonts w:ascii="Calibri" w:hAnsi="Calibri" w:cs="Calibri"/>
                <w:sz w:val="20"/>
                <w:szCs w:val="20"/>
                <w:lang w:val="en-US"/>
              </w:rPr>
            </w:pPr>
            <w:r w:rsidRPr="009E0BD2">
              <w:rPr>
                <w:rFonts w:ascii="Calibri" w:hAnsi="Calibri" w:cs="Calibri"/>
                <w:sz w:val="20"/>
                <w:szCs w:val="20"/>
                <w:lang w:val="en-US"/>
              </w:rPr>
              <w:t>Manufacture of coke and refined petroleum products (NACE C19)</w:t>
            </w:r>
          </w:p>
          <w:p w:rsidR="00D876BA" w:rsidRPr="009E0BD2" w:rsidRDefault="00D876BA" w:rsidP="00D876BA">
            <w:pPr>
              <w:numPr>
                <w:ilvl w:val="0"/>
                <w:numId w:val="3"/>
              </w:numPr>
              <w:autoSpaceDE w:val="0"/>
              <w:autoSpaceDN w:val="0"/>
              <w:adjustRightInd w:val="0"/>
              <w:spacing w:before="0" w:after="0"/>
              <w:rPr>
                <w:rFonts w:ascii="Calibri" w:hAnsi="Calibri" w:cs="Calibri"/>
                <w:sz w:val="20"/>
                <w:szCs w:val="20"/>
                <w:lang w:val="en-US"/>
              </w:rPr>
            </w:pPr>
            <w:r w:rsidRPr="009E0BD2">
              <w:rPr>
                <w:rFonts w:ascii="Calibri" w:hAnsi="Calibri" w:cs="Calibri"/>
                <w:sz w:val="20"/>
                <w:szCs w:val="20"/>
                <w:lang w:val="en-US"/>
              </w:rPr>
              <w:t>Processing of nuclear fuel</w:t>
            </w:r>
            <w:r w:rsidRPr="009E0BD2">
              <w:rPr>
                <w:rFonts w:ascii="Calibri" w:hAnsi="Calibri" w:cs="Calibri"/>
                <w:sz w:val="20"/>
                <w:szCs w:val="20"/>
                <w:vertAlign w:val="superscript"/>
              </w:rPr>
              <w:footnoteReference w:id="2"/>
            </w:r>
            <w:r w:rsidRPr="009E0BD2">
              <w:rPr>
                <w:rFonts w:ascii="Calibri" w:hAnsi="Calibri" w:cs="Calibri"/>
                <w:sz w:val="20"/>
                <w:szCs w:val="20"/>
                <w:lang w:val="en-US"/>
              </w:rPr>
              <w:t xml:space="preserve"> (NACE C24.46)</w:t>
            </w:r>
          </w:p>
          <w:p w:rsidR="00D876BA" w:rsidRPr="009E0BD2" w:rsidRDefault="00D876BA" w:rsidP="00D876BA">
            <w:pPr>
              <w:numPr>
                <w:ilvl w:val="0"/>
                <w:numId w:val="3"/>
              </w:numPr>
              <w:autoSpaceDE w:val="0"/>
              <w:autoSpaceDN w:val="0"/>
              <w:adjustRightInd w:val="0"/>
              <w:spacing w:before="0" w:after="0"/>
              <w:rPr>
                <w:rFonts w:ascii="Calibri" w:hAnsi="Calibri" w:cs="Calibri"/>
                <w:sz w:val="20"/>
                <w:szCs w:val="20"/>
                <w:lang w:val="en-US"/>
              </w:rPr>
            </w:pPr>
            <w:r w:rsidRPr="009E0BD2">
              <w:rPr>
                <w:rFonts w:ascii="Calibri" w:hAnsi="Calibri" w:cs="Calibri"/>
                <w:sz w:val="20"/>
                <w:szCs w:val="20"/>
                <w:lang w:val="en-US"/>
              </w:rPr>
              <w:t>Manufacture of weapons and ammunition (NACE C25.4)</w:t>
            </w:r>
          </w:p>
          <w:p w:rsidR="00D876BA" w:rsidRPr="009E0BD2" w:rsidRDefault="00D876BA" w:rsidP="00D876BA">
            <w:pPr>
              <w:numPr>
                <w:ilvl w:val="0"/>
                <w:numId w:val="3"/>
              </w:numPr>
              <w:autoSpaceDE w:val="0"/>
              <w:autoSpaceDN w:val="0"/>
              <w:adjustRightInd w:val="0"/>
              <w:spacing w:before="0" w:after="0"/>
              <w:rPr>
                <w:rFonts w:ascii="Calibri" w:hAnsi="Calibri" w:cs="Calibri"/>
                <w:sz w:val="20"/>
                <w:szCs w:val="20"/>
                <w:lang w:val="en-US"/>
              </w:rPr>
            </w:pPr>
            <w:r w:rsidRPr="009E0BD2">
              <w:rPr>
                <w:rFonts w:ascii="Calibri" w:hAnsi="Calibri" w:cs="Calibri"/>
                <w:sz w:val="20"/>
                <w:szCs w:val="20"/>
                <w:lang w:val="en-US"/>
              </w:rPr>
              <w:t>Manufacture of military fighting vehicles (NACE C30.4)</w:t>
            </w:r>
          </w:p>
          <w:p w:rsidR="00D876BA" w:rsidRPr="009E0BD2" w:rsidRDefault="00D876BA" w:rsidP="00D876BA">
            <w:pPr>
              <w:numPr>
                <w:ilvl w:val="0"/>
                <w:numId w:val="3"/>
              </w:numPr>
              <w:autoSpaceDE w:val="0"/>
              <w:autoSpaceDN w:val="0"/>
              <w:adjustRightInd w:val="0"/>
              <w:spacing w:before="0" w:after="0"/>
              <w:rPr>
                <w:rFonts w:ascii="Calibri" w:hAnsi="Calibri" w:cs="Calibri"/>
                <w:sz w:val="20"/>
                <w:szCs w:val="20"/>
              </w:rPr>
            </w:pPr>
            <w:r w:rsidRPr="009E0BD2">
              <w:rPr>
                <w:rFonts w:ascii="Calibri" w:hAnsi="Calibri" w:cs="Calibri"/>
                <w:sz w:val="20"/>
                <w:szCs w:val="20"/>
              </w:rPr>
              <w:t>Financial and insurance activities (NACE K64-66)</w:t>
            </w:r>
          </w:p>
          <w:p w:rsidR="00D876BA" w:rsidRPr="009E0BD2" w:rsidRDefault="00D876BA" w:rsidP="00D876BA">
            <w:pPr>
              <w:numPr>
                <w:ilvl w:val="0"/>
                <w:numId w:val="3"/>
              </w:numPr>
              <w:autoSpaceDE w:val="0"/>
              <w:autoSpaceDN w:val="0"/>
              <w:adjustRightInd w:val="0"/>
              <w:spacing w:before="0" w:after="0"/>
              <w:rPr>
                <w:rFonts w:ascii="Calibri" w:hAnsi="Calibri" w:cs="Calibri"/>
                <w:sz w:val="20"/>
                <w:szCs w:val="20"/>
              </w:rPr>
            </w:pPr>
            <w:r w:rsidRPr="009E0BD2">
              <w:rPr>
                <w:rFonts w:ascii="Calibri" w:hAnsi="Calibri" w:cs="Calibri"/>
                <w:sz w:val="20"/>
                <w:szCs w:val="20"/>
              </w:rPr>
              <w:t>Real Estate Activities (NACE L68)</w:t>
            </w:r>
          </w:p>
          <w:p w:rsidR="00D876BA" w:rsidRPr="009E0BD2" w:rsidRDefault="00D876BA" w:rsidP="00D876BA">
            <w:pPr>
              <w:numPr>
                <w:ilvl w:val="0"/>
                <w:numId w:val="3"/>
              </w:numPr>
              <w:autoSpaceDE w:val="0"/>
              <w:autoSpaceDN w:val="0"/>
              <w:adjustRightInd w:val="0"/>
              <w:spacing w:before="0" w:after="0"/>
              <w:rPr>
                <w:rFonts w:ascii="Calibri" w:hAnsi="Calibri" w:cs="Calibri"/>
                <w:sz w:val="20"/>
                <w:szCs w:val="20"/>
                <w:lang w:val="en-US"/>
              </w:rPr>
            </w:pPr>
            <w:r w:rsidRPr="009E0BD2">
              <w:rPr>
                <w:rFonts w:ascii="Calibri" w:hAnsi="Calibri" w:cs="Calibri"/>
                <w:sz w:val="20"/>
                <w:szCs w:val="20"/>
                <w:lang w:val="en-US"/>
              </w:rPr>
              <w:t>Gambling and betting activities (NACE R92)</w:t>
            </w:r>
          </w:p>
          <w:p w:rsidR="00D876BA" w:rsidRPr="009E0BD2" w:rsidRDefault="00D876BA" w:rsidP="00D876BA">
            <w:pPr>
              <w:numPr>
                <w:ilvl w:val="0"/>
                <w:numId w:val="3"/>
              </w:numPr>
              <w:autoSpaceDE w:val="0"/>
              <w:autoSpaceDN w:val="0"/>
              <w:adjustRightInd w:val="0"/>
              <w:spacing w:before="0" w:after="0"/>
              <w:rPr>
                <w:rFonts w:ascii="Calibri" w:hAnsi="Calibri" w:cs="Calibri"/>
                <w:sz w:val="20"/>
                <w:szCs w:val="20"/>
                <w:lang w:val="en-US"/>
              </w:rPr>
            </w:pPr>
            <w:r w:rsidRPr="009E0BD2">
              <w:rPr>
                <w:rFonts w:ascii="Calibri" w:hAnsi="Calibri" w:cs="Calibri"/>
                <w:sz w:val="20"/>
                <w:szCs w:val="20"/>
                <w:lang w:val="en-US"/>
              </w:rPr>
              <w:t>Activities of membership organisation (NACE S94)</w:t>
            </w:r>
          </w:p>
          <w:p w:rsidR="00D876BA" w:rsidRPr="009E0BD2" w:rsidRDefault="00D876BA" w:rsidP="00D876BA">
            <w:pPr>
              <w:numPr>
                <w:ilvl w:val="0"/>
                <w:numId w:val="3"/>
              </w:numPr>
              <w:autoSpaceDE w:val="0"/>
              <w:autoSpaceDN w:val="0"/>
              <w:adjustRightInd w:val="0"/>
              <w:spacing w:before="0" w:after="0"/>
              <w:rPr>
                <w:rFonts w:ascii="Calibri" w:hAnsi="Calibri" w:cs="Calibri"/>
                <w:sz w:val="20"/>
                <w:szCs w:val="20"/>
                <w:lang w:val="en-US"/>
              </w:rPr>
            </w:pPr>
            <w:r w:rsidRPr="009E0BD2">
              <w:rPr>
                <w:rFonts w:ascii="Calibri" w:hAnsi="Calibri" w:cs="Calibri"/>
                <w:sz w:val="20"/>
                <w:szCs w:val="20"/>
                <w:lang w:val="en-US"/>
              </w:rPr>
              <w:t>Activities of extraterritorial organisations and bodies (NACE U99)</w:t>
            </w:r>
          </w:p>
          <w:p w:rsidR="00D876BA" w:rsidRPr="009E0BD2" w:rsidRDefault="00D876BA" w:rsidP="004C20BA">
            <w:pPr>
              <w:spacing w:before="0" w:after="0"/>
              <w:rPr>
                <w:rFonts w:ascii="Calibri" w:hAnsi="Calibri" w:cs="Calibri"/>
                <w:lang w:val="en-US"/>
              </w:rPr>
            </w:pPr>
            <w:r w:rsidRPr="009E0BD2">
              <w:rPr>
                <w:rFonts w:ascii="Calibri" w:hAnsi="Calibri" w:cs="Calibri"/>
                <w:sz w:val="20"/>
                <w:szCs w:val="20"/>
                <w:lang w:val="en-US"/>
              </w:rPr>
              <w:lastRenderedPageBreak/>
              <w:t>Investment projects linked to pornography and to products regarded by the CEB’s member states regulations as harmful to the health and the environment</w:t>
            </w:r>
            <w:r w:rsidRPr="009E0BD2">
              <w:rPr>
                <w:rFonts w:ascii="Calibri" w:hAnsi="Calibri" w:cs="Calibri"/>
                <w:sz w:val="20"/>
                <w:szCs w:val="20"/>
                <w:vertAlign w:val="superscript"/>
              </w:rPr>
              <w:footnoteReference w:id="3"/>
            </w:r>
            <w:r w:rsidRPr="009E0BD2">
              <w:rPr>
                <w:rFonts w:ascii="Calibri" w:hAnsi="Calibri" w:cs="Calibri"/>
                <w:sz w:val="20"/>
                <w:szCs w:val="20"/>
                <w:lang w:val="en-US"/>
              </w:rPr>
              <w:t xml:space="preserve"> shall also be excluded.</w:t>
            </w:r>
          </w:p>
        </w:tc>
      </w:tr>
      <w:tr w:rsidR="00D876BA" w:rsidRPr="00FE5E99" w:rsidTr="004C20BA">
        <w:trPr>
          <w:gridAfter w:val="1"/>
          <w:wAfter w:w="357" w:type="dxa"/>
          <w:trHeight w:val="188"/>
        </w:trPr>
        <w:tc>
          <w:tcPr>
            <w:tcW w:w="433" w:type="dxa"/>
          </w:tcPr>
          <w:p w:rsidR="00D876BA" w:rsidRPr="00D53135" w:rsidRDefault="00D876BA" w:rsidP="004C20BA">
            <w:pPr>
              <w:spacing w:before="0" w:after="0"/>
              <w:rPr>
                <w:rFonts w:eastAsia="Times New Roman" w:cs="Times New Roman"/>
                <w:b/>
                <w:sz w:val="20"/>
                <w:szCs w:val="20"/>
                <w:lang w:val="en-GB"/>
              </w:rPr>
            </w:pPr>
          </w:p>
        </w:tc>
        <w:tc>
          <w:tcPr>
            <w:tcW w:w="2837" w:type="dxa"/>
            <w:tcBorders>
              <w:top w:val="single" w:sz="12" w:space="0" w:color="auto"/>
              <w:left w:val="single" w:sz="12" w:space="0" w:color="auto"/>
              <w:bottom w:val="single" w:sz="12" w:space="0" w:color="auto"/>
              <w:right w:val="single" w:sz="6" w:space="0" w:color="auto"/>
            </w:tcBorders>
            <w:shd w:val="pct5" w:color="auto" w:fill="auto"/>
          </w:tcPr>
          <w:p w:rsidR="00D876BA" w:rsidRPr="00D53135" w:rsidRDefault="00D876BA" w:rsidP="004C20BA">
            <w:pPr>
              <w:spacing w:before="0" w:after="0"/>
              <w:rPr>
                <w:rFonts w:eastAsia="Times New Roman" w:cs="Times New Roman"/>
                <w:b/>
                <w:sz w:val="20"/>
                <w:szCs w:val="20"/>
                <w:lang w:val="en-GB"/>
              </w:rPr>
            </w:pPr>
            <w:r w:rsidRPr="00D53135">
              <w:rPr>
                <w:rFonts w:eastAsia="Times New Roman" w:cs="Times New Roman"/>
                <w:b/>
                <w:sz w:val="20"/>
                <w:szCs w:val="20"/>
                <w:lang w:val="en-GB"/>
              </w:rPr>
              <w:t>Eligible Costs</w:t>
            </w:r>
          </w:p>
        </w:tc>
        <w:tc>
          <w:tcPr>
            <w:tcW w:w="5327" w:type="dxa"/>
            <w:gridSpan w:val="2"/>
            <w:tcBorders>
              <w:top w:val="single" w:sz="12" w:space="0" w:color="auto"/>
              <w:left w:val="single" w:sz="6" w:space="0" w:color="auto"/>
              <w:bottom w:val="single" w:sz="12" w:space="0" w:color="auto"/>
              <w:right w:val="single" w:sz="12" w:space="0" w:color="auto"/>
            </w:tcBorders>
            <w:shd w:val="pct5" w:color="auto" w:fill="auto"/>
          </w:tcPr>
          <w:p w:rsidR="00D876BA" w:rsidRPr="009E0BD2" w:rsidRDefault="00D876BA" w:rsidP="004C20BA">
            <w:pPr>
              <w:spacing w:before="0" w:after="0"/>
              <w:jc w:val="left"/>
              <w:rPr>
                <w:rFonts w:cs="Calibri"/>
                <w:sz w:val="20"/>
                <w:szCs w:val="20"/>
                <w:lang w:val="en-US"/>
              </w:rPr>
            </w:pPr>
            <w:r w:rsidRPr="009E0BD2">
              <w:rPr>
                <w:rFonts w:cs="Calibri"/>
                <w:sz w:val="20"/>
                <w:szCs w:val="20"/>
                <w:lang w:val="en-US"/>
              </w:rPr>
              <w:t>The costs eligible for CEB financing include:</w:t>
            </w:r>
          </w:p>
          <w:p w:rsidR="00D876BA" w:rsidRPr="009E0BD2" w:rsidRDefault="00D876BA" w:rsidP="00D876BA">
            <w:pPr>
              <w:pStyle w:val="Title"/>
              <w:numPr>
                <w:ilvl w:val="1"/>
                <w:numId w:val="4"/>
              </w:numPr>
              <w:pBdr>
                <w:bottom w:val="none" w:sz="0" w:space="0" w:color="auto"/>
              </w:pBdr>
              <w:spacing w:after="0"/>
              <w:ind w:left="351" w:hanging="374"/>
              <w:contextualSpacing w:val="0"/>
              <w:jc w:val="left"/>
              <w:outlineLvl w:val="0"/>
              <w:rPr>
                <w:rFonts w:cs="Calibri"/>
                <w:b w:val="0"/>
                <w:bCs/>
                <w:sz w:val="20"/>
                <w:szCs w:val="20"/>
                <w:lang w:val="en-US"/>
              </w:rPr>
            </w:pPr>
            <w:r w:rsidRPr="009E0BD2">
              <w:rPr>
                <w:rFonts w:cs="Calibri"/>
                <w:b w:val="0"/>
                <w:bCs/>
                <w:spacing w:val="-2"/>
                <w:sz w:val="20"/>
                <w:szCs w:val="20"/>
                <w:lang w:val="en-US"/>
              </w:rPr>
              <w:t>The surveys or studies (technical, economic or commercial, engineering) the technical supervision</w:t>
            </w:r>
            <w:r w:rsidRPr="009E0BD2">
              <w:rPr>
                <w:rFonts w:cs="Calibri"/>
                <w:b w:val="0"/>
                <w:bCs/>
                <w:sz w:val="20"/>
                <w:szCs w:val="20"/>
                <w:lang w:val="en-US"/>
              </w:rPr>
              <w:t xml:space="preserve"> of the project and other project related professional services.</w:t>
            </w:r>
          </w:p>
          <w:p w:rsidR="00D876BA" w:rsidRPr="009E0BD2" w:rsidRDefault="00D876BA" w:rsidP="00D876BA">
            <w:pPr>
              <w:pStyle w:val="Title"/>
              <w:numPr>
                <w:ilvl w:val="1"/>
                <w:numId w:val="4"/>
              </w:numPr>
              <w:pBdr>
                <w:bottom w:val="none" w:sz="0" w:space="0" w:color="auto"/>
              </w:pBdr>
              <w:spacing w:after="0"/>
              <w:ind w:left="351" w:hanging="374"/>
              <w:contextualSpacing w:val="0"/>
              <w:jc w:val="left"/>
              <w:outlineLvl w:val="0"/>
              <w:rPr>
                <w:rFonts w:cs="Calibri"/>
                <w:b w:val="0"/>
                <w:sz w:val="20"/>
                <w:szCs w:val="20"/>
                <w:u w:val="single"/>
                <w:lang w:val="en-US"/>
              </w:rPr>
            </w:pPr>
            <w:r w:rsidRPr="009E0BD2">
              <w:rPr>
                <w:rFonts w:cs="Calibri"/>
                <w:b w:val="0"/>
                <w:bCs/>
                <w:sz w:val="20"/>
                <w:szCs w:val="20"/>
                <w:lang w:val="en-US"/>
              </w:rPr>
              <w:t>These costs should not exceed 5% of the total cost of the project, unless justified;</w:t>
            </w:r>
          </w:p>
          <w:p w:rsidR="00D876BA" w:rsidRPr="009E0BD2" w:rsidRDefault="00D876BA" w:rsidP="00D876BA">
            <w:pPr>
              <w:pStyle w:val="Title"/>
              <w:numPr>
                <w:ilvl w:val="1"/>
                <w:numId w:val="4"/>
              </w:numPr>
              <w:pBdr>
                <w:bottom w:val="none" w:sz="0" w:space="0" w:color="auto"/>
              </w:pBdr>
              <w:spacing w:after="0"/>
              <w:ind w:left="351" w:hanging="374"/>
              <w:contextualSpacing w:val="0"/>
              <w:jc w:val="left"/>
              <w:outlineLvl w:val="0"/>
              <w:rPr>
                <w:rFonts w:cs="Calibri"/>
                <w:b w:val="0"/>
                <w:sz w:val="20"/>
                <w:szCs w:val="20"/>
                <w:u w:val="single"/>
                <w:lang w:val="en-US"/>
              </w:rPr>
            </w:pPr>
            <w:r w:rsidRPr="009E0BD2">
              <w:rPr>
                <w:rFonts w:cs="Calibri"/>
                <w:b w:val="0"/>
                <w:bCs/>
                <w:sz w:val="20"/>
                <w:szCs w:val="20"/>
                <w:lang w:val="en-US"/>
              </w:rPr>
              <w:t xml:space="preserve">The acquiring land directly linked to a project, at its purchase price, unless it has been donated or granted; </w:t>
            </w:r>
          </w:p>
          <w:p w:rsidR="00D876BA" w:rsidRPr="009E0BD2" w:rsidRDefault="00D876BA" w:rsidP="00D876BA">
            <w:pPr>
              <w:pStyle w:val="Title"/>
              <w:numPr>
                <w:ilvl w:val="1"/>
                <w:numId w:val="4"/>
              </w:numPr>
              <w:pBdr>
                <w:bottom w:val="none" w:sz="0" w:space="0" w:color="auto"/>
              </w:pBdr>
              <w:spacing w:after="0"/>
              <w:ind w:left="351" w:hanging="374"/>
              <w:contextualSpacing w:val="0"/>
              <w:jc w:val="left"/>
              <w:outlineLvl w:val="0"/>
              <w:rPr>
                <w:rFonts w:cs="Calibri"/>
                <w:b w:val="0"/>
                <w:sz w:val="20"/>
                <w:szCs w:val="20"/>
                <w:u w:val="single"/>
              </w:rPr>
            </w:pPr>
            <w:r w:rsidRPr="009E0BD2">
              <w:rPr>
                <w:rFonts w:cs="Calibri"/>
                <w:b w:val="0"/>
                <w:bCs/>
                <w:sz w:val="20"/>
                <w:szCs w:val="20"/>
              </w:rPr>
              <w:t>Preparation of the land;</w:t>
            </w:r>
          </w:p>
          <w:p w:rsidR="00D876BA" w:rsidRPr="009E0BD2" w:rsidRDefault="00D876BA" w:rsidP="00D876BA">
            <w:pPr>
              <w:pStyle w:val="Title"/>
              <w:numPr>
                <w:ilvl w:val="1"/>
                <w:numId w:val="4"/>
              </w:numPr>
              <w:pBdr>
                <w:bottom w:val="none" w:sz="0" w:space="0" w:color="auto"/>
              </w:pBdr>
              <w:spacing w:after="0"/>
              <w:ind w:left="351" w:hanging="374"/>
              <w:contextualSpacing w:val="0"/>
              <w:jc w:val="left"/>
              <w:outlineLvl w:val="0"/>
              <w:rPr>
                <w:rFonts w:cs="Calibri"/>
                <w:b w:val="0"/>
                <w:sz w:val="20"/>
                <w:szCs w:val="20"/>
                <w:u w:val="single"/>
                <w:lang w:val="en-US"/>
              </w:rPr>
            </w:pPr>
            <w:r w:rsidRPr="009E0BD2">
              <w:rPr>
                <w:rFonts w:cs="Calibri"/>
                <w:b w:val="0"/>
                <w:bCs/>
                <w:sz w:val="20"/>
                <w:szCs w:val="20"/>
                <w:lang w:val="en-US"/>
              </w:rPr>
              <w:t>Construction/renovation/modernisation or purchase of buildings directly linked to a project;</w:t>
            </w:r>
          </w:p>
          <w:p w:rsidR="00D876BA" w:rsidRPr="009E0BD2" w:rsidRDefault="00D876BA" w:rsidP="00D876BA">
            <w:pPr>
              <w:pStyle w:val="Title"/>
              <w:numPr>
                <w:ilvl w:val="1"/>
                <w:numId w:val="4"/>
              </w:numPr>
              <w:pBdr>
                <w:bottom w:val="none" w:sz="0" w:space="0" w:color="auto"/>
              </w:pBdr>
              <w:spacing w:after="0"/>
              <w:ind w:left="351" w:hanging="374"/>
              <w:contextualSpacing w:val="0"/>
              <w:jc w:val="left"/>
              <w:outlineLvl w:val="0"/>
              <w:rPr>
                <w:rFonts w:cs="Calibri"/>
                <w:b w:val="0"/>
                <w:sz w:val="20"/>
                <w:szCs w:val="20"/>
                <w:u w:val="single"/>
                <w:lang w:val="en-US"/>
              </w:rPr>
            </w:pPr>
            <w:r w:rsidRPr="009E0BD2">
              <w:rPr>
                <w:rFonts w:cs="Calibri"/>
                <w:b w:val="0"/>
                <w:bCs/>
                <w:sz w:val="20"/>
                <w:szCs w:val="20"/>
                <w:lang w:val="en-US"/>
              </w:rPr>
              <w:t>The installation of basic infrastructure such as sewerage, water supply, gas supply, electricity and telecommunications networks, waste disposal and waste water treatment, roads, etc.;</w:t>
            </w:r>
          </w:p>
          <w:p w:rsidR="00D876BA" w:rsidRPr="009E0BD2" w:rsidRDefault="00D876BA" w:rsidP="00D876BA">
            <w:pPr>
              <w:pStyle w:val="Title"/>
              <w:numPr>
                <w:ilvl w:val="1"/>
                <w:numId w:val="4"/>
              </w:numPr>
              <w:pBdr>
                <w:bottom w:val="none" w:sz="0" w:space="0" w:color="auto"/>
              </w:pBdr>
              <w:spacing w:after="0"/>
              <w:ind w:left="351" w:hanging="374"/>
              <w:contextualSpacing w:val="0"/>
              <w:jc w:val="left"/>
              <w:outlineLvl w:val="0"/>
              <w:rPr>
                <w:rFonts w:cs="Calibri"/>
                <w:b w:val="0"/>
                <w:sz w:val="20"/>
                <w:szCs w:val="20"/>
                <w:u w:val="single"/>
                <w:lang w:val="en-US"/>
              </w:rPr>
            </w:pPr>
            <w:r w:rsidRPr="009E0BD2">
              <w:rPr>
                <w:rFonts w:cs="Calibri"/>
                <w:b w:val="0"/>
                <w:bCs/>
                <w:sz w:val="20"/>
                <w:szCs w:val="20"/>
                <w:lang w:val="en-US"/>
              </w:rPr>
              <w:t>The maintenance of the viability and sustainability of the public services</w:t>
            </w:r>
            <w:r w:rsidRPr="009E0BD2">
              <w:rPr>
                <w:rFonts w:cs="Calibri"/>
                <w:b w:val="0"/>
                <w:sz w:val="20"/>
                <w:szCs w:val="20"/>
                <w:lang w:val="en-US"/>
              </w:rPr>
              <w:t>;</w:t>
            </w:r>
          </w:p>
          <w:p w:rsidR="00D876BA" w:rsidRPr="009E0BD2" w:rsidRDefault="00D876BA" w:rsidP="00D876BA">
            <w:pPr>
              <w:pStyle w:val="Title"/>
              <w:numPr>
                <w:ilvl w:val="1"/>
                <w:numId w:val="4"/>
              </w:numPr>
              <w:pBdr>
                <w:bottom w:val="none" w:sz="0" w:space="0" w:color="auto"/>
              </w:pBdr>
              <w:spacing w:after="0"/>
              <w:ind w:left="351" w:hanging="374"/>
              <w:contextualSpacing w:val="0"/>
              <w:jc w:val="left"/>
              <w:outlineLvl w:val="0"/>
              <w:rPr>
                <w:rFonts w:cs="Calibri"/>
                <w:b w:val="0"/>
                <w:sz w:val="20"/>
                <w:szCs w:val="20"/>
                <w:u w:val="single"/>
                <w:lang w:val="en-US"/>
              </w:rPr>
            </w:pPr>
            <w:r w:rsidRPr="009E0BD2">
              <w:rPr>
                <w:rFonts w:cs="Calibri"/>
                <w:b w:val="0"/>
                <w:bCs/>
                <w:sz w:val="20"/>
                <w:szCs w:val="20"/>
                <w:lang w:val="en-US"/>
              </w:rPr>
              <w:t>The purchase of materials, equipment and machinery, including IT equipment and software, as well as the related costs linked to the training of staff.</w:t>
            </w:r>
          </w:p>
          <w:p w:rsidR="00D876BA" w:rsidRPr="009E0BD2" w:rsidRDefault="00D876BA" w:rsidP="004C20BA">
            <w:pPr>
              <w:pStyle w:val="Title"/>
              <w:pBdr>
                <w:bottom w:val="none" w:sz="0" w:space="0" w:color="auto"/>
              </w:pBdr>
              <w:spacing w:after="0"/>
              <w:contextualSpacing w:val="0"/>
              <w:jc w:val="left"/>
              <w:outlineLvl w:val="0"/>
              <w:rPr>
                <w:rFonts w:cs="Calibri"/>
                <w:b w:val="0"/>
                <w:sz w:val="20"/>
                <w:szCs w:val="20"/>
                <w:u w:val="single"/>
                <w:lang w:val="en-US"/>
              </w:rPr>
            </w:pPr>
            <w:r w:rsidRPr="009E0BD2">
              <w:rPr>
                <w:rFonts w:cs="Calibri"/>
                <w:b w:val="0"/>
                <w:bCs/>
                <w:sz w:val="20"/>
                <w:szCs w:val="20"/>
                <w:lang w:val="en-US"/>
              </w:rPr>
              <w:t xml:space="preserve">Contingencies for unanticipated costs (technical and/or price increases) can be financed by CEB. These represent financial coverage in respect of possible changes in the quantity of work required, or of unit prices, in the type and quantity of equipment to be purchased or in the method of carrying out the project. Depending on the sector of activity and the various components of the project, these contingencies may represent up to 10% of the total cost of the project. </w:t>
            </w:r>
          </w:p>
          <w:p w:rsidR="00D876BA" w:rsidRPr="009E0BD2" w:rsidRDefault="00D876BA" w:rsidP="004C20BA">
            <w:pPr>
              <w:pStyle w:val="Title"/>
              <w:pBdr>
                <w:bottom w:val="none" w:sz="0" w:space="0" w:color="auto"/>
              </w:pBdr>
              <w:spacing w:after="0"/>
              <w:contextualSpacing w:val="0"/>
              <w:jc w:val="left"/>
              <w:outlineLvl w:val="0"/>
              <w:rPr>
                <w:rFonts w:cs="Calibri"/>
                <w:b w:val="0"/>
                <w:bCs/>
                <w:sz w:val="20"/>
                <w:szCs w:val="20"/>
                <w:lang w:val="en-US"/>
              </w:rPr>
            </w:pPr>
            <w:r w:rsidRPr="009E0BD2">
              <w:rPr>
                <w:rFonts w:cs="Calibri"/>
                <w:b w:val="0"/>
                <w:bCs/>
                <w:sz w:val="20"/>
                <w:szCs w:val="20"/>
                <w:lang w:val="en-US"/>
              </w:rPr>
              <w:t xml:space="preserve">Costs related to professional/vocational training and public awareness-raising campaigns may be eligible for CEB financing taking into account their objectives within the framework of the projects. </w:t>
            </w:r>
          </w:p>
          <w:p w:rsidR="00D876BA" w:rsidRPr="009E0BD2" w:rsidRDefault="00D876BA" w:rsidP="004C20BA">
            <w:pPr>
              <w:spacing w:before="0" w:after="0"/>
              <w:jc w:val="left"/>
              <w:rPr>
                <w:rFonts w:cs="Calibri"/>
                <w:sz w:val="20"/>
                <w:szCs w:val="20"/>
                <w:lang w:val="en-US"/>
              </w:rPr>
            </w:pPr>
            <w:r w:rsidRPr="009E0BD2">
              <w:rPr>
                <w:rFonts w:cs="Calibri"/>
                <w:sz w:val="20"/>
                <w:szCs w:val="20"/>
                <w:lang w:val="en-US"/>
              </w:rPr>
              <w:t>CEB loans cannot cover staff costs (wages/salaries and other related benefits such as pension payments), financial charges and non-cash elements such as depreciation. Such costs may however be considered eligible when they relate to project management or technical assistance required for project preparation and implementation.</w:t>
            </w:r>
          </w:p>
          <w:p w:rsidR="00D876BA" w:rsidRPr="009E0BD2" w:rsidRDefault="00D876BA" w:rsidP="004C20BA">
            <w:pPr>
              <w:spacing w:before="0" w:after="0"/>
              <w:jc w:val="left"/>
              <w:rPr>
                <w:rFonts w:cs="Calibri"/>
                <w:sz w:val="20"/>
                <w:szCs w:val="20"/>
                <w:lang w:val="en-US"/>
              </w:rPr>
            </w:pPr>
            <w:r w:rsidRPr="009E0BD2">
              <w:rPr>
                <w:rFonts w:cs="Calibri"/>
                <w:sz w:val="20"/>
                <w:szCs w:val="20"/>
                <w:lang w:val="en-US"/>
              </w:rPr>
              <w:t>Financial costs or investments (payment of debts, refinancing, interest charges, acquisition of interest in the capital of an enterprise, etc.) cannot be included in the estimated cost of the project and cannot be financed by the CEB.</w:t>
            </w:r>
          </w:p>
          <w:p w:rsidR="00D876BA" w:rsidRPr="009E0BD2" w:rsidRDefault="00D876BA" w:rsidP="004C20BA">
            <w:pPr>
              <w:spacing w:before="0" w:after="0"/>
              <w:jc w:val="left"/>
              <w:rPr>
                <w:rFonts w:cs="Calibri"/>
                <w:sz w:val="20"/>
                <w:szCs w:val="20"/>
                <w:lang w:val="en-US"/>
              </w:rPr>
            </w:pPr>
            <w:r w:rsidRPr="009E0BD2">
              <w:rPr>
                <w:rFonts w:cs="Calibri"/>
                <w:sz w:val="20"/>
                <w:szCs w:val="20"/>
                <w:lang w:val="en-US"/>
              </w:rPr>
              <w:t>Non-deductible and non-refundable VAT and other tax-related costs non-deductible and non-refundable are considered as eligible costs.</w:t>
            </w:r>
          </w:p>
          <w:p w:rsidR="00D876BA" w:rsidRPr="009E0BD2" w:rsidRDefault="00D876BA" w:rsidP="004C20BA">
            <w:pPr>
              <w:spacing w:before="0" w:after="0"/>
              <w:jc w:val="left"/>
              <w:rPr>
                <w:sz w:val="20"/>
                <w:szCs w:val="20"/>
                <w:lang w:val="en-GB"/>
              </w:rPr>
            </w:pPr>
            <w:r w:rsidRPr="009E0BD2">
              <w:rPr>
                <w:sz w:val="20"/>
                <w:szCs w:val="20"/>
                <w:lang w:val="en-GB"/>
              </w:rPr>
              <w:t>Under component A, working capital is limited to 15% of CEB’s Sub-loan as a maximum share on each individual Sub-project.</w:t>
            </w:r>
          </w:p>
        </w:tc>
      </w:tr>
      <w:tr w:rsidR="00D876BA" w:rsidRPr="00FE5E99" w:rsidTr="004C20BA">
        <w:trPr>
          <w:trHeight w:val="51"/>
        </w:trPr>
        <w:tc>
          <w:tcPr>
            <w:tcW w:w="433" w:type="dxa"/>
          </w:tcPr>
          <w:p w:rsidR="00D876BA" w:rsidRPr="00D53135" w:rsidRDefault="00D876BA" w:rsidP="004C20BA">
            <w:pPr>
              <w:spacing w:before="0" w:after="0"/>
              <w:rPr>
                <w:rFonts w:eastAsia="Times New Roman" w:cs="Times New Roman"/>
                <w:b/>
                <w:sz w:val="20"/>
                <w:szCs w:val="20"/>
                <w:lang w:val="en-GB"/>
              </w:rPr>
            </w:pPr>
          </w:p>
        </w:tc>
        <w:tc>
          <w:tcPr>
            <w:tcW w:w="2837" w:type="dxa"/>
          </w:tcPr>
          <w:p w:rsidR="00D876BA" w:rsidRPr="00D53135" w:rsidRDefault="00D876BA" w:rsidP="004C20BA">
            <w:pPr>
              <w:spacing w:before="0" w:after="0"/>
              <w:rPr>
                <w:rFonts w:eastAsia="Times New Roman" w:cs="Times New Roman"/>
                <w:b/>
                <w:sz w:val="20"/>
                <w:szCs w:val="20"/>
                <w:lang w:val="en-GB"/>
              </w:rPr>
            </w:pPr>
          </w:p>
        </w:tc>
        <w:tc>
          <w:tcPr>
            <w:tcW w:w="2288" w:type="dxa"/>
          </w:tcPr>
          <w:p w:rsidR="00D876BA" w:rsidRPr="00D53135" w:rsidRDefault="00D876BA" w:rsidP="004C20BA">
            <w:pPr>
              <w:spacing w:before="0" w:after="0"/>
              <w:rPr>
                <w:rFonts w:eastAsia="Times New Roman" w:cs="Times New Roman"/>
                <w:i/>
                <w:sz w:val="20"/>
                <w:szCs w:val="20"/>
                <w:lang w:val="en-GB"/>
              </w:rPr>
            </w:pPr>
          </w:p>
        </w:tc>
        <w:tc>
          <w:tcPr>
            <w:tcW w:w="3396" w:type="dxa"/>
            <w:gridSpan w:val="2"/>
          </w:tcPr>
          <w:p w:rsidR="00D876BA" w:rsidRPr="00D53135" w:rsidRDefault="00D876BA" w:rsidP="004C20BA">
            <w:pPr>
              <w:spacing w:before="0" w:after="0"/>
              <w:rPr>
                <w:rFonts w:eastAsia="Times New Roman" w:cs="Times New Roman"/>
                <w:sz w:val="20"/>
                <w:szCs w:val="20"/>
                <w:lang w:val="en-GB"/>
              </w:rPr>
            </w:pPr>
          </w:p>
        </w:tc>
      </w:tr>
      <w:tr w:rsidR="00D876BA" w:rsidRPr="00FE5E99" w:rsidTr="004C20BA">
        <w:tblPrEx>
          <w:tblBorders>
            <w:top w:val="single" w:sz="12" w:space="0" w:color="auto"/>
            <w:left w:val="single" w:sz="12" w:space="0" w:color="auto"/>
            <w:bottom w:val="single" w:sz="12" w:space="0" w:color="auto"/>
            <w:right w:val="single" w:sz="12" w:space="0" w:color="auto"/>
            <w:insideV w:val="single" w:sz="6" w:space="0" w:color="auto"/>
          </w:tblBorders>
        </w:tblPrEx>
        <w:trPr>
          <w:gridAfter w:val="1"/>
          <w:wAfter w:w="357" w:type="dxa"/>
          <w:trHeight w:val="285"/>
        </w:trPr>
        <w:tc>
          <w:tcPr>
            <w:tcW w:w="433" w:type="dxa"/>
            <w:tcBorders>
              <w:top w:val="nil"/>
              <w:left w:val="nil"/>
              <w:bottom w:val="nil"/>
              <w:right w:val="nil"/>
            </w:tcBorders>
          </w:tcPr>
          <w:p w:rsidR="00D876BA" w:rsidRPr="00D53135" w:rsidRDefault="00D876BA" w:rsidP="004C20BA">
            <w:pPr>
              <w:spacing w:before="0" w:after="0"/>
              <w:rPr>
                <w:rFonts w:eastAsia="Times New Roman" w:cs="Times New Roman"/>
                <w:b/>
                <w:sz w:val="20"/>
                <w:szCs w:val="20"/>
                <w:lang w:val="en-GB"/>
              </w:rPr>
            </w:pPr>
            <w:r>
              <w:rPr>
                <w:rFonts w:eastAsia="Times New Roman" w:cs="Times New Roman"/>
                <w:b/>
                <w:sz w:val="20"/>
                <w:szCs w:val="20"/>
                <w:lang w:val="en-GB"/>
              </w:rPr>
              <w:lastRenderedPageBreak/>
              <w:t>III</w:t>
            </w:r>
            <w:r w:rsidRPr="00D53135">
              <w:rPr>
                <w:rFonts w:eastAsia="Times New Roman" w:cs="Times New Roman"/>
                <w:b/>
                <w:sz w:val="20"/>
                <w:szCs w:val="20"/>
                <w:lang w:val="en-GB"/>
              </w:rPr>
              <w:t>.</w:t>
            </w:r>
          </w:p>
        </w:tc>
        <w:tc>
          <w:tcPr>
            <w:tcW w:w="2837" w:type="dxa"/>
            <w:tcBorders>
              <w:top w:val="single" w:sz="12" w:space="0" w:color="auto"/>
              <w:left w:val="single" w:sz="12" w:space="0" w:color="auto"/>
              <w:bottom w:val="single" w:sz="12" w:space="0" w:color="auto"/>
            </w:tcBorders>
            <w:shd w:val="pct5" w:color="auto" w:fill="auto"/>
          </w:tcPr>
          <w:p w:rsidR="00D876BA" w:rsidRPr="00D53135" w:rsidRDefault="00D876BA" w:rsidP="004C20BA">
            <w:pPr>
              <w:spacing w:before="0" w:after="0"/>
              <w:rPr>
                <w:rFonts w:eastAsia="Times New Roman" w:cs="Times New Roman"/>
                <w:b/>
                <w:sz w:val="20"/>
                <w:szCs w:val="20"/>
                <w:lang w:val="en-GB"/>
              </w:rPr>
            </w:pPr>
            <w:r w:rsidRPr="00D53135">
              <w:rPr>
                <w:rFonts w:eastAsia="Times New Roman" w:cs="Times New Roman"/>
                <w:b/>
                <w:sz w:val="20"/>
                <w:szCs w:val="20"/>
                <w:lang w:val="en-GB"/>
              </w:rPr>
              <w:t>Social impact</w:t>
            </w:r>
          </w:p>
        </w:tc>
        <w:tc>
          <w:tcPr>
            <w:tcW w:w="5327" w:type="dxa"/>
            <w:gridSpan w:val="2"/>
            <w:tcBorders>
              <w:top w:val="single" w:sz="12" w:space="0" w:color="auto"/>
              <w:bottom w:val="single" w:sz="12" w:space="0" w:color="auto"/>
            </w:tcBorders>
            <w:shd w:val="pct5" w:color="auto" w:fill="auto"/>
          </w:tcPr>
          <w:p w:rsidR="00D876BA" w:rsidRPr="002E2983" w:rsidRDefault="00D876BA" w:rsidP="004C20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eastAsia="Times New Roman" w:cs="Times New Roman"/>
                <w:sz w:val="20"/>
                <w:szCs w:val="20"/>
                <w:lang w:val="en-GB"/>
              </w:rPr>
            </w:pPr>
            <w:r w:rsidRPr="002E2983">
              <w:rPr>
                <w:sz w:val="20"/>
                <w:szCs w:val="20"/>
                <w:lang w:val="en-US"/>
              </w:rPr>
              <w:t>Under Component A, the objective of the Project is to contribute to the creation of new permanent and seasonal jobs through strengthening the competitive position of SMEs by facilitating their access to medium and long-term funding.</w:t>
            </w:r>
            <w:r w:rsidRPr="002E2983" w:rsidDel="0021671E">
              <w:rPr>
                <w:rFonts w:eastAsia="Times New Roman" w:cs="Times New Roman"/>
                <w:sz w:val="20"/>
                <w:szCs w:val="20"/>
                <w:lang w:val="en-GB"/>
              </w:rPr>
              <w:t xml:space="preserve"> </w:t>
            </w:r>
          </w:p>
          <w:p w:rsidR="00D876BA" w:rsidRPr="00D53135" w:rsidRDefault="00D876BA" w:rsidP="004C20BA">
            <w:pPr>
              <w:tabs>
                <w:tab w:val="left" w:pos="354"/>
              </w:tabs>
              <w:spacing w:before="0" w:after="0"/>
              <w:rPr>
                <w:sz w:val="20"/>
                <w:szCs w:val="20"/>
                <w:lang w:val="en-US"/>
              </w:rPr>
            </w:pPr>
            <w:r w:rsidRPr="000E663E">
              <w:rPr>
                <w:sz w:val="20"/>
                <w:szCs w:val="20"/>
                <w:lang w:val="en-US"/>
              </w:rPr>
              <w:t xml:space="preserve">Under </w:t>
            </w:r>
            <w:r>
              <w:rPr>
                <w:sz w:val="20"/>
                <w:szCs w:val="20"/>
                <w:lang w:val="en-US"/>
              </w:rPr>
              <w:t>C</w:t>
            </w:r>
            <w:r w:rsidRPr="000E663E">
              <w:rPr>
                <w:sz w:val="20"/>
                <w:szCs w:val="20"/>
                <w:lang w:val="en-US"/>
              </w:rPr>
              <w:t>omponent</w:t>
            </w:r>
            <w:r>
              <w:rPr>
                <w:sz w:val="20"/>
                <w:szCs w:val="20"/>
                <w:lang w:val="en-US"/>
              </w:rPr>
              <w:t xml:space="preserve"> B</w:t>
            </w:r>
            <w:r w:rsidRPr="000E663E">
              <w:rPr>
                <w:sz w:val="20"/>
                <w:szCs w:val="20"/>
                <w:lang w:val="en-US"/>
              </w:rPr>
              <w:t>, the objective of the Project is to support the municipal sector in its endeavour to develop and upgrade its social infrastructure as a necessary condition for sustainable economic development.</w:t>
            </w:r>
          </w:p>
        </w:tc>
      </w:tr>
    </w:tbl>
    <w:p w:rsidR="00D876BA" w:rsidRPr="000E663E" w:rsidRDefault="00D876BA" w:rsidP="00D876BA">
      <w:pPr>
        <w:spacing w:before="0" w:after="0"/>
        <w:rPr>
          <w:sz w:val="20"/>
          <w:szCs w:val="20"/>
          <w:lang w:val="en-US"/>
        </w:rPr>
      </w:pPr>
    </w:p>
    <w:p w:rsidR="00D97A59" w:rsidRPr="00D876BA" w:rsidRDefault="00D97A59" w:rsidP="00D876BA">
      <w:pPr>
        <w:spacing w:before="0" w:after="0"/>
        <w:jc w:val="left"/>
        <w:rPr>
          <w:rFonts w:eastAsiaTheme="majorEastAsia" w:cstheme="majorBidi"/>
          <w:b/>
          <w:sz w:val="24"/>
          <w:szCs w:val="32"/>
          <w:lang w:val="en-US"/>
        </w:rPr>
      </w:pPr>
    </w:p>
    <w:sectPr w:rsidR="00D97A59" w:rsidRPr="00D876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59DA" w:rsidRDefault="00D859DA" w:rsidP="00D876BA">
      <w:pPr>
        <w:spacing w:before="0" w:after="0"/>
      </w:pPr>
      <w:r>
        <w:separator/>
      </w:r>
    </w:p>
  </w:endnote>
  <w:endnote w:type="continuationSeparator" w:id="0">
    <w:p w:rsidR="00D859DA" w:rsidRDefault="00D859DA" w:rsidP="00D876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59DA" w:rsidRDefault="00D859DA" w:rsidP="00D876BA">
      <w:pPr>
        <w:spacing w:before="0" w:after="0"/>
      </w:pPr>
      <w:r>
        <w:separator/>
      </w:r>
    </w:p>
  </w:footnote>
  <w:footnote w:type="continuationSeparator" w:id="0">
    <w:p w:rsidR="00D859DA" w:rsidRDefault="00D859DA" w:rsidP="00D876BA">
      <w:pPr>
        <w:spacing w:before="0" w:after="0"/>
      </w:pPr>
      <w:r>
        <w:continuationSeparator/>
      </w:r>
    </w:p>
  </w:footnote>
  <w:footnote w:id="1">
    <w:p w:rsidR="00D876BA" w:rsidRPr="005417F7" w:rsidRDefault="00D876BA" w:rsidP="00D876BA">
      <w:pPr>
        <w:pStyle w:val="FootnoteText"/>
        <w:tabs>
          <w:tab w:val="left" w:pos="142"/>
        </w:tabs>
        <w:ind w:left="142" w:hanging="142"/>
        <w:rPr>
          <w:rFonts w:cstheme="minorHAnsi"/>
          <w:noProof/>
          <w:sz w:val="16"/>
          <w:szCs w:val="16"/>
          <w:lang w:val="en-US"/>
        </w:rPr>
      </w:pPr>
      <w:r w:rsidRPr="00FE0613">
        <w:rPr>
          <w:rStyle w:val="FootnoteReference"/>
          <w:rFonts w:cstheme="minorHAnsi"/>
          <w:noProof/>
          <w:sz w:val="16"/>
          <w:szCs w:val="16"/>
        </w:rPr>
        <w:footnoteRef/>
      </w:r>
      <w:r w:rsidRPr="005417F7">
        <w:rPr>
          <w:rFonts w:cstheme="minorHAnsi"/>
          <w:noProof/>
          <w:sz w:val="16"/>
          <w:szCs w:val="16"/>
          <w:lang w:val="en-US"/>
        </w:rPr>
        <w:tab/>
        <w:t>The French acronym NACE refers to the “Statistical Classification of Economic Activities in the European Community”. Developed since 1970, NACE provides a framework for the collection and presentation, according to economic activity, of a wide range of statistics in the economic areas (for example: production, employment, national accounts) or others – See Regulation (CE) No. 1893/2006 of the European Parliament and of the Council of 20/12/2006 establishing the statistical classification of economic activities NACE Revision 2 and amending Council Regulation (EEC) No 3037/90 as well as certain EC Regulations on specific statistical domains.</w:t>
      </w:r>
    </w:p>
  </w:footnote>
  <w:footnote w:id="2">
    <w:p w:rsidR="00D876BA" w:rsidRPr="005417F7" w:rsidRDefault="00D876BA" w:rsidP="00D876BA">
      <w:pPr>
        <w:pStyle w:val="FootnoteText"/>
        <w:tabs>
          <w:tab w:val="left" w:pos="142"/>
        </w:tabs>
        <w:ind w:left="142" w:hanging="142"/>
        <w:rPr>
          <w:rFonts w:cstheme="minorHAnsi"/>
          <w:noProof/>
          <w:sz w:val="16"/>
          <w:szCs w:val="16"/>
          <w:lang w:val="en-US"/>
        </w:rPr>
      </w:pPr>
      <w:r w:rsidRPr="00FE0613">
        <w:rPr>
          <w:rStyle w:val="FootnoteReference"/>
          <w:rFonts w:cs="Calibri"/>
          <w:noProof/>
          <w:sz w:val="16"/>
          <w:szCs w:val="16"/>
        </w:rPr>
        <w:footnoteRef/>
      </w:r>
      <w:r w:rsidRPr="005417F7">
        <w:rPr>
          <w:rFonts w:cs="Calibri"/>
          <w:noProof/>
          <w:sz w:val="16"/>
          <w:szCs w:val="16"/>
          <w:lang w:val="en-US"/>
        </w:rPr>
        <w:tab/>
      </w:r>
      <w:r w:rsidRPr="005417F7">
        <w:rPr>
          <w:rFonts w:cstheme="minorHAnsi"/>
          <w:noProof/>
          <w:sz w:val="16"/>
          <w:szCs w:val="16"/>
          <w:lang w:val="en-US"/>
        </w:rPr>
        <w:t>This does not apply to the purchase of medical equipment, quality control (measurement) equipment and any equipment where the CEB considers the radioactive source to be insignificant and/or adequately shielded.</w:t>
      </w:r>
    </w:p>
  </w:footnote>
  <w:footnote w:id="3">
    <w:p w:rsidR="00D876BA" w:rsidRPr="005417F7" w:rsidRDefault="00D876BA" w:rsidP="00D876BA">
      <w:pPr>
        <w:pStyle w:val="FootnoteText"/>
        <w:tabs>
          <w:tab w:val="left" w:pos="142"/>
        </w:tabs>
        <w:ind w:left="142" w:hanging="142"/>
        <w:rPr>
          <w:rFonts w:cstheme="minorHAnsi"/>
          <w:noProof/>
          <w:sz w:val="16"/>
          <w:szCs w:val="16"/>
          <w:lang w:val="en-US"/>
        </w:rPr>
      </w:pPr>
      <w:r w:rsidRPr="00FE0613">
        <w:rPr>
          <w:rStyle w:val="FootnoteReference"/>
          <w:rFonts w:cstheme="minorHAnsi"/>
          <w:noProof/>
          <w:sz w:val="16"/>
          <w:szCs w:val="16"/>
        </w:rPr>
        <w:footnoteRef/>
      </w:r>
      <w:r w:rsidRPr="005417F7">
        <w:rPr>
          <w:rFonts w:cstheme="minorHAnsi"/>
          <w:noProof/>
          <w:sz w:val="16"/>
          <w:szCs w:val="16"/>
          <w:lang w:val="en-US"/>
        </w:rPr>
        <w:tab/>
        <w:t>Production or trade in any product or activity deemed illegal under the Member States laws or regulations or international conventions and agreements, such as unbonded asbestos fibers, pharmaceuticals, pesticides/herbicides, ozone-depleting substances, polychlorinated biphenyls (PCBs), wildlife or products regulated under the Convention on International Trade in Endangered Species (CITES).</w:t>
      </w:r>
    </w:p>
    <w:p w:rsidR="00D876BA" w:rsidRPr="005417F7" w:rsidRDefault="00D876BA" w:rsidP="00D876BA">
      <w:pPr>
        <w:pStyle w:val="FootnoteText"/>
        <w:tabs>
          <w:tab w:val="left" w:pos="0"/>
        </w:tabs>
        <w:rPr>
          <w:rFonts w:cstheme="minorHAnsi"/>
          <w:noProof/>
          <w:sz w:val="16"/>
          <w:szCs w:val="16"/>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5F2643"/>
    <w:multiLevelType w:val="hybridMultilevel"/>
    <w:tmpl w:val="77F45186"/>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14"/>
        </w:tabs>
        <w:ind w:left="1014" w:hanging="360"/>
      </w:pPr>
      <w:rPr>
        <w:rFonts w:ascii="Courier New" w:hAnsi="Courier New" w:cs="Courier New" w:hint="default"/>
      </w:rPr>
    </w:lvl>
    <w:lvl w:ilvl="2" w:tplc="040C0005" w:tentative="1">
      <w:start w:val="1"/>
      <w:numFmt w:val="bullet"/>
      <w:lvlText w:val=""/>
      <w:lvlJc w:val="left"/>
      <w:pPr>
        <w:tabs>
          <w:tab w:val="num" w:pos="1734"/>
        </w:tabs>
        <w:ind w:left="1734" w:hanging="360"/>
      </w:pPr>
      <w:rPr>
        <w:rFonts w:ascii="Wingdings" w:hAnsi="Wingdings" w:hint="default"/>
      </w:rPr>
    </w:lvl>
    <w:lvl w:ilvl="3" w:tplc="040C0001" w:tentative="1">
      <w:start w:val="1"/>
      <w:numFmt w:val="bullet"/>
      <w:lvlText w:val=""/>
      <w:lvlJc w:val="left"/>
      <w:pPr>
        <w:tabs>
          <w:tab w:val="num" w:pos="2454"/>
        </w:tabs>
        <w:ind w:left="2454" w:hanging="360"/>
      </w:pPr>
      <w:rPr>
        <w:rFonts w:ascii="Symbol" w:hAnsi="Symbol" w:hint="default"/>
      </w:rPr>
    </w:lvl>
    <w:lvl w:ilvl="4" w:tplc="040C0003" w:tentative="1">
      <w:start w:val="1"/>
      <w:numFmt w:val="bullet"/>
      <w:lvlText w:val="o"/>
      <w:lvlJc w:val="left"/>
      <w:pPr>
        <w:tabs>
          <w:tab w:val="num" w:pos="3174"/>
        </w:tabs>
        <w:ind w:left="3174" w:hanging="360"/>
      </w:pPr>
      <w:rPr>
        <w:rFonts w:ascii="Courier New" w:hAnsi="Courier New" w:cs="Courier New" w:hint="default"/>
      </w:rPr>
    </w:lvl>
    <w:lvl w:ilvl="5" w:tplc="040C0005" w:tentative="1">
      <w:start w:val="1"/>
      <w:numFmt w:val="bullet"/>
      <w:lvlText w:val=""/>
      <w:lvlJc w:val="left"/>
      <w:pPr>
        <w:tabs>
          <w:tab w:val="num" w:pos="3894"/>
        </w:tabs>
        <w:ind w:left="3894" w:hanging="360"/>
      </w:pPr>
      <w:rPr>
        <w:rFonts w:ascii="Wingdings" w:hAnsi="Wingdings" w:hint="default"/>
      </w:rPr>
    </w:lvl>
    <w:lvl w:ilvl="6" w:tplc="040C0001" w:tentative="1">
      <w:start w:val="1"/>
      <w:numFmt w:val="bullet"/>
      <w:lvlText w:val=""/>
      <w:lvlJc w:val="left"/>
      <w:pPr>
        <w:tabs>
          <w:tab w:val="num" w:pos="4614"/>
        </w:tabs>
        <w:ind w:left="4614" w:hanging="360"/>
      </w:pPr>
      <w:rPr>
        <w:rFonts w:ascii="Symbol" w:hAnsi="Symbol" w:hint="default"/>
      </w:rPr>
    </w:lvl>
    <w:lvl w:ilvl="7" w:tplc="040C0003" w:tentative="1">
      <w:start w:val="1"/>
      <w:numFmt w:val="bullet"/>
      <w:lvlText w:val="o"/>
      <w:lvlJc w:val="left"/>
      <w:pPr>
        <w:tabs>
          <w:tab w:val="num" w:pos="5334"/>
        </w:tabs>
        <w:ind w:left="5334" w:hanging="360"/>
      </w:pPr>
      <w:rPr>
        <w:rFonts w:ascii="Courier New" w:hAnsi="Courier New" w:cs="Courier New" w:hint="default"/>
      </w:rPr>
    </w:lvl>
    <w:lvl w:ilvl="8" w:tplc="040C0005" w:tentative="1">
      <w:start w:val="1"/>
      <w:numFmt w:val="bullet"/>
      <w:lvlText w:val=""/>
      <w:lvlJc w:val="left"/>
      <w:pPr>
        <w:tabs>
          <w:tab w:val="num" w:pos="6054"/>
        </w:tabs>
        <w:ind w:left="6054" w:hanging="360"/>
      </w:pPr>
      <w:rPr>
        <w:rFonts w:ascii="Wingdings" w:hAnsi="Wingdings" w:hint="default"/>
      </w:rPr>
    </w:lvl>
  </w:abstractNum>
  <w:abstractNum w:abstractNumId="1" w15:restartNumberingAfterBreak="0">
    <w:nsid w:val="2790762C"/>
    <w:multiLevelType w:val="hybridMultilevel"/>
    <w:tmpl w:val="B072887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B9E139C"/>
    <w:multiLevelType w:val="multilevel"/>
    <w:tmpl w:val="D8C46E6C"/>
    <w:lvl w:ilvl="0">
      <w:start w:val="1"/>
      <w:numFmt w:val="bullet"/>
      <w:lvlText w:val=""/>
      <w:lvlJc w:val="left"/>
      <w:pPr>
        <w:ind w:left="750" w:hanging="375"/>
      </w:pPr>
      <w:rPr>
        <w:rFonts w:ascii="Symbol" w:hAnsi="Symbol" w:hint="default"/>
      </w:rPr>
    </w:lvl>
    <w:lvl w:ilvl="1">
      <w:start w:val="1"/>
      <w:numFmt w:val="bullet"/>
      <w:lvlText w:val=""/>
      <w:lvlJc w:val="left"/>
      <w:pPr>
        <w:ind w:left="1470" w:hanging="375"/>
      </w:pPr>
      <w:rPr>
        <w:rFonts w:ascii="Symbol" w:hAnsi="Symbol" w:hint="default"/>
      </w:rPr>
    </w:lvl>
    <w:lvl w:ilvl="2">
      <w:start w:val="1"/>
      <w:numFmt w:val="decimal"/>
      <w:lvlText w:val="%1.%2.%3"/>
      <w:lvlJc w:val="left"/>
      <w:pPr>
        <w:ind w:left="2535" w:hanging="720"/>
      </w:pPr>
      <w:rPr>
        <w:rFonts w:hint="default"/>
      </w:rPr>
    </w:lvl>
    <w:lvl w:ilvl="3">
      <w:start w:val="1"/>
      <w:numFmt w:val="decimal"/>
      <w:lvlText w:val="%1.%2.%3.%4"/>
      <w:lvlJc w:val="left"/>
      <w:pPr>
        <w:ind w:left="3255" w:hanging="720"/>
      </w:pPr>
      <w:rPr>
        <w:rFonts w:hint="default"/>
      </w:rPr>
    </w:lvl>
    <w:lvl w:ilvl="4">
      <w:start w:val="1"/>
      <w:numFmt w:val="decimal"/>
      <w:lvlText w:val="%1.%2.%3.%4.%5"/>
      <w:lvlJc w:val="left"/>
      <w:pPr>
        <w:ind w:left="4335" w:hanging="1080"/>
      </w:pPr>
      <w:rPr>
        <w:rFonts w:hint="default"/>
      </w:rPr>
    </w:lvl>
    <w:lvl w:ilvl="5">
      <w:start w:val="1"/>
      <w:numFmt w:val="decimal"/>
      <w:lvlText w:val="%1.%2.%3.%4.%5.%6"/>
      <w:lvlJc w:val="left"/>
      <w:pPr>
        <w:ind w:left="5055" w:hanging="1080"/>
      </w:pPr>
      <w:rPr>
        <w:rFonts w:hint="default"/>
      </w:rPr>
    </w:lvl>
    <w:lvl w:ilvl="6">
      <w:start w:val="1"/>
      <w:numFmt w:val="decimal"/>
      <w:lvlText w:val="%1.%2.%3.%4.%5.%6.%7"/>
      <w:lvlJc w:val="left"/>
      <w:pPr>
        <w:ind w:left="6135" w:hanging="1440"/>
      </w:pPr>
      <w:rPr>
        <w:rFonts w:hint="default"/>
      </w:rPr>
    </w:lvl>
    <w:lvl w:ilvl="7">
      <w:start w:val="1"/>
      <w:numFmt w:val="decimal"/>
      <w:lvlText w:val="%1.%2.%3.%4.%5.%6.%7.%8"/>
      <w:lvlJc w:val="left"/>
      <w:pPr>
        <w:ind w:left="6855" w:hanging="1440"/>
      </w:pPr>
      <w:rPr>
        <w:rFonts w:hint="default"/>
      </w:rPr>
    </w:lvl>
    <w:lvl w:ilvl="8">
      <w:start w:val="1"/>
      <w:numFmt w:val="decimal"/>
      <w:lvlText w:val="%1.%2.%3.%4.%5.%6.%7.%8.%9"/>
      <w:lvlJc w:val="left"/>
      <w:pPr>
        <w:ind w:left="7575" w:hanging="1440"/>
      </w:pPr>
      <w:rPr>
        <w:rFonts w:hint="default"/>
      </w:rPr>
    </w:lvl>
  </w:abstractNum>
  <w:abstractNum w:abstractNumId="3" w15:restartNumberingAfterBreak="0">
    <w:nsid w:val="33713DEB"/>
    <w:multiLevelType w:val="multilevel"/>
    <w:tmpl w:val="D8C46E6C"/>
    <w:lvl w:ilvl="0">
      <w:start w:val="1"/>
      <w:numFmt w:val="bullet"/>
      <w:lvlText w:val=""/>
      <w:lvlJc w:val="left"/>
      <w:pPr>
        <w:ind w:left="375" w:hanging="375"/>
      </w:pPr>
      <w:rPr>
        <w:rFonts w:ascii="Symbol" w:hAnsi="Symbol" w:hint="default"/>
      </w:rPr>
    </w:lvl>
    <w:lvl w:ilvl="1">
      <w:start w:val="1"/>
      <w:numFmt w:val="bullet"/>
      <w:lvlText w:val=""/>
      <w:lvlJc w:val="left"/>
      <w:pPr>
        <w:ind w:left="1095" w:hanging="375"/>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636E3CBA"/>
    <w:multiLevelType w:val="hybridMultilevel"/>
    <w:tmpl w:val="BD1C9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6BA"/>
    <w:rsid w:val="00427C37"/>
    <w:rsid w:val="006875EC"/>
    <w:rsid w:val="00D859DA"/>
    <w:rsid w:val="00D876BA"/>
    <w:rsid w:val="00D97A5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24479B-5E00-4B59-9317-5DA15A35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76BA"/>
    <w:pPr>
      <w:spacing w:before="120" w:after="120" w:line="240" w:lineRule="auto"/>
      <w:jc w:val="both"/>
    </w:pPr>
    <w:rPr>
      <w:lang w:val="fr-FR"/>
    </w:rPr>
  </w:style>
  <w:style w:type="paragraph" w:styleId="Heading1">
    <w:name w:val="heading 1"/>
    <w:basedOn w:val="Normal"/>
    <w:next w:val="Normal"/>
    <w:link w:val="Heading1Char"/>
    <w:uiPriority w:val="9"/>
    <w:qFormat/>
    <w:rsid w:val="00D876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autoRedefine/>
    <w:uiPriority w:val="34"/>
    <w:qFormat/>
    <w:rsid w:val="00D876BA"/>
    <w:pPr>
      <w:spacing w:before="0" w:after="0"/>
      <w:contextualSpacing/>
    </w:pPr>
    <w:rPr>
      <w:rFonts w:cstheme="minorHAnsi"/>
      <w:lang w:val="en-GB"/>
    </w:rPr>
  </w:style>
  <w:style w:type="paragraph" w:styleId="Title">
    <w:name w:val="Title"/>
    <w:basedOn w:val="Normal"/>
    <w:next w:val="Normal"/>
    <w:link w:val="TitleChar"/>
    <w:qFormat/>
    <w:rsid w:val="00D876BA"/>
    <w:pPr>
      <w:pBdr>
        <w:bottom w:val="single" w:sz="8" w:space="4" w:color="4472C4" w:themeColor="accent1"/>
      </w:pBdr>
      <w:spacing w:before="0" w:after="300"/>
      <w:contextualSpacing/>
      <w:jc w:val="center"/>
    </w:pPr>
    <w:rPr>
      <w:rFonts w:eastAsiaTheme="majorEastAsia" w:cstheme="majorBidi"/>
      <w:b/>
      <w:spacing w:val="5"/>
      <w:kern w:val="28"/>
      <w:szCs w:val="52"/>
    </w:rPr>
  </w:style>
  <w:style w:type="character" w:customStyle="1" w:styleId="TitleChar">
    <w:name w:val="Title Char"/>
    <w:basedOn w:val="DefaultParagraphFont"/>
    <w:link w:val="Title"/>
    <w:rsid w:val="00D876BA"/>
    <w:rPr>
      <w:rFonts w:eastAsiaTheme="majorEastAsia" w:cstheme="majorBidi"/>
      <w:b/>
      <w:spacing w:val="5"/>
      <w:kern w:val="28"/>
      <w:szCs w:val="52"/>
      <w:lang w:val="fr-FR"/>
    </w:rPr>
  </w:style>
  <w:style w:type="paragraph" w:styleId="FootnoteText">
    <w:name w:val="footnote text"/>
    <w:aliases w:val="single space,FOOTNOTES,fn,ft,ADB,pod carou,footnote text,single spac,Footnote,Footnote1,Footnote2,Footnote3,Footnote4,Footnote5,Footnote6,Footnote7,Footnote8,Footnote9,Footnote10,Footnote11,Footn,Fußnot,Footnote text"/>
    <w:basedOn w:val="Normal"/>
    <w:link w:val="FootnoteTextChar"/>
    <w:uiPriority w:val="99"/>
    <w:unhideWhenUsed/>
    <w:rsid w:val="00D876BA"/>
    <w:pPr>
      <w:spacing w:before="0" w:after="0"/>
    </w:pPr>
    <w:rPr>
      <w:sz w:val="20"/>
      <w:szCs w:val="20"/>
    </w:rPr>
  </w:style>
  <w:style w:type="character" w:customStyle="1" w:styleId="FootnoteTextChar">
    <w:name w:val="Footnote Text Char"/>
    <w:aliases w:val="single space Char,FOOTNOTES Char,fn Char,ft Char,ADB Char,pod carou Char,footnote text Char,single spac Char,Footnote Char,Footnote1 Char,Footnote2 Char,Footnote3 Char,Footnote4 Char,Footnote5 Char,Footnote6 Char,Footnote7 Char"/>
    <w:basedOn w:val="DefaultParagraphFont"/>
    <w:link w:val="FootnoteText"/>
    <w:uiPriority w:val="99"/>
    <w:rsid w:val="00D876BA"/>
    <w:rPr>
      <w:sz w:val="20"/>
      <w:szCs w:val="20"/>
      <w:lang w:val="fr-FR"/>
    </w:rPr>
  </w:style>
  <w:style w:type="character" w:styleId="FootnoteReference">
    <w:name w:val="footnote reference"/>
    <w:aliases w:val="Appel,note,de,bas,p.,Footnotes,refss,Fussnota,footnote1,reference,footnote11,footnote111,footnote1111,footnote11111,footnote111111,footnote1111111,footnote11111111,footnote111111111,footnote1111111111,footnote11111111111,ftref"/>
    <w:uiPriority w:val="99"/>
    <w:rsid w:val="00D876BA"/>
    <w:rPr>
      <w:vertAlign w:val="superscript"/>
    </w:rPr>
  </w:style>
  <w:style w:type="paragraph" w:customStyle="1" w:styleId="Annexe">
    <w:name w:val="Annexe"/>
    <w:basedOn w:val="Heading1"/>
    <w:next w:val="Normal"/>
    <w:qFormat/>
    <w:rsid w:val="00D876BA"/>
    <w:pPr>
      <w:spacing w:before="120" w:after="120"/>
      <w:jc w:val="center"/>
    </w:pPr>
    <w:rPr>
      <w:rFonts w:asciiTheme="minorHAnsi" w:hAnsiTheme="minorHAnsi"/>
      <w:b/>
      <w:color w:val="auto"/>
      <w:sz w:val="24"/>
      <w:lang w:val="en-US"/>
    </w:rPr>
  </w:style>
  <w:style w:type="paragraph" w:customStyle="1" w:styleId="AOHead4">
    <w:name w:val="AOHead4"/>
    <w:basedOn w:val="Normal"/>
    <w:next w:val="Normal"/>
    <w:rsid w:val="00D876BA"/>
    <w:pPr>
      <w:tabs>
        <w:tab w:val="num" w:pos="2160"/>
      </w:tabs>
      <w:spacing w:before="240" w:after="0" w:line="260" w:lineRule="atLeast"/>
      <w:ind w:left="2160" w:hanging="720"/>
      <w:outlineLvl w:val="3"/>
    </w:pPr>
    <w:rPr>
      <w:rFonts w:ascii="Calibri" w:eastAsia="SimSun" w:hAnsi="Calibri" w:cs="Times New Roman"/>
      <w:lang w:val="en-GB"/>
    </w:rPr>
  </w:style>
  <w:style w:type="character" w:customStyle="1" w:styleId="ListParagraphChar">
    <w:name w:val="List Paragraph Char"/>
    <w:basedOn w:val="DefaultParagraphFont"/>
    <w:link w:val="ListParagraph"/>
    <w:uiPriority w:val="34"/>
    <w:rsid w:val="00D876BA"/>
    <w:rPr>
      <w:rFonts w:cstheme="minorHAnsi"/>
      <w:lang w:val="en-GB"/>
    </w:rPr>
  </w:style>
  <w:style w:type="character" w:customStyle="1" w:styleId="Heading1Char">
    <w:name w:val="Heading 1 Char"/>
    <w:basedOn w:val="DefaultParagraphFont"/>
    <w:link w:val="Heading1"/>
    <w:uiPriority w:val="9"/>
    <w:rsid w:val="00D876BA"/>
    <w:rPr>
      <w:rFonts w:asciiTheme="majorHAnsi" w:eastAsiaTheme="majorEastAsia" w:hAnsiTheme="majorHAnsi" w:cstheme="majorBidi"/>
      <w:color w:val="2F5496" w:themeColor="accent1" w:themeShade="BF"/>
      <w:sz w:val="32"/>
      <w:szCs w:val="3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Gessert Rosandić Ariana</dc:creator>
  <cp:keywords/>
  <dc:description/>
  <cp:lastModifiedBy>Gessert Rosandić Ariana</cp:lastModifiedBy>
  <cp:revision>2</cp:revision>
  <dcterms:created xsi:type="dcterms:W3CDTF">2018-03-23T12:30:00Z</dcterms:created>
  <dcterms:modified xsi:type="dcterms:W3CDTF">2018-03-23T14:26:00Z</dcterms:modified>
</cp:coreProperties>
</file>