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1B" w:rsidRPr="005B082C" w:rsidRDefault="0047501B" w:rsidP="0047501B">
      <w:pPr>
        <w:autoSpaceDE w:val="0"/>
        <w:autoSpaceDN w:val="0"/>
        <w:adjustRightInd w:val="0"/>
        <w:ind w:left="709"/>
        <w:rPr>
          <w:rFonts w:cs="Times New Roman"/>
          <w:b/>
          <w:bCs/>
          <w:color w:val="000000"/>
          <w:sz w:val="40"/>
          <w:szCs w:val="4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EB7D5B7" wp14:editId="3D8E79D7">
            <wp:simplePos x="0" y="0"/>
            <wp:positionH relativeFrom="column">
              <wp:posOffset>-757555</wp:posOffset>
            </wp:positionH>
            <wp:positionV relativeFrom="paragraph">
              <wp:posOffset>-746125</wp:posOffset>
            </wp:positionV>
            <wp:extent cx="1022985" cy="10363835"/>
            <wp:effectExtent l="0" t="0" r="5715" b="0"/>
            <wp:wrapNone/>
            <wp:docPr id="4" name="Picture 4" descr="tr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36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7B8" w:rsidRPr="00B13B01">
        <w:rPr>
          <w:rFonts w:cs="Arial"/>
          <w:noProof/>
        </w:rPr>
        <w:drawing>
          <wp:inline distT="0" distB="0" distL="0" distR="0" wp14:anchorId="1DE4F4F7" wp14:editId="7396629F">
            <wp:extent cx="216217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1B" w:rsidRPr="005B082C" w:rsidRDefault="0047501B" w:rsidP="0047501B">
      <w:pPr>
        <w:autoSpaceDE w:val="0"/>
        <w:autoSpaceDN w:val="0"/>
        <w:adjustRightInd w:val="0"/>
        <w:ind w:left="709"/>
        <w:jc w:val="center"/>
        <w:rPr>
          <w:rFonts w:cs="Times New Roman"/>
          <w:b/>
          <w:bCs/>
          <w:color w:val="000000"/>
          <w:sz w:val="40"/>
          <w:szCs w:val="40"/>
        </w:rPr>
      </w:pPr>
    </w:p>
    <w:p w:rsidR="0047501B" w:rsidRPr="005B082C" w:rsidRDefault="0047501B" w:rsidP="0047501B">
      <w:pPr>
        <w:autoSpaceDE w:val="0"/>
        <w:autoSpaceDN w:val="0"/>
        <w:adjustRightInd w:val="0"/>
        <w:ind w:left="709"/>
        <w:jc w:val="center"/>
        <w:rPr>
          <w:rFonts w:cs="Times New Roman"/>
          <w:b/>
          <w:bCs/>
          <w:color w:val="000000"/>
          <w:sz w:val="40"/>
          <w:szCs w:val="40"/>
        </w:rPr>
      </w:pPr>
    </w:p>
    <w:p w:rsidR="0047501B" w:rsidRPr="005B082C" w:rsidRDefault="0047501B" w:rsidP="0047501B">
      <w:pPr>
        <w:autoSpaceDE w:val="0"/>
        <w:autoSpaceDN w:val="0"/>
        <w:adjustRightInd w:val="0"/>
        <w:ind w:left="709"/>
        <w:jc w:val="center"/>
        <w:rPr>
          <w:rFonts w:cs="Times New Roman"/>
          <w:b/>
          <w:bCs/>
          <w:color w:val="000000"/>
          <w:sz w:val="40"/>
          <w:szCs w:val="40"/>
        </w:rPr>
      </w:pPr>
    </w:p>
    <w:p w:rsidR="0047501B" w:rsidRPr="005B082C" w:rsidRDefault="0047501B" w:rsidP="0047501B">
      <w:pPr>
        <w:autoSpaceDE w:val="0"/>
        <w:autoSpaceDN w:val="0"/>
        <w:adjustRightInd w:val="0"/>
        <w:ind w:left="709"/>
        <w:jc w:val="center"/>
        <w:rPr>
          <w:rFonts w:cs="Times New Roman"/>
          <w:b/>
          <w:bCs/>
          <w:color w:val="000000"/>
          <w:sz w:val="40"/>
          <w:szCs w:val="40"/>
        </w:rPr>
      </w:pPr>
    </w:p>
    <w:p w:rsidR="0047501B" w:rsidRPr="005B082C" w:rsidRDefault="0047501B" w:rsidP="0047501B">
      <w:pPr>
        <w:autoSpaceDE w:val="0"/>
        <w:autoSpaceDN w:val="0"/>
        <w:adjustRightInd w:val="0"/>
        <w:ind w:left="709"/>
        <w:jc w:val="center"/>
        <w:rPr>
          <w:rFonts w:cs="Times New Roman"/>
          <w:b/>
          <w:bCs/>
          <w:color w:val="000000"/>
          <w:sz w:val="40"/>
          <w:szCs w:val="40"/>
        </w:rPr>
      </w:pPr>
    </w:p>
    <w:p w:rsidR="00C777B8" w:rsidRDefault="0047501B" w:rsidP="0047501B">
      <w:pPr>
        <w:pStyle w:val="Title"/>
        <w:ind w:left="709"/>
      </w:pPr>
      <w:r>
        <w:t xml:space="preserve">Program </w:t>
      </w:r>
      <w:proofErr w:type="spellStart"/>
      <w:r w:rsidR="00DF1CD9">
        <w:t>kvotnog</w:t>
      </w:r>
      <w:proofErr w:type="spellEnd"/>
      <w:r w:rsidR="00DF1CD9">
        <w:t xml:space="preserve"> </w:t>
      </w:r>
      <w:r>
        <w:t>reosiguranja kratkoročnih izvoznih potraživanja</w:t>
      </w:r>
    </w:p>
    <w:p w:rsidR="00C777B8" w:rsidRPr="004B40A9" w:rsidRDefault="00C777B8" w:rsidP="000D7A12"/>
    <w:p w:rsidR="00C777B8" w:rsidRDefault="00C777B8" w:rsidP="00C777B8">
      <w:pPr>
        <w:pStyle w:val="Title"/>
        <w:ind w:left="709"/>
      </w:pPr>
      <w:r>
        <w:t>RE-IP/01-18</w:t>
      </w:r>
    </w:p>
    <w:p w:rsidR="00C777B8" w:rsidRDefault="00C777B8" w:rsidP="000D7A12"/>
    <w:p w:rsidR="0047501B" w:rsidRPr="004B40A9" w:rsidRDefault="0047501B" w:rsidP="000D7A12">
      <w:pPr>
        <w:jc w:val="center"/>
      </w:pPr>
    </w:p>
    <w:p w:rsidR="0047501B" w:rsidRPr="002B3D0B" w:rsidRDefault="0047501B" w:rsidP="0047501B"/>
    <w:p w:rsidR="0047501B" w:rsidRPr="005B082C" w:rsidRDefault="0047501B" w:rsidP="0047501B">
      <w:pPr>
        <w:autoSpaceDE w:val="0"/>
        <w:autoSpaceDN w:val="0"/>
        <w:adjustRightInd w:val="0"/>
        <w:ind w:left="709"/>
        <w:rPr>
          <w:rFonts w:cs="Times New Roman"/>
          <w:b/>
          <w:bCs/>
          <w:color w:val="000000"/>
          <w:szCs w:val="20"/>
        </w:rPr>
      </w:pPr>
    </w:p>
    <w:p w:rsidR="0047501B" w:rsidRPr="005B082C" w:rsidRDefault="0047501B" w:rsidP="0047501B">
      <w:pPr>
        <w:autoSpaceDE w:val="0"/>
        <w:autoSpaceDN w:val="0"/>
        <w:adjustRightInd w:val="0"/>
        <w:ind w:left="709"/>
        <w:rPr>
          <w:rFonts w:cs="Times New Roman"/>
          <w:b/>
          <w:bCs/>
          <w:color w:val="000000"/>
          <w:szCs w:val="20"/>
        </w:rPr>
      </w:pPr>
    </w:p>
    <w:p w:rsidR="0047501B" w:rsidRPr="005B082C" w:rsidRDefault="0047501B" w:rsidP="0047501B">
      <w:pPr>
        <w:autoSpaceDE w:val="0"/>
        <w:autoSpaceDN w:val="0"/>
        <w:adjustRightInd w:val="0"/>
        <w:ind w:left="709"/>
        <w:rPr>
          <w:rFonts w:cs="Times New Roman"/>
          <w:b/>
          <w:bCs/>
          <w:color w:val="000000"/>
          <w:szCs w:val="20"/>
        </w:rPr>
      </w:pPr>
    </w:p>
    <w:p w:rsidR="0047501B" w:rsidRPr="005B082C" w:rsidRDefault="0047501B" w:rsidP="0047501B">
      <w:pPr>
        <w:autoSpaceDE w:val="0"/>
        <w:autoSpaceDN w:val="0"/>
        <w:adjustRightInd w:val="0"/>
        <w:ind w:left="709"/>
        <w:rPr>
          <w:rFonts w:cs="Times New Roman"/>
          <w:b/>
          <w:bCs/>
          <w:color w:val="000000"/>
          <w:szCs w:val="20"/>
        </w:rPr>
      </w:pPr>
    </w:p>
    <w:p w:rsidR="0047501B" w:rsidRPr="005B082C" w:rsidRDefault="0047501B" w:rsidP="0047501B">
      <w:pPr>
        <w:autoSpaceDE w:val="0"/>
        <w:autoSpaceDN w:val="0"/>
        <w:adjustRightInd w:val="0"/>
        <w:ind w:left="709"/>
        <w:rPr>
          <w:rFonts w:cs="Times New Roman"/>
          <w:b/>
          <w:bCs/>
          <w:color w:val="000000"/>
          <w:szCs w:val="20"/>
        </w:rPr>
      </w:pPr>
    </w:p>
    <w:p w:rsidR="0047501B" w:rsidRPr="005B082C" w:rsidRDefault="0047501B" w:rsidP="0047501B">
      <w:pPr>
        <w:autoSpaceDE w:val="0"/>
        <w:autoSpaceDN w:val="0"/>
        <w:adjustRightInd w:val="0"/>
        <w:ind w:left="709"/>
        <w:rPr>
          <w:rFonts w:cs="Times New Roman"/>
          <w:b/>
          <w:bCs/>
          <w:color w:val="000000"/>
          <w:szCs w:val="20"/>
        </w:rPr>
      </w:pPr>
    </w:p>
    <w:p w:rsidR="0047501B" w:rsidRPr="005B082C" w:rsidRDefault="0047501B" w:rsidP="0047501B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0"/>
        </w:rPr>
      </w:pPr>
    </w:p>
    <w:p w:rsidR="0047501B" w:rsidRDefault="0047501B" w:rsidP="0047501B">
      <w:pPr>
        <w:spacing w:after="0" w:line="276" w:lineRule="auto"/>
        <w:rPr>
          <w:rFonts w:ascii="Calibri" w:hAnsi="Calibri" w:cs="Times New Roman"/>
          <w:b/>
          <w:bCs/>
          <w:color w:val="000000"/>
          <w:sz w:val="22"/>
          <w:szCs w:val="24"/>
        </w:rPr>
      </w:pPr>
      <w:r>
        <w:br w:type="page"/>
      </w:r>
    </w:p>
    <w:p w:rsidR="0047501B" w:rsidRDefault="0047501B" w:rsidP="0047501B">
      <w:pPr>
        <w:pStyle w:val="Istaknuto"/>
        <w:sectPr w:rsidR="0047501B" w:rsidSect="00C05F2F">
          <w:footerReference w:type="default" r:id="rId10"/>
          <w:footerReference w:type="first" r:id="rId11"/>
          <w:pgSz w:w="11906" w:h="16838"/>
          <w:pgMar w:top="1418" w:right="1134" w:bottom="1701" w:left="1134" w:header="709" w:footer="709" w:gutter="170"/>
          <w:cols w:space="708"/>
          <w:titlePg/>
          <w:docGrid w:linePitch="360"/>
        </w:sectPr>
      </w:pPr>
    </w:p>
    <w:p w:rsidR="00C777B8" w:rsidRDefault="0047501B" w:rsidP="000D7A12">
      <w:pPr>
        <w:jc w:val="center"/>
        <w:rPr>
          <w:b/>
          <w:sz w:val="24"/>
          <w:szCs w:val="24"/>
        </w:rPr>
      </w:pPr>
      <w:r w:rsidRPr="00E05D4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ROGRAM</w:t>
      </w:r>
      <w:r w:rsidR="00DF1CD9">
        <w:rPr>
          <w:b/>
          <w:sz w:val="24"/>
          <w:szCs w:val="24"/>
        </w:rPr>
        <w:t xml:space="preserve"> KVOTNOG</w:t>
      </w:r>
      <w:r>
        <w:rPr>
          <w:b/>
          <w:sz w:val="24"/>
          <w:szCs w:val="24"/>
        </w:rPr>
        <w:t xml:space="preserve"> REOSIGURANJA </w:t>
      </w:r>
      <w:r w:rsidRPr="00E05D4A">
        <w:rPr>
          <w:b/>
          <w:sz w:val="24"/>
          <w:szCs w:val="24"/>
        </w:rPr>
        <w:t>KRATKOROČNIH IZVOZNIH POTRAŽIVANJA</w:t>
      </w:r>
    </w:p>
    <w:p w:rsidR="00C777B8" w:rsidRPr="00C777B8" w:rsidRDefault="00C777B8" w:rsidP="000D7A12">
      <w:pPr>
        <w:jc w:val="center"/>
        <w:rPr>
          <w:b/>
          <w:sz w:val="24"/>
          <w:szCs w:val="24"/>
        </w:rPr>
      </w:pPr>
      <w:r w:rsidRPr="00C777B8">
        <w:rPr>
          <w:b/>
          <w:sz w:val="24"/>
          <w:szCs w:val="24"/>
        </w:rPr>
        <w:t>RE-IP/01-18</w:t>
      </w:r>
    </w:p>
    <w:p w:rsidR="0047501B" w:rsidRDefault="0047501B" w:rsidP="0047501B">
      <w:pPr>
        <w:spacing w:after="0" w:line="240" w:lineRule="atLeast"/>
        <w:rPr>
          <w:bCs/>
        </w:rPr>
      </w:pPr>
      <w:r w:rsidRPr="00FB66CF">
        <w:rPr>
          <w:bCs/>
        </w:rPr>
        <w:t>HBOR kao osiguratelj u ime i za ra</w:t>
      </w:r>
      <w:r w:rsidRPr="00FB66CF">
        <w:rPr>
          <w:rFonts w:hint="eastAsia"/>
          <w:bCs/>
        </w:rPr>
        <w:t>č</w:t>
      </w:r>
      <w:r w:rsidRPr="00FB66CF">
        <w:rPr>
          <w:bCs/>
        </w:rPr>
        <w:t>un Republike Hrvatske u okviru postoje</w:t>
      </w:r>
      <w:r w:rsidRPr="00FB66CF">
        <w:rPr>
          <w:rFonts w:hint="eastAsia"/>
          <w:bCs/>
        </w:rPr>
        <w:t>ć</w:t>
      </w:r>
      <w:r w:rsidRPr="00FB66CF">
        <w:rPr>
          <w:bCs/>
        </w:rPr>
        <w:t xml:space="preserve">ih </w:t>
      </w:r>
      <w:r w:rsidR="00461751">
        <w:rPr>
          <w:bCs/>
        </w:rPr>
        <w:t>p</w:t>
      </w:r>
      <w:r w:rsidRPr="00FB66CF">
        <w:rPr>
          <w:bCs/>
        </w:rPr>
        <w:t xml:space="preserve">rograma </w:t>
      </w:r>
      <w:r w:rsidR="00C777B8">
        <w:rPr>
          <w:bCs/>
        </w:rPr>
        <w:t xml:space="preserve">izvozno </w:t>
      </w:r>
      <w:r w:rsidR="00075448">
        <w:rPr>
          <w:bCs/>
        </w:rPr>
        <w:t>-</w:t>
      </w:r>
      <w:r w:rsidR="00C777B8">
        <w:rPr>
          <w:bCs/>
        </w:rPr>
        <w:t xml:space="preserve"> kreditnog osiguranja</w:t>
      </w:r>
      <w:r w:rsidRPr="00FB66CF">
        <w:rPr>
          <w:bCs/>
        </w:rPr>
        <w:t xml:space="preserve"> </w:t>
      </w:r>
      <w:r>
        <w:rPr>
          <w:bCs/>
        </w:rPr>
        <w:t>nudi</w:t>
      </w:r>
      <w:r w:rsidRPr="00FB66CF">
        <w:rPr>
          <w:bCs/>
        </w:rPr>
        <w:t xml:space="preserve"> </w:t>
      </w:r>
      <w:r w:rsidRPr="005F3A01">
        <w:rPr>
          <w:bCs/>
        </w:rPr>
        <w:t xml:space="preserve">i </w:t>
      </w:r>
      <w:r w:rsidRPr="00FB66CF">
        <w:rPr>
          <w:bCs/>
        </w:rPr>
        <w:t xml:space="preserve">Program </w:t>
      </w:r>
      <w:proofErr w:type="spellStart"/>
      <w:r w:rsidR="00FB1325">
        <w:rPr>
          <w:bCs/>
        </w:rPr>
        <w:t>kvotnog</w:t>
      </w:r>
      <w:proofErr w:type="spellEnd"/>
      <w:r w:rsidR="00FB1325">
        <w:rPr>
          <w:bCs/>
        </w:rPr>
        <w:t xml:space="preserve"> </w:t>
      </w:r>
      <w:r>
        <w:rPr>
          <w:bCs/>
        </w:rPr>
        <w:t>re</w:t>
      </w:r>
      <w:r w:rsidRPr="00FB66CF">
        <w:rPr>
          <w:bCs/>
        </w:rPr>
        <w:t>osiguranja kratkoro</w:t>
      </w:r>
      <w:r w:rsidRPr="00FB66CF">
        <w:rPr>
          <w:rFonts w:hint="eastAsia"/>
          <w:bCs/>
        </w:rPr>
        <w:t>č</w:t>
      </w:r>
      <w:r w:rsidRPr="00FB66CF">
        <w:rPr>
          <w:bCs/>
        </w:rPr>
        <w:t>nih izvoznih potra</w:t>
      </w:r>
      <w:r w:rsidRPr="00FB66CF">
        <w:rPr>
          <w:rFonts w:hint="eastAsia"/>
          <w:bCs/>
        </w:rPr>
        <w:t>ž</w:t>
      </w:r>
      <w:r w:rsidRPr="00FB66CF">
        <w:rPr>
          <w:bCs/>
        </w:rPr>
        <w:t xml:space="preserve">ivanja </w:t>
      </w:r>
      <w:r w:rsidR="000D7A12">
        <w:rPr>
          <w:bCs/>
        </w:rPr>
        <w:t>od netržišnih</w:t>
      </w:r>
      <w:r w:rsidR="00225CC2">
        <w:rPr>
          <w:rStyle w:val="FootnoteReference"/>
          <w:bCs/>
        </w:rPr>
        <w:footnoteReference w:id="1"/>
      </w:r>
      <w:r w:rsidR="000D7A12">
        <w:rPr>
          <w:bCs/>
        </w:rPr>
        <w:t xml:space="preserve"> i privremeno netržišnih</w:t>
      </w:r>
      <w:r w:rsidR="00225CC2">
        <w:rPr>
          <w:rStyle w:val="FootnoteReference"/>
          <w:bCs/>
        </w:rPr>
        <w:footnoteReference w:id="2"/>
      </w:r>
      <w:r w:rsidR="000D7A12">
        <w:rPr>
          <w:bCs/>
        </w:rPr>
        <w:t xml:space="preserve"> komercijalnih i političkih rizika </w:t>
      </w:r>
      <w:r w:rsidRPr="005F3A01">
        <w:rPr>
          <w:bCs/>
        </w:rPr>
        <w:t xml:space="preserve">kao mjeru poticanja </w:t>
      </w:r>
      <w:r>
        <w:rPr>
          <w:bCs/>
        </w:rPr>
        <w:t>izvoza.</w:t>
      </w:r>
    </w:p>
    <w:p w:rsidR="00712C47" w:rsidRDefault="00712C47" w:rsidP="0047501B">
      <w:pPr>
        <w:spacing w:after="0" w:line="240" w:lineRule="atLeast"/>
        <w:rPr>
          <w:bCs/>
        </w:rPr>
      </w:pPr>
    </w:p>
    <w:p w:rsidR="00CD72B6" w:rsidRDefault="00712C47" w:rsidP="0047501B">
      <w:pPr>
        <w:spacing w:after="0" w:line="240" w:lineRule="atLeast"/>
        <w:rPr>
          <w:bCs/>
        </w:rPr>
      </w:pPr>
      <w:r>
        <w:rPr>
          <w:bCs/>
        </w:rPr>
        <w:t xml:space="preserve">Program </w:t>
      </w:r>
      <w:proofErr w:type="spellStart"/>
      <w:r w:rsidR="00FB1325">
        <w:rPr>
          <w:bCs/>
        </w:rPr>
        <w:t>kvotnog</w:t>
      </w:r>
      <w:proofErr w:type="spellEnd"/>
      <w:r w:rsidR="00FB1325">
        <w:rPr>
          <w:bCs/>
        </w:rPr>
        <w:t xml:space="preserve"> </w:t>
      </w:r>
      <w:r>
        <w:rPr>
          <w:bCs/>
        </w:rPr>
        <w:t xml:space="preserve">reosiguranja kratkoročnih izvoznih potraživanja </w:t>
      </w:r>
      <w:r w:rsidR="00D25B97">
        <w:rPr>
          <w:bCs/>
        </w:rPr>
        <w:t xml:space="preserve">(dalje u tekstu: Program </w:t>
      </w:r>
      <w:proofErr w:type="spellStart"/>
      <w:r w:rsidR="00D25B97">
        <w:rPr>
          <w:bCs/>
        </w:rPr>
        <w:t>kvotnog</w:t>
      </w:r>
      <w:proofErr w:type="spellEnd"/>
      <w:r w:rsidR="00D25B97">
        <w:rPr>
          <w:bCs/>
        </w:rPr>
        <w:t xml:space="preserve"> reosiguranja)</w:t>
      </w:r>
      <w:r>
        <w:rPr>
          <w:bCs/>
        </w:rPr>
        <w:t xml:space="preserve"> </w:t>
      </w:r>
      <w:r w:rsidR="00461751">
        <w:rPr>
          <w:bCs/>
        </w:rPr>
        <w:t xml:space="preserve">je </w:t>
      </w:r>
      <w:r>
        <w:rPr>
          <w:bCs/>
        </w:rPr>
        <w:t>namijenjen osiguravajućim društvima koji na tržištu Republike Hrvatske provode poslove izvozno – kreditnog osiguranja</w:t>
      </w:r>
      <w:r w:rsidR="00B80B63">
        <w:rPr>
          <w:bCs/>
        </w:rPr>
        <w:t>.</w:t>
      </w:r>
      <w:r>
        <w:rPr>
          <w:bCs/>
        </w:rPr>
        <w:t xml:space="preserve"> </w:t>
      </w:r>
      <w:proofErr w:type="spellStart"/>
      <w:r w:rsidR="001A7A46">
        <w:rPr>
          <w:bCs/>
        </w:rPr>
        <w:t>Kvotno</w:t>
      </w:r>
      <w:proofErr w:type="spellEnd"/>
      <w:r w:rsidR="001A7A46">
        <w:rPr>
          <w:bCs/>
        </w:rPr>
        <w:t xml:space="preserve"> reosiguranje predstavlja vrst</w:t>
      </w:r>
      <w:r w:rsidR="00E2470E">
        <w:rPr>
          <w:bCs/>
        </w:rPr>
        <w:t>u</w:t>
      </w:r>
      <w:r w:rsidR="001A7A46">
        <w:rPr>
          <w:bCs/>
        </w:rPr>
        <w:t xml:space="preserve"> proporcionalnog reosiguranja u kojem se u reosiguranje </w:t>
      </w:r>
      <w:r w:rsidR="0058621B">
        <w:rPr>
          <w:bCs/>
        </w:rPr>
        <w:t>HBOR-</w:t>
      </w:r>
      <w:proofErr w:type="spellStart"/>
      <w:r w:rsidR="0058621B">
        <w:rPr>
          <w:bCs/>
        </w:rPr>
        <w:t>u</w:t>
      </w:r>
      <w:r w:rsidR="001A7A46">
        <w:rPr>
          <w:bCs/>
        </w:rPr>
        <w:t>prenosi</w:t>
      </w:r>
      <w:proofErr w:type="spellEnd"/>
      <w:r w:rsidR="001A7A46">
        <w:rPr>
          <w:bCs/>
        </w:rPr>
        <w:t xml:space="preserve"> kvota izražena u postotku od svakog rizika iz portfelja osiguratelja.</w:t>
      </w:r>
      <w:r w:rsidR="00745422">
        <w:rPr>
          <w:bCs/>
        </w:rPr>
        <w:t xml:space="preserve"> </w:t>
      </w:r>
      <w:r w:rsidR="00CD72B6">
        <w:rPr>
          <w:bCs/>
        </w:rPr>
        <w:t xml:space="preserve">U okviru Programa </w:t>
      </w:r>
      <w:proofErr w:type="spellStart"/>
      <w:r w:rsidR="00CD72B6">
        <w:rPr>
          <w:bCs/>
        </w:rPr>
        <w:t>kvotnog</w:t>
      </w:r>
      <w:proofErr w:type="spellEnd"/>
      <w:r w:rsidR="00CD72B6">
        <w:rPr>
          <w:bCs/>
        </w:rPr>
        <w:t xml:space="preserve"> reosiguranja moguće je ugovoriti i varijabilno </w:t>
      </w:r>
      <w:proofErr w:type="spellStart"/>
      <w:r w:rsidR="00CD72B6">
        <w:rPr>
          <w:bCs/>
        </w:rPr>
        <w:t>kvotno</w:t>
      </w:r>
      <w:proofErr w:type="spellEnd"/>
      <w:r w:rsidR="00CD72B6">
        <w:rPr>
          <w:bCs/>
        </w:rPr>
        <w:t xml:space="preserve"> reosiguranje na način da se za različite visine reosiguranih svota po inozemnim kupcima ugovaraju različite kvote reosiguranja.</w:t>
      </w:r>
    </w:p>
    <w:p w:rsidR="00CD72B6" w:rsidRDefault="00CD72B6" w:rsidP="0047501B">
      <w:pPr>
        <w:spacing w:after="0" w:line="240" w:lineRule="atLeast"/>
        <w:rPr>
          <w:bCs/>
        </w:rPr>
      </w:pPr>
    </w:p>
    <w:p w:rsidR="00546079" w:rsidRDefault="00546079" w:rsidP="00546079">
      <w:pPr>
        <w:spacing w:after="0" w:line="240" w:lineRule="atLeast"/>
        <w:rPr>
          <w:rFonts w:ascii="Calibri" w:hAnsi="Calibri" w:cs="Tahoma"/>
          <w:szCs w:val="20"/>
        </w:rPr>
      </w:pPr>
      <w:r w:rsidRPr="00BA2535">
        <w:rPr>
          <w:rFonts w:ascii="Calibri" w:hAnsi="Calibri" w:cs="Tahoma"/>
          <w:szCs w:val="20"/>
        </w:rPr>
        <w:t xml:space="preserve">Pravo na </w:t>
      </w:r>
      <w:r>
        <w:rPr>
          <w:rFonts w:ascii="Calibri" w:hAnsi="Calibri" w:cs="Tahoma"/>
          <w:szCs w:val="20"/>
        </w:rPr>
        <w:t>re</w:t>
      </w:r>
      <w:r w:rsidRPr="00BA2535">
        <w:rPr>
          <w:rFonts w:ascii="Calibri" w:hAnsi="Calibri" w:cs="Tahoma"/>
          <w:szCs w:val="20"/>
        </w:rPr>
        <w:t>osiguranje ne postoji već</w:t>
      </w:r>
      <w:r>
        <w:rPr>
          <w:rFonts w:ascii="Calibri" w:hAnsi="Calibri" w:cs="Tahoma"/>
          <w:szCs w:val="20"/>
        </w:rPr>
        <w:t xml:space="preserve"> </w:t>
      </w:r>
      <w:r w:rsidRPr="00BA2535">
        <w:rPr>
          <w:rFonts w:ascii="Calibri" w:hAnsi="Calibri" w:cs="Tahoma"/>
          <w:szCs w:val="20"/>
        </w:rPr>
        <w:t xml:space="preserve">HBOR </w:t>
      </w:r>
      <w:r>
        <w:rPr>
          <w:rFonts w:ascii="Calibri" w:hAnsi="Calibri" w:cs="Tahoma"/>
          <w:szCs w:val="20"/>
        </w:rPr>
        <w:t xml:space="preserve">o </w:t>
      </w:r>
      <w:r w:rsidRPr="00BA2535">
        <w:rPr>
          <w:rFonts w:ascii="Calibri" w:hAnsi="Calibri" w:cs="Tahoma"/>
          <w:szCs w:val="20"/>
        </w:rPr>
        <w:t xml:space="preserve">svakom zahtjevu </w:t>
      </w:r>
      <w:r>
        <w:rPr>
          <w:rFonts w:ascii="Calibri" w:hAnsi="Calibri" w:cs="Tahoma"/>
          <w:szCs w:val="20"/>
        </w:rPr>
        <w:t>za</w:t>
      </w:r>
      <w:r w:rsidR="000935DB">
        <w:rPr>
          <w:rFonts w:ascii="Calibri" w:hAnsi="Calibri" w:cs="Tahoma"/>
          <w:szCs w:val="20"/>
        </w:rPr>
        <w:t xml:space="preserve"> zaključenje ugovora o </w:t>
      </w:r>
      <w:r>
        <w:rPr>
          <w:rFonts w:ascii="Calibri" w:hAnsi="Calibri" w:cs="Tahoma"/>
          <w:szCs w:val="20"/>
        </w:rPr>
        <w:t>reosiguranj</w:t>
      </w:r>
      <w:r w:rsidR="000935DB">
        <w:rPr>
          <w:rFonts w:ascii="Calibri" w:hAnsi="Calibri" w:cs="Tahoma"/>
          <w:szCs w:val="20"/>
        </w:rPr>
        <w:t>u</w:t>
      </w:r>
      <w:r>
        <w:rPr>
          <w:rFonts w:ascii="Calibri" w:hAnsi="Calibri" w:cs="Tahoma"/>
          <w:szCs w:val="20"/>
        </w:rPr>
        <w:t xml:space="preserve"> </w:t>
      </w:r>
      <w:r w:rsidRPr="00BA2535">
        <w:rPr>
          <w:rFonts w:ascii="Calibri" w:hAnsi="Calibri" w:cs="Tahoma"/>
          <w:szCs w:val="20"/>
        </w:rPr>
        <w:t>donosi posebnu odluku.</w:t>
      </w:r>
    </w:p>
    <w:p w:rsidR="0047501B" w:rsidRDefault="0047501B" w:rsidP="0047501B">
      <w:pPr>
        <w:spacing w:after="0" w:line="240" w:lineRule="atLeast"/>
        <w:rPr>
          <w:bCs/>
        </w:rPr>
      </w:pPr>
    </w:p>
    <w:p w:rsidR="00546079" w:rsidRPr="00FB66CF" w:rsidRDefault="00546079" w:rsidP="0054607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</w:rPr>
      </w:pPr>
      <w:r w:rsidRPr="00FB66CF">
        <w:rPr>
          <w:b/>
          <w:bCs/>
        </w:rPr>
        <w:t>Cilj Programa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kvotnog</w:t>
      </w:r>
      <w:proofErr w:type="spellEnd"/>
      <w:r>
        <w:rPr>
          <w:b/>
          <w:bCs/>
        </w:rPr>
        <w:t xml:space="preserve"> reosiguranja</w:t>
      </w:r>
    </w:p>
    <w:p w:rsidR="000935DB" w:rsidRPr="0085443C" w:rsidRDefault="000935DB" w:rsidP="00FB1325">
      <w:pPr>
        <w:numPr>
          <w:ilvl w:val="0"/>
          <w:numId w:val="16"/>
        </w:numPr>
        <w:spacing w:after="0" w:line="240" w:lineRule="atLeast"/>
        <w:ind w:left="709" w:hanging="283"/>
        <w:rPr>
          <w:bCs/>
        </w:rPr>
      </w:pPr>
      <w:r>
        <w:rPr>
          <w:bCs/>
        </w:rPr>
        <w:t>Podjelom rizika između HBOR-a i osiguravajućih društava koji na tržištu Republike Hrvatske nude osiguranje kratkoročnih izvoznih potraživanja, izvoznici će biti u mogućnosti na jednom mjestu ugovoriti osiguranje za sve inozemne kupce (bez obzira na državu).</w:t>
      </w:r>
    </w:p>
    <w:p w:rsidR="00C777B8" w:rsidRDefault="00316CC3" w:rsidP="00FB1325">
      <w:pPr>
        <w:numPr>
          <w:ilvl w:val="0"/>
          <w:numId w:val="16"/>
        </w:numPr>
        <w:spacing w:after="0" w:line="240" w:lineRule="atLeast"/>
        <w:ind w:left="709" w:hanging="283"/>
        <w:rPr>
          <w:bCs/>
        </w:rPr>
      </w:pPr>
      <w:r>
        <w:rPr>
          <w:bCs/>
        </w:rPr>
        <w:t>Poticanje izvoza, o</w:t>
      </w:r>
      <w:r w:rsidR="00C777B8" w:rsidRPr="00C777B8">
        <w:rPr>
          <w:bCs/>
        </w:rPr>
        <w:t xml:space="preserve">čuvanje </w:t>
      </w:r>
      <w:r w:rsidR="006E4637">
        <w:rPr>
          <w:bCs/>
        </w:rPr>
        <w:t xml:space="preserve">postojećih i otvaranje novih </w:t>
      </w:r>
      <w:r w:rsidR="00C777B8" w:rsidRPr="00C777B8">
        <w:rPr>
          <w:bCs/>
        </w:rPr>
        <w:t>radnih mjesta u R</w:t>
      </w:r>
      <w:r w:rsidR="0042470E">
        <w:rPr>
          <w:bCs/>
        </w:rPr>
        <w:t xml:space="preserve">epublici </w:t>
      </w:r>
      <w:r w:rsidR="00C777B8" w:rsidRPr="00C777B8">
        <w:rPr>
          <w:bCs/>
        </w:rPr>
        <w:t>H</w:t>
      </w:r>
      <w:r w:rsidR="0042470E">
        <w:rPr>
          <w:bCs/>
        </w:rPr>
        <w:t>rvatskoj</w:t>
      </w:r>
      <w:r w:rsidR="00C777B8" w:rsidRPr="00C777B8">
        <w:rPr>
          <w:bCs/>
        </w:rPr>
        <w:t xml:space="preserve"> i </w:t>
      </w:r>
      <w:r w:rsidR="00461751">
        <w:rPr>
          <w:bCs/>
        </w:rPr>
        <w:t>jačanj</w:t>
      </w:r>
      <w:r w:rsidR="000D7A12">
        <w:rPr>
          <w:bCs/>
        </w:rPr>
        <w:t xml:space="preserve">e </w:t>
      </w:r>
      <w:r w:rsidR="00C777B8" w:rsidRPr="00C777B8">
        <w:rPr>
          <w:bCs/>
        </w:rPr>
        <w:t>konkurentnosti nacionalnog gospodarstva</w:t>
      </w:r>
      <w:r w:rsidR="000935DB">
        <w:rPr>
          <w:bCs/>
        </w:rPr>
        <w:t>.</w:t>
      </w:r>
    </w:p>
    <w:p w:rsidR="0047501B" w:rsidRDefault="0047501B" w:rsidP="00FB1325">
      <w:pPr>
        <w:pStyle w:val="ListParagraph"/>
        <w:spacing w:after="0" w:line="240" w:lineRule="atLeast"/>
        <w:ind w:left="709" w:hanging="283"/>
        <w:rPr>
          <w:bCs/>
        </w:rPr>
      </w:pPr>
    </w:p>
    <w:p w:rsidR="0047501B" w:rsidRPr="00387718" w:rsidRDefault="0047501B" w:rsidP="000D7A1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</w:rPr>
      </w:pPr>
      <w:r w:rsidRPr="00387718">
        <w:rPr>
          <w:b/>
        </w:rPr>
        <w:t xml:space="preserve">Korisnici </w:t>
      </w:r>
      <w:r w:rsidR="00744D8A">
        <w:rPr>
          <w:b/>
        </w:rPr>
        <w:t>re</w:t>
      </w:r>
      <w:r w:rsidRPr="00387718">
        <w:rPr>
          <w:b/>
        </w:rPr>
        <w:t>osiguranja</w:t>
      </w:r>
    </w:p>
    <w:p w:rsidR="0047501B" w:rsidRDefault="00712C47" w:rsidP="00744D8A">
      <w:r>
        <w:t>Osiguravajuća društva koja tvrtkama sa sjedištem u Republici Hrvatskoj</w:t>
      </w:r>
      <w:r w:rsidR="0018777D">
        <w:t xml:space="preserve"> </w:t>
      </w:r>
      <w:r w:rsidR="0087358F">
        <w:t xml:space="preserve">osiguravaju </w:t>
      </w:r>
      <w:r w:rsidR="0018777D">
        <w:t>kratkoročn</w:t>
      </w:r>
      <w:r w:rsidR="000935DB">
        <w:t>a</w:t>
      </w:r>
      <w:r w:rsidR="0018777D">
        <w:t xml:space="preserve"> izvozn</w:t>
      </w:r>
      <w:r w:rsidR="000935DB">
        <w:t>a</w:t>
      </w:r>
      <w:r w:rsidR="0018777D">
        <w:t xml:space="preserve"> potraživanja </w:t>
      </w:r>
      <w:r>
        <w:t xml:space="preserve">uz ugovorenu odgodu </w:t>
      </w:r>
      <w:r w:rsidR="00FB2340">
        <w:t>plaćanja do 180 dana,</w:t>
      </w:r>
      <w:r w:rsidR="00316CC3">
        <w:t xml:space="preserve"> odnosno potraživanja s ročnošću do </w:t>
      </w:r>
      <w:r w:rsidR="00FB2340">
        <w:t xml:space="preserve">najviše </w:t>
      </w:r>
      <w:r w:rsidR="0018777D">
        <w:t>2 godine</w:t>
      </w:r>
      <w:r w:rsidR="00316CC3">
        <w:t xml:space="preserve"> koja</w:t>
      </w:r>
      <w:r w:rsidR="00FB2340">
        <w:t xml:space="preserve"> uključuj</w:t>
      </w:r>
      <w:r w:rsidR="00316CC3">
        <w:t>e</w:t>
      </w:r>
      <w:r w:rsidR="00FB2340">
        <w:t xml:space="preserve"> i razdoblje proizvodnje</w:t>
      </w:r>
      <w:r w:rsidR="00316CC3">
        <w:t xml:space="preserve"> i razdoblje naplate</w:t>
      </w:r>
      <w:r w:rsidR="0018777D">
        <w:t>.</w:t>
      </w:r>
    </w:p>
    <w:p w:rsidR="0047501B" w:rsidRPr="00FB66CF" w:rsidRDefault="0047501B" w:rsidP="0047501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</w:rPr>
      </w:pPr>
      <w:r w:rsidRPr="00FB66CF">
        <w:rPr>
          <w:b/>
        </w:rPr>
        <w:t xml:space="preserve">Predmet </w:t>
      </w:r>
      <w:r w:rsidR="00880125">
        <w:rPr>
          <w:b/>
        </w:rPr>
        <w:t>re</w:t>
      </w:r>
      <w:r w:rsidRPr="00FB66CF">
        <w:rPr>
          <w:b/>
        </w:rPr>
        <w:t>osiguranja</w:t>
      </w:r>
    </w:p>
    <w:p w:rsidR="00B717D4" w:rsidRDefault="00030995" w:rsidP="00B717D4">
      <w:r>
        <w:t>N</w:t>
      </w:r>
      <w:r w:rsidR="00B717D4" w:rsidRPr="00041A9E">
        <w:t xml:space="preserve">ovčana potraživanja </w:t>
      </w:r>
      <w:r w:rsidR="0058621B">
        <w:t xml:space="preserve">izvoznika </w:t>
      </w:r>
      <w:r>
        <w:t xml:space="preserve">osigurana od strane osiguravajućeg društva, a koja su </w:t>
      </w:r>
      <w:r w:rsidR="00B717D4" w:rsidRPr="00041A9E">
        <w:t>nastala temeljem izvršenih i fakturiranih isporuka roba i/ili usluga</w:t>
      </w:r>
      <w:r>
        <w:t xml:space="preserve"> p</w:t>
      </w:r>
      <w:r w:rsidR="00B717D4" w:rsidRPr="00041A9E">
        <w:t xml:space="preserve">rema </w:t>
      </w:r>
      <w:r w:rsidR="00746F5D">
        <w:t>i</w:t>
      </w:r>
      <w:r w:rsidR="00B717D4" w:rsidRPr="00041A9E">
        <w:t>nozemnom kupcu.</w:t>
      </w:r>
    </w:p>
    <w:p w:rsidR="000935DB" w:rsidRPr="00FB66CF" w:rsidRDefault="000935DB" w:rsidP="000935DB">
      <w:pPr>
        <w:ind w:left="709" w:hanging="283"/>
        <w:rPr>
          <w:b/>
        </w:rPr>
      </w:pPr>
      <w:r>
        <w:rPr>
          <w:b/>
        </w:rPr>
        <w:t>4</w:t>
      </w:r>
      <w:r w:rsidRPr="00FB66CF">
        <w:rPr>
          <w:b/>
        </w:rPr>
        <w:t>.</w:t>
      </w:r>
      <w:r w:rsidRPr="00FB66CF">
        <w:rPr>
          <w:b/>
        </w:rPr>
        <w:tab/>
      </w:r>
      <w:r>
        <w:rPr>
          <w:b/>
        </w:rPr>
        <w:t>Reo</w:t>
      </w:r>
      <w:r w:rsidRPr="00FB66CF">
        <w:rPr>
          <w:b/>
        </w:rPr>
        <w:t>sigurani rizici</w:t>
      </w:r>
    </w:p>
    <w:p w:rsidR="000935DB" w:rsidRPr="00BA2535" w:rsidRDefault="000935DB" w:rsidP="000935DB">
      <w:pPr>
        <w:pStyle w:val="ListParagraph"/>
        <w:spacing w:after="0" w:line="240" w:lineRule="atLeast"/>
        <w:ind w:left="0"/>
        <w:rPr>
          <w:bCs/>
        </w:rPr>
      </w:pPr>
      <w:r>
        <w:rPr>
          <w:bCs/>
        </w:rPr>
        <w:t>Reosiguranje pokriva netržišne i privremeno netržišne rizike kako slijedi</w:t>
      </w:r>
      <w:r w:rsidRPr="00BA2535">
        <w:rPr>
          <w:rFonts w:cs="Tahoma"/>
        </w:rPr>
        <w:t>:</w:t>
      </w:r>
    </w:p>
    <w:p w:rsidR="000935DB" w:rsidRPr="00BA2535" w:rsidRDefault="000935DB" w:rsidP="000935DB">
      <w:pPr>
        <w:autoSpaceDE w:val="0"/>
        <w:autoSpaceDN w:val="0"/>
        <w:adjustRightInd w:val="0"/>
        <w:spacing w:after="0" w:line="240" w:lineRule="atLeast"/>
        <w:ind w:left="567" w:hanging="283"/>
        <w:rPr>
          <w:bCs/>
          <w:i/>
          <w:szCs w:val="20"/>
        </w:rPr>
      </w:pPr>
      <w:r w:rsidRPr="00BA2535">
        <w:rPr>
          <w:bCs/>
          <w:i/>
          <w:szCs w:val="20"/>
        </w:rPr>
        <w:t>Komercijalni rizi</w:t>
      </w:r>
      <w:r>
        <w:rPr>
          <w:bCs/>
          <w:i/>
          <w:szCs w:val="20"/>
        </w:rPr>
        <w:t>ci:</w:t>
      </w:r>
    </w:p>
    <w:p w:rsidR="000935DB" w:rsidRPr="00BA2535" w:rsidRDefault="000935DB" w:rsidP="000935D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567" w:hanging="283"/>
        <w:rPr>
          <w:bCs/>
          <w:szCs w:val="20"/>
        </w:rPr>
      </w:pPr>
      <w:r>
        <w:rPr>
          <w:bCs/>
          <w:szCs w:val="20"/>
        </w:rPr>
        <w:t>N</w:t>
      </w:r>
      <w:r w:rsidRPr="00BA2535">
        <w:rPr>
          <w:bCs/>
          <w:szCs w:val="20"/>
        </w:rPr>
        <w:t>eplaćanje</w:t>
      </w:r>
      <w:r>
        <w:rPr>
          <w:bCs/>
          <w:szCs w:val="20"/>
        </w:rPr>
        <w:t xml:space="preserve">, </w:t>
      </w:r>
      <w:r w:rsidRPr="00BA2535">
        <w:rPr>
          <w:bCs/>
          <w:szCs w:val="20"/>
        </w:rPr>
        <w:t>kašnjenje u plaćanju</w:t>
      </w:r>
      <w:r>
        <w:rPr>
          <w:bCs/>
          <w:szCs w:val="20"/>
        </w:rPr>
        <w:t xml:space="preserve">, odnosno neizvršenje obveze plaćanja inozemnog kupca nastalo istekom maksimalnog </w:t>
      </w:r>
      <w:r w:rsidRPr="00BA2535">
        <w:rPr>
          <w:bCs/>
          <w:szCs w:val="20"/>
        </w:rPr>
        <w:t>roka plaćanja,</w:t>
      </w:r>
    </w:p>
    <w:p w:rsidR="000935DB" w:rsidRDefault="000935DB" w:rsidP="000935D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567" w:hanging="283"/>
        <w:rPr>
          <w:bCs/>
          <w:szCs w:val="20"/>
        </w:rPr>
      </w:pPr>
      <w:r w:rsidRPr="00BA2535">
        <w:rPr>
          <w:bCs/>
          <w:szCs w:val="20"/>
        </w:rPr>
        <w:t xml:space="preserve">Insolventnost </w:t>
      </w:r>
      <w:r>
        <w:rPr>
          <w:bCs/>
          <w:szCs w:val="20"/>
        </w:rPr>
        <w:t>kako je utvrđena mjerodavnim pravom države inozemnog kupca ili temeljem drugih objektivnih činjenica koje ukazuju na</w:t>
      </w:r>
      <w:r w:rsidRPr="00BA2535">
        <w:rPr>
          <w:bCs/>
          <w:szCs w:val="20"/>
        </w:rPr>
        <w:t xml:space="preserve"> nemogućnost izvršenja obveze plaćanja, otvaranje </w:t>
      </w:r>
      <w:proofErr w:type="spellStart"/>
      <w:r w:rsidRPr="00BA2535">
        <w:rPr>
          <w:bCs/>
          <w:szCs w:val="20"/>
        </w:rPr>
        <w:t>predstečajnog</w:t>
      </w:r>
      <w:proofErr w:type="spellEnd"/>
      <w:r w:rsidRPr="00BA2535">
        <w:rPr>
          <w:bCs/>
          <w:szCs w:val="20"/>
        </w:rPr>
        <w:t xml:space="preserve">, stečajnog ili likvidacijskog postupka nad </w:t>
      </w:r>
      <w:r>
        <w:rPr>
          <w:bCs/>
          <w:szCs w:val="20"/>
        </w:rPr>
        <w:t>i</w:t>
      </w:r>
      <w:r w:rsidRPr="00BA2535">
        <w:rPr>
          <w:bCs/>
          <w:szCs w:val="20"/>
        </w:rPr>
        <w:t>nozemnim kupcem.</w:t>
      </w:r>
    </w:p>
    <w:p w:rsidR="000935DB" w:rsidRPr="00FB66CF" w:rsidRDefault="000935DB" w:rsidP="000935DB">
      <w:pPr>
        <w:autoSpaceDE w:val="0"/>
        <w:autoSpaceDN w:val="0"/>
        <w:adjustRightInd w:val="0"/>
        <w:spacing w:after="0" w:line="240" w:lineRule="atLeast"/>
        <w:ind w:left="567" w:hanging="283"/>
        <w:rPr>
          <w:bCs/>
          <w:szCs w:val="20"/>
        </w:rPr>
      </w:pPr>
      <w:r w:rsidRPr="00FB66CF">
        <w:rPr>
          <w:bCs/>
          <w:szCs w:val="20"/>
        </w:rPr>
        <w:t>i</w:t>
      </w:r>
    </w:p>
    <w:p w:rsidR="000935DB" w:rsidRPr="00BA2535" w:rsidRDefault="000935DB" w:rsidP="000935DB">
      <w:pPr>
        <w:autoSpaceDE w:val="0"/>
        <w:autoSpaceDN w:val="0"/>
        <w:adjustRightInd w:val="0"/>
        <w:spacing w:after="0" w:line="240" w:lineRule="atLeast"/>
        <w:ind w:left="567" w:hanging="283"/>
        <w:rPr>
          <w:bCs/>
          <w:i/>
          <w:szCs w:val="20"/>
        </w:rPr>
      </w:pPr>
      <w:r w:rsidRPr="00BA2535">
        <w:rPr>
          <w:bCs/>
          <w:i/>
          <w:szCs w:val="20"/>
        </w:rPr>
        <w:t>Politički rizi</w:t>
      </w:r>
      <w:r>
        <w:rPr>
          <w:bCs/>
          <w:i/>
          <w:szCs w:val="20"/>
        </w:rPr>
        <w:t>ci:</w:t>
      </w:r>
    </w:p>
    <w:p w:rsidR="000935DB" w:rsidRPr="00BA2535" w:rsidRDefault="000935DB" w:rsidP="000935D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tLeast"/>
        <w:ind w:left="567" w:hanging="283"/>
        <w:rPr>
          <w:bCs/>
        </w:rPr>
      </w:pPr>
      <w:r w:rsidRPr="00BA2535">
        <w:rPr>
          <w:bCs/>
        </w:rPr>
        <w:t>Rat ili ratu slični događaji,</w:t>
      </w:r>
    </w:p>
    <w:p w:rsidR="000935DB" w:rsidRPr="00BA2535" w:rsidRDefault="000935DB" w:rsidP="000935D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tLeast"/>
        <w:ind w:left="567" w:hanging="283"/>
        <w:rPr>
          <w:bCs/>
        </w:rPr>
      </w:pPr>
      <w:r w:rsidRPr="00BA2535">
        <w:rPr>
          <w:bCs/>
        </w:rPr>
        <w:t>Pobuna ili revolucija,</w:t>
      </w:r>
    </w:p>
    <w:p w:rsidR="000935DB" w:rsidRDefault="000935DB" w:rsidP="000935D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tLeast"/>
        <w:ind w:left="567" w:hanging="283"/>
        <w:rPr>
          <w:bCs/>
        </w:rPr>
      </w:pPr>
      <w:r w:rsidRPr="00BA2535">
        <w:rPr>
          <w:bCs/>
        </w:rPr>
        <w:t xml:space="preserve">Vladine mjere koje na rok dulji od 3 mjeseca ograničavaju ili sprječavaju transfer ili slobodno raspolaganje plaćanjima </w:t>
      </w:r>
      <w:r>
        <w:rPr>
          <w:bCs/>
        </w:rPr>
        <w:t>koja su dugovana izvozniku. Iste učinke će proizvesti i odgoda plaćanja u trajanju od više od 3 mjeseca ako nad inozemnim kupcem ne može biti otvoren stečaj ili pokrenut postupak likvidacije temeljem odluke suda (inozemni kupac koji je subjekt javnog prava).</w:t>
      </w:r>
    </w:p>
    <w:p w:rsidR="00FA099F" w:rsidRPr="00BA2535" w:rsidRDefault="00FA099F" w:rsidP="00FA099F">
      <w:pPr>
        <w:pStyle w:val="ListParagraph"/>
        <w:autoSpaceDE w:val="0"/>
        <w:autoSpaceDN w:val="0"/>
        <w:adjustRightInd w:val="0"/>
        <w:spacing w:after="0" w:line="240" w:lineRule="atLeast"/>
        <w:ind w:left="567"/>
        <w:rPr>
          <w:bCs/>
        </w:rPr>
      </w:pPr>
    </w:p>
    <w:p w:rsidR="00746F5D" w:rsidRPr="00A007AE" w:rsidRDefault="00746F5D" w:rsidP="00A007AE">
      <w:pPr>
        <w:pStyle w:val="ListParagraph"/>
        <w:numPr>
          <w:ilvl w:val="2"/>
          <w:numId w:val="7"/>
        </w:numPr>
        <w:ind w:left="709" w:hanging="283"/>
        <w:rPr>
          <w:b/>
        </w:rPr>
      </w:pPr>
      <w:r w:rsidRPr="00A007AE">
        <w:rPr>
          <w:b/>
        </w:rPr>
        <w:t>Opseg pokrića</w:t>
      </w:r>
      <w:r w:rsidR="002F11D1">
        <w:rPr>
          <w:b/>
        </w:rPr>
        <w:t xml:space="preserve"> reosiguranjem</w:t>
      </w:r>
    </w:p>
    <w:p w:rsidR="00746F5D" w:rsidRDefault="00746F5D" w:rsidP="008E538F">
      <w:pPr>
        <w:spacing w:after="0" w:line="240" w:lineRule="atLeast"/>
        <w:rPr>
          <w:bCs/>
        </w:rPr>
      </w:pPr>
      <w:r>
        <w:t>HBOR kao reosiguratelj ugovara s osiguravajućim društvom preuzimanje rizika u reosiguranje</w:t>
      </w:r>
      <w:r w:rsidR="009131A4">
        <w:t>. S</w:t>
      </w:r>
      <w:r>
        <w:t xml:space="preserve">ukladno </w:t>
      </w:r>
      <w:r w:rsidR="00461751">
        <w:t xml:space="preserve">dogovorenoj </w:t>
      </w:r>
      <w:r w:rsidRPr="004B40A9">
        <w:rPr>
          <w:bCs/>
        </w:rPr>
        <w:t xml:space="preserve">kvoti </w:t>
      </w:r>
      <w:r w:rsidR="009131A4" w:rsidRPr="004B40A9">
        <w:rPr>
          <w:bCs/>
        </w:rPr>
        <w:t xml:space="preserve">HBOR </w:t>
      </w:r>
      <w:r w:rsidR="00030995">
        <w:rPr>
          <w:bCs/>
        </w:rPr>
        <w:t xml:space="preserve">kao reosiguratelj </w:t>
      </w:r>
      <w:r w:rsidR="009131A4" w:rsidRPr="004B40A9">
        <w:rPr>
          <w:bCs/>
        </w:rPr>
        <w:t>sudjeluje u:</w:t>
      </w:r>
    </w:p>
    <w:p w:rsidR="009131A4" w:rsidRDefault="009131A4" w:rsidP="008E538F">
      <w:pPr>
        <w:numPr>
          <w:ilvl w:val="0"/>
          <w:numId w:val="16"/>
        </w:numPr>
        <w:spacing w:after="0" w:line="240" w:lineRule="atLeast"/>
        <w:ind w:left="426" w:hanging="284"/>
        <w:rPr>
          <w:bCs/>
        </w:rPr>
      </w:pPr>
      <w:r w:rsidRPr="004B40A9">
        <w:rPr>
          <w:bCs/>
        </w:rPr>
        <w:t>Premiji osiguranj</w:t>
      </w:r>
      <w:r>
        <w:rPr>
          <w:bCs/>
        </w:rPr>
        <w:t>a,</w:t>
      </w:r>
    </w:p>
    <w:p w:rsidR="009131A4" w:rsidRDefault="009131A4" w:rsidP="008E538F">
      <w:pPr>
        <w:numPr>
          <w:ilvl w:val="0"/>
          <w:numId w:val="16"/>
        </w:numPr>
        <w:spacing w:after="0" w:line="240" w:lineRule="atLeast"/>
        <w:ind w:left="426" w:hanging="284"/>
        <w:rPr>
          <w:bCs/>
        </w:rPr>
      </w:pPr>
      <w:r>
        <w:rPr>
          <w:bCs/>
        </w:rPr>
        <w:t>Odštetama i dodatnim troškovima</w:t>
      </w:r>
      <w:r w:rsidR="00075448">
        <w:rPr>
          <w:bCs/>
        </w:rPr>
        <w:t>,</w:t>
      </w:r>
    </w:p>
    <w:p w:rsidR="009131A4" w:rsidRDefault="009131A4" w:rsidP="008E538F">
      <w:pPr>
        <w:numPr>
          <w:ilvl w:val="0"/>
          <w:numId w:val="16"/>
        </w:numPr>
        <w:spacing w:after="0" w:line="240" w:lineRule="atLeast"/>
        <w:ind w:left="426" w:hanging="284"/>
        <w:rPr>
          <w:bCs/>
        </w:rPr>
      </w:pPr>
      <w:r>
        <w:rPr>
          <w:bCs/>
        </w:rPr>
        <w:t>Regresno naplaćenim iznosima.</w:t>
      </w:r>
    </w:p>
    <w:p w:rsidR="0092614D" w:rsidRDefault="0092614D" w:rsidP="008E538F">
      <w:pPr>
        <w:spacing w:after="0" w:line="240" w:lineRule="atLeast"/>
        <w:rPr>
          <w:bCs/>
        </w:rPr>
      </w:pPr>
    </w:p>
    <w:p w:rsidR="009131A4" w:rsidRDefault="00316CC3" w:rsidP="008E538F">
      <w:pPr>
        <w:spacing w:after="0" w:line="240" w:lineRule="atLeast"/>
        <w:rPr>
          <w:bCs/>
        </w:rPr>
      </w:pPr>
      <w:r>
        <w:rPr>
          <w:bCs/>
        </w:rPr>
        <w:t>Reosiguranjem su pokrivena potraživanja</w:t>
      </w:r>
      <w:r w:rsidR="009131A4">
        <w:rPr>
          <w:bCs/>
        </w:rPr>
        <w:t xml:space="preserve"> </w:t>
      </w:r>
      <w:r>
        <w:rPr>
          <w:bCs/>
        </w:rPr>
        <w:t>koja su nastala</w:t>
      </w:r>
      <w:r w:rsidR="009131A4">
        <w:rPr>
          <w:bCs/>
        </w:rPr>
        <w:t xml:space="preserve"> u razdoblju trajanja ugovora o reosiguranju i njihovo pokriće traje do njihovog isteka, odnosno do isteka roka plaćanja za osigurano potraživanje.</w:t>
      </w:r>
    </w:p>
    <w:p w:rsidR="009131A4" w:rsidRDefault="009131A4" w:rsidP="008E538F">
      <w:pPr>
        <w:spacing w:after="0" w:line="240" w:lineRule="atLeast"/>
        <w:ind w:left="426"/>
        <w:rPr>
          <w:bCs/>
        </w:rPr>
      </w:pPr>
    </w:p>
    <w:p w:rsidR="0047501B" w:rsidRPr="00FB66CF" w:rsidRDefault="00D55EEE" w:rsidP="0047501B">
      <w:pPr>
        <w:spacing w:line="240" w:lineRule="atLeast"/>
        <w:ind w:left="709" w:hanging="283"/>
        <w:rPr>
          <w:b/>
          <w:bCs/>
        </w:rPr>
      </w:pPr>
      <w:r>
        <w:rPr>
          <w:b/>
          <w:bCs/>
        </w:rPr>
        <w:t>6</w:t>
      </w:r>
      <w:r w:rsidR="0047501B">
        <w:rPr>
          <w:b/>
          <w:bCs/>
        </w:rPr>
        <w:t>.</w:t>
      </w:r>
      <w:r w:rsidR="0047501B">
        <w:rPr>
          <w:b/>
          <w:bCs/>
        </w:rPr>
        <w:tab/>
      </w:r>
      <w:r w:rsidR="0047501B" w:rsidRPr="00FB66CF">
        <w:rPr>
          <w:b/>
          <w:bCs/>
        </w:rPr>
        <w:t>Razina pokrića</w:t>
      </w:r>
      <w:r w:rsidR="0047501B">
        <w:rPr>
          <w:b/>
          <w:bCs/>
        </w:rPr>
        <w:t xml:space="preserve"> </w:t>
      </w:r>
      <w:r w:rsidR="00461751">
        <w:rPr>
          <w:b/>
          <w:bCs/>
        </w:rPr>
        <w:t>reosiguranjem</w:t>
      </w:r>
    </w:p>
    <w:p w:rsidR="003D4C72" w:rsidRDefault="003D4C72" w:rsidP="00744D8A">
      <w:pPr>
        <w:spacing w:after="0" w:line="240" w:lineRule="atLeast"/>
        <w:rPr>
          <w:bCs/>
          <w:szCs w:val="20"/>
        </w:rPr>
      </w:pPr>
      <w:r>
        <w:rPr>
          <w:bCs/>
          <w:szCs w:val="20"/>
        </w:rPr>
        <w:t xml:space="preserve">Razina pokrića </w:t>
      </w:r>
      <w:r w:rsidR="00880125" w:rsidRPr="00041A9E">
        <w:rPr>
          <w:bCs/>
          <w:szCs w:val="20"/>
        </w:rPr>
        <w:t>HBOR</w:t>
      </w:r>
      <w:r>
        <w:rPr>
          <w:bCs/>
          <w:szCs w:val="20"/>
        </w:rPr>
        <w:t>-a kao reosiguratelja može iznositi najviše do 90%, dok razina pokrića osiguravajućeg društva iznosi najmanje 10%.</w:t>
      </w:r>
    </w:p>
    <w:p w:rsidR="003D4C72" w:rsidRDefault="003D4C72" w:rsidP="00744D8A">
      <w:pPr>
        <w:spacing w:after="0" w:line="240" w:lineRule="atLeast"/>
        <w:rPr>
          <w:bCs/>
          <w:szCs w:val="20"/>
        </w:rPr>
      </w:pPr>
    </w:p>
    <w:p w:rsidR="0002677D" w:rsidRPr="000948D0" w:rsidRDefault="0002677D" w:rsidP="0002677D">
      <w:pPr>
        <w:ind w:left="709" w:hanging="283"/>
        <w:rPr>
          <w:rFonts w:ascii="Calibri" w:hAnsi="Calibri"/>
          <w:b/>
        </w:rPr>
      </w:pPr>
      <w:r>
        <w:rPr>
          <w:rFonts w:ascii="Calibri" w:hAnsi="Calibri"/>
          <w:b/>
        </w:rPr>
        <w:t>7.</w:t>
      </w:r>
      <w:r>
        <w:rPr>
          <w:rFonts w:ascii="Calibri" w:hAnsi="Calibri"/>
          <w:b/>
        </w:rPr>
        <w:tab/>
        <w:t>Ugovaranje reosiguranja kod HBOR-a</w:t>
      </w:r>
    </w:p>
    <w:p w:rsidR="0002677D" w:rsidRDefault="0002677D" w:rsidP="0002677D">
      <w:pPr>
        <w:spacing w:after="0" w:line="240" w:lineRule="atLeast"/>
        <w:rPr>
          <w:bCs/>
          <w:szCs w:val="20"/>
        </w:rPr>
      </w:pPr>
      <w:r>
        <w:rPr>
          <w:bCs/>
          <w:szCs w:val="20"/>
        </w:rPr>
        <w:t>Za potrebe ugovaranja reosiguranja potrebno je HBOR-u dostaviti zahtjev</w:t>
      </w:r>
      <w:r w:rsidRPr="000948D0">
        <w:rPr>
          <w:bCs/>
          <w:szCs w:val="20"/>
        </w:rPr>
        <w:t xml:space="preserve"> za zaključenje ugovora o reosiguranju </w:t>
      </w:r>
      <w:r>
        <w:rPr>
          <w:bCs/>
          <w:szCs w:val="20"/>
        </w:rPr>
        <w:t xml:space="preserve">s pripadajućim dodacima koji su definirani u zahtjevu. </w:t>
      </w:r>
      <w:r w:rsidRPr="0043782D">
        <w:rPr>
          <w:bCs/>
          <w:szCs w:val="20"/>
        </w:rPr>
        <w:t>HBOR zadržava pravo zatražiti i drugu dokumentaciju potrebnu za obradu zahtjeva za zaključenje ugovora o reosiguranju.</w:t>
      </w:r>
    </w:p>
    <w:p w:rsidR="0002677D" w:rsidRDefault="0002677D" w:rsidP="0002677D">
      <w:pPr>
        <w:spacing w:after="0" w:line="240" w:lineRule="atLeast"/>
        <w:rPr>
          <w:bCs/>
          <w:szCs w:val="20"/>
        </w:rPr>
      </w:pPr>
    </w:p>
    <w:p w:rsidR="0002677D" w:rsidRDefault="0002677D" w:rsidP="0002677D">
      <w:pPr>
        <w:spacing w:after="0" w:line="240" w:lineRule="atLeast"/>
        <w:rPr>
          <w:bCs/>
          <w:szCs w:val="20"/>
        </w:rPr>
      </w:pPr>
      <w:r>
        <w:rPr>
          <w:bCs/>
          <w:szCs w:val="20"/>
        </w:rPr>
        <w:t>Standardizirani obrazac zahtjeva za zaključenje ugovora o reosiguranju su dostupni u HBOR-u na zahtjev.</w:t>
      </w:r>
    </w:p>
    <w:p w:rsidR="0002677D" w:rsidRDefault="0002677D" w:rsidP="00744D8A">
      <w:pPr>
        <w:spacing w:after="0" w:line="240" w:lineRule="atLeast"/>
        <w:rPr>
          <w:bCs/>
          <w:szCs w:val="20"/>
        </w:rPr>
      </w:pPr>
    </w:p>
    <w:p w:rsidR="00EE1AE8" w:rsidRDefault="002942B2" w:rsidP="00880125">
      <w:pPr>
        <w:spacing w:line="240" w:lineRule="atLeast"/>
        <w:ind w:left="709" w:hanging="283"/>
        <w:rPr>
          <w:b/>
          <w:bCs/>
        </w:rPr>
      </w:pPr>
      <w:r>
        <w:rPr>
          <w:b/>
          <w:bCs/>
        </w:rPr>
        <w:t>8</w:t>
      </w:r>
      <w:r w:rsidR="00EE1AE8">
        <w:rPr>
          <w:b/>
          <w:bCs/>
        </w:rPr>
        <w:t>.</w:t>
      </w:r>
      <w:r w:rsidR="0002677D">
        <w:rPr>
          <w:b/>
          <w:bCs/>
        </w:rPr>
        <w:tab/>
      </w:r>
      <w:r w:rsidR="000B3B07">
        <w:rPr>
          <w:b/>
          <w:bCs/>
        </w:rPr>
        <w:t>U</w:t>
      </w:r>
      <w:r w:rsidR="00EE1AE8">
        <w:rPr>
          <w:b/>
          <w:bCs/>
        </w:rPr>
        <w:t>govor o reosiguranju</w:t>
      </w:r>
    </w:p>
    <w:p w:rsidR="002E4E29" w:rsidRDefault="00EE1AE8" w:rsidP="00A007AE">
      <w:pPr>
        <w:spacing w:after="0" w:line="240" w:lineRule="atLeast"/>
        <w:rPr>
          <w:bCs/>
        </w:rPr>
      </w:pPr>
      <w:r w:rsidRPr="004B40A9">
        <w:rPr>
          <w:bCs/>
          <w:szCs w:val="20"/>
        </w:rPr>
        <w:t xml:space="preserve">Ugovor </w:t>
      </w:r>
      <w:r w:rsidR="007A2EC9" w:rsidRPr="004B40A9">
        <w:rPr>
          <w:bCs/>
          <w:szCs w:val="20"/>
        </w:rPr>
        <w:t xml:space="preserve">o </w:t>
      </w:r>
      <w:r w:rsidRPr="004B40A9">
        <w:rPr>
          <w:bCs/>
          <w:szCs w:val="20"/>
        </w:rPr>
        <w:t>reosiguranju zaključ</w:t>
      </w:r>
      <w:r w:rsidR="007A2EC9" w:rsidRPr="005E74C3">
        <w:rPr>
          <w:bCs/>
          <w:szCs w:val="20"/>
        </w:rPr>
        <w:t>uje se između HBOR</w:t>
      </w:r>
      <w:r w:rsidR="002E4E29" w:rsidRPr="00461751">
        <w:rPr>
          <w:bCs/>
          <w:szCs w:val="20"/>
        </w:rPr>
        <w:t>-a i osigurav</w:t>
      </w:r>
      <w:r w:rsidR="002E4E29">
        <w:rPr>
          <w:bCs/>
          <w:szCs w:val="20"/>
        </w:rPr>
        <w:t>ajućeg društva</w:t>
      </w:r>
      <w:r w:rsidR="00A45521">
        <w:rPr>
          <w:bCs/>
          <w:szCs w:val="20"/>
        </w:rPr>
        <w:t>.</w:t>
      </w:r>
    </w:p>
    <w:p w:rsidR="002E4E29" w:rsidRDefault="003E3869" w:rsidP="00A007AE">
      <w:pPr>
        <w:spacing w:after="0" w:line="240" w:lineRule="atLeast"/>
        <w:rPr>
          <w:bCs/>
        </w:rPr>
      </w:pPr>
      <w:r>
        <w:rPr>
          <w:bCs/>
        </w:rPr>
        <w:t>Sastavni dijelovi ugovora o reosiguranju su:</w:t>
      </w:r>
    </w:p>
    <w:p w:rsidR="002E4E29" w:rsidRDefault="00082F0E" w:rsidP="00A007AE">
      <w:pPr>
        <w:numPr>
          <w:ilvl w:val="0"/>
          <w:numId w:val="16"/>
        </w:numPr>
        <w:spacing w:after="0" w:line="240" w:lineRule="atLeast"/>
        <w:ind w:left="426" w:hanging="284"/>
        <w:rPr>
          <w:bCs/>
        </w:rPr>
      </w:pPr>
      <w:r>
        <w:rPr>
          <w:bCs/>
        </w:rPr>
        <w:t xml:space="preserve">Prihvaćeni od strane HBOR-a </w:t>
      </w:r>
      <w:r w:rsidR="002E4E29">
        <w:rPr>
          <w:bCs/>
        </w:rPr>
        <w:t>Opć</w:t>
      </w:r>
      <w:r>
        <w:rPr>
          <w:bCs/>
        </w:rPr>
        <w:t>i</w:t>
      </w:r>
      <w:r w:rsidR="002E4E29">
        <w:rPr>
          <w:bCs/>
        </w:rPr>
        <w:t xml:space="preserve"> uvjet</w:t>
      </w:r>
      <w:r>
        <w:rPr>
          <w:bCs/>
        </w:rPr>
        <w:t>i</w:t>
      </w:r>
      <w:r w:rsidR="002E4E29">
        <w:rPr>
          <w:bCs/>
        </w:rPr>
        <w:t xml:space="preserve"> osiguranja kratkoročnih</w:t>
      </w:r>
      <w:r w:rsidR="00912B5E">
        <w:rPr>
          <w:bCs/>
        </w:rPr>
        <w:t xml:space="preserve"> izvoznih</w:t>
      </w:r>
      <w:r w:rsidR="002E4E29">
        <w:rPr>
          <w:bCs/>
        </w:rPr>
        <w:t xml:space="preserve"> potraživanja osiguravajućeg društva</w:t>
      </w:r>
      <w:r>
        <w:rPr>
          <w:bCs/>
        </w:rPr>
        <w:t>,</w:t>
      </w:r>
      <w:r w:rsidR="002E4E29">
        <w:rPr>
          <w:bCs/>
        </w:rPr>
        <w:t xml:space="preserve"> </w:t>
      </w:r>
    </w:p>
    <w:p w:rsidR="002E4E29" w:rsidRDefault="00082F0E" w:rsidP="00A007AE">
      <w:pPr>
        <w:numPr>
          <w:ilvl w:val="0"/>
          <w:numId w:val="16"/>
        </w:numPr>
        <w:spacing w:after="0" w:line="240" w:lineRule="atLeast"/>
        <w:ind w:left="426" w:hanging="284"/>
        <w:rPr>
          <w:bCs/>
        </w:rPr>
      </w:pPr>
      <w:r>
        <w:rPr>
          <w:bCs/>
        </w:rPr>
        <w:t xml:space="preserve">Prihvaćen </w:t>
      </w:r>
      <w:r w:rsidR="002E4E29">
        <w:rPr>
          <w:bCs/>
        </w:rPr>
        <w:t xml:space="preserve">Popis država za koje osiguravajuće društvo želi ugovoriti reosiguranje kod HBOR-a za pojedinu </w:t>
      </w:r>
      <w:proofErr w:type="spellStart"/>
      <w:r w:rsidR="002E4E29">
        <w:rPr>
          <w:bCs/>
        </w:rPr>
        <w:t>reosigurateljnu</w:t>
      </w:r>
      <w:proofErr w:type="spellEnd"/>
      <w:r w:rsidR="002E4E29">
        <w:rPr>
          <w:bCs/>
        </w:rPr>
        <w:t xml:space="preserve"> godinu,</w:t>
      </w:r>
    </w:p>
    <w:p w:rsidR="002E4E29" w:rsidRDefault="00A206EF" w:rsidP="00A007AE">
      <w:pPr>
        <w:numPr>
          <w:ilvl w:val="0"/>
          <w:numId w:val="16"/>
        </w:numPr>
        <w:spacing w:after="0" w:line="240" w:lineRule="atLeast"/>
        <w:ind w:left="426" w:hanging="284"/>
        <w:rPr>
          <w:bCs/>
        </w:rPr>
      </w:pPr>
      <w:r>
        <w:rPr>
          <w:bCs/>
        </w:rPr>
        <w:t xml:space="preserve">Važeća </w:t>
      </w:r>
      <w:r w:rsidR="003E3869">
        <w:rPr>
          <w:bCs/>
        </w:rPr>
        <w:t>HBOR-ova</w:t>
      </w:r>
      <w:r w:rsidR="00082F0E">
        <w:rPr>
          <w:bCs/>
        </w:rPr>
        <w:t xml:space="preserve"> </w:t>
      </w:r>
      <w:r w:rsidR="002E4E29">
        <w:rPr>
          <w:bCs/>
        </w:rPr>
        <w:t>Klasifikacija zemalja</w:t>
      </w:r>
      <w:r w:rsidR="00082F0E">
        <w:rPr>
          <w:bCs/>
        </w:rPr>
        <w:t xml:space="preserve"> </w:t>
      </w:r>
      <w:r w:rsidR="002E4E29">
        <w:rPr>
          <w:bCs/>
        </w:rPr>
        <w:t>po kategoriji rizika.</w:t>
      </w:r>
    </w:p>
    <w:p w:rsidR="000B3B07" w:rsidRDefault="000B3B07" w:rsidP="00D252FB">
      <w:pPr>
        <w:spacing w:after="0" w:line="240" w:lineRule="atLeast"/>
        <w:rPr>
          <w:bCs/>
        </w:rPr>
      </w:pPr>
    </w:p>
    <w:p w:rsidR="00B91B2F" w:rsidRDefault="00B91B2F" w:rsidP="00B91B2F">
      <w:pPr>
        <w:spacing w:line="240" w:lineRule="atLeast"/>
        <w:ind w:left="709" w:hanging="283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Reo</w:t>
      </w:r>
      <w:r w:rsidRPr="00FB66CF">
        <w:rPr>
          <w:b/>
          <w:bCs/>
        </w:rPr>
        <w:t>sigurana svota</w:t>
      </w:r>
    </w:p>
    <w:p w:rsidR="00B91B2F" w:rsidRPr="00A007AE" w:rsidRDefault="00B91B2F" w:rsidP="00A007AE">
      <w:pPr>
        <w:spacing w:after="0" w:line="240" w:lineRule="atLeast"/>
        <w:rPr>
          <w:bCs/>
          <w:szCs w:val="20"/>
        </w:rPr>
      </w:pPr>
      <w:r w:rsidRPr="00A007AE">
        <w:rPr>
          <w:bCs/>
          <w:szCs w:val="20"/>
        </w:rPr>
        <w:t>Novčani iznos na koji je odobreno reosiguranje po pojedinom inozemnom kupcu.</w:t>
      </w:r>
    </w:p>
    <w:p w:rsidR="000B3B07" w:rsidRPr="00D252FB" w:rsidRDefault="000B3B07" w:rsidP="00D252FB">
      <w:pPr>
        <w:spacing w:after="0" w:line="240" w:lineRule="atLeast"/>
        <w:rPr>
          <w:bCs/>
          <w:szCs w:val="20"/>
        </w:rPr>
      </w:pPr>
    </w:p>
    <w:p w:rsidR="00B91B2F" w:rsidRPr="00A007AE" w:rsidRDefault="00B91B2F" w:rsidP="00A007AE">
      <w:pPr>
        <w:spacing w:line="240" w:lineRule="atLeast"/>
        <w:ind w:left="709" w:hanging="283"/>
        <w:rPr>
          <w:b/>
          <w:bCs/>
        </w:rPr>
      </w:pPr>
      <w:r w:rsidRPr="00A007AE">
        <w:rPr>
          <w:b/>
          <w:bCs/>
        </w:rPr>
        <w:t>10.</w:t>
      </w:r>
      <w:r>
        <w:rPr>
          <w:b/>
          <w:bCs/>
        </w:rPr>
        <w:tab/>
      </w:r>
      <w:r w:rsidRPr="00A007AE">
        <w:rPr>
          <w:b/>
          <w:bCs/>
        </w:rPr>
        <w:t>Premija reosiguranja</w:t>
      </w:r>
    </w:p>
    <w:p w:rsidR="00B91B2F" w:rsidRDefault="00B91B2F" w:rsidP="00B91B2F">
      <w:pPr>
        <w:spacing w:after="0" w:line="240" w:lineRule="atLeast"/>
        <w:rPr>
          <w:bCs/>
          <w:szCs w:val="20"/>
        </w:rPr>
      </w:pPr>
      <w:r w:rsidRPr="004B40A9">
        <w:rPr>
          <w:bCs/>
          <w:szCs w:val="20"/>
        </w:rPr>
        <w:t>Osiguravajuće društvo plaća HBOR-u kao reosiguratelju postot</w:t>
      </w:r>
      <w:r w:rsidRPr="005E74C3">
        <w:rPr>
          <w:bCs/>
          <w:szCs w:val="20"/>
        </w:rPr>
        <w:t>ak od obračunate premije osiguranja za</w:t>
      </w:r>
      <w:r>
        <w:rPr>
          <w:bCs/>
          <w:szCs w:val="20"/>
        </w:rPr>
        <w:t xml:space="preserve"> netržišne komercijalne i političke</w:t>
      </w:r>
      <w:r w:rsidRPr="005E74C3">
        <w:rPr>
          <w:bCs/>
          <w:szCs w:val="20"/>
        </w:rPr>
        <w:t xml:space="preserve"> rizike koje </w:t>
      </w:r>
      <w:proofErr w:type="spellStart"/>
      <w:r w:rsidRPr="005E74C3">
        <w:rPr>
          <w:bCs/>
          <w:szCs w:val="20"/>
        </w:rPr>
        <w:t>reosigurava</w:t>
      </w:r>
      <w:proofErr w:type="spellEnd"/>
      <w:r w:rsidRPr="005E74C3">
        <w:rPr>
          <w:bCs/>
          <w:szCs w:val="20"/>
        </w:rPr>
        <w:t xml:space="preserve"> kod HBOR-a, sukladno utvrđenoj razini pokrića reosiguratelja.</w:t>
      </w:r>
    </w:p>
    <w:p w:rsidR="00B91B2F" w:rsidRDefault="00B91B2F" w:rsidP="00B91B2F">
      <w:pPr>
        <w:spacing w:after="0" w:line="240" w:lineRule="atLeast"/>
        <w:rPr>
          <w:bCs/>
          <w:szCs w:val="20"/>
        </w:rPr>
      </w:pPr>
    </w:p>
    <w:p w:rsidR="008E79C0" w:rsidRDefault="008E79C0" w:rsidP="008E79C0">
      <w:pPr>
        <w:spacing w:after="0" w:line="240" w:lineRule="atLeast"/>
        <w:rPr>
          <w:bCs/>
          <w:szCs w:val="20"/>
        </w:rPr>
      </w:pPr>
      <w:r w:rsidRPr="005E74C3">
        <w:rPr>
          <w:bCs/>
          <w:szCs w:val="20"/>
        </w:rPr>
        <w:t>Osiguravajuće društvo plaća HBOR-u kao reosiguratelju postotak obračunate premije osiguranja uvećan za 30% za privremeno netržišne</w:t>
      </w:r>
      <w:r>
        <w:rPr>
          <w:bCs/>
          <w:szCs w:val="20"/>
        </w:rPr>
        <w:t xml:space="preserve"> komercijalne i političke</w:t>
      </w:r>
      <w:r w:rsidRPr="005E74C3">
        <w:rPr>
          <w:bCs/>
          <w:szCs w:val="20"/>
        </w:rPr>
        <w:t xml:space="preserve"> rizike </w:t>
      </w:r>
      <w:r w:rsidRPr="00461751">
        <w:rPr>
          <w:bCs/>
          <w:szCs w:val="20"/>
        </w:rPr>
        <w:t xml:space="preserve">koje </w:t>
      </w:r>
      <w:proofErr w:type="spellStart"/>
      <w:r w:rsidRPr="00461751">
        <w:rPr>
          <w:bCs/>
          <w:szCs w:val="20"/>
        </w:rPr>
        <w:t>reosigurava</w:t>
      </w:r>
      <w:proofErr w:type="spellEnd"/>
      <w:r w:rsidRPr="00461751">
        <w:rPr>
          <w:bCs/>
          <w:szCs w:val="20"/>
        </w:rPr>
        <w:t xml:space="preserve"> kod HBOR-a, sukladno utvrđenoj razini pokrića reosiguratelja. </w:t>
      </w:r>
    </w:p>
    <w:p w:rsidR="00B91B2F" w:rsidRPr="00FB66CF" w:rsidRDefault="00B91B2F" w:rsidP="00B91B2F">
      <w:pPr>
        <w:ind w:left="709" w:hanging="283"/>
        <w:rPr>
          <w:rFonts w:ascii="Calibri" w:hAnsi="Calibri"/>
          <w:b/>
        </w:rPr>
      </w:pPr>
      <w:r>
        <w:rPr>
          <w:rFonts w:ascii="Calibri" w:hAnsi="Calibri"/>
          <w:b/>
        </w:rPr>
        <w:t>11.</w:t>
      </w:r>
      <w:r>
        <w:rPr>
          <w:rFonts w:ascii="Calibri" w:hAnsi="Calibri"/>
          <w:b/>
        </w:rPr>
        <w:tab/>
      </w:r>
      <w:r w:rsidRPr="00FB66CF">
        <w:rPr>
          <w:rFonts w:ascii="Calibri" w:hAnsi="Calibri"/>
          <w:b/>
        </w:rPr>
        <w:t>O</w:t>
      </w:r>
      <w:r>
        <w:rPr>
          <w:rFonts w:ascii="Calibri" w:hAnsi="Calibri"/>
          <w:b/>
        </w:rPr>
        <w:t>dšteta po reosiguranju</w:t>
      </w:r>
    </w:p>
    <w:p w:rsidR="00B91B2F" w:rsidRPr="005F3A01" w:rsidRDefault="00B91B2F" w:rsidP="00B91B2F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>Novčani iznos koji HBOR kao reosiguratelj isplaćuje osiguravajućem društvu, vezan za nastup reosiguranih rizika sukladno zaključenom ugovoru o reosiguranju, zbog kojih je osiguravajuće društvo isplatilo odštetu osiguraniku po podnesenom odštetnom zahtjevu, a koji je podnesen osiguratelju nakon isteka razdoblja čekanja od najmanje 3 mjeseca.</w:t>
      </w:r>
    </w:p>
    <w:p w:rsidR="00B91B2F" w:rsidRPr="00092AAB" w:rsidRDefault="00B91B2F" w:rsidP="00B91B2F">
      <w:pPr>
        <w:ind w:left="709" w:hanging="28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12.</w:t>
      </w:r>
      <w:r>
        <w:rPr>
          <w:rFonts w:ascii="Calibri" w:hAnsi="Calibri"/>
          <w:b/>
          <w:bCs/>
        </w:rPr>
        <w:tab/>
      </w:r>
      <w:r w:rsidRPr="00092AAB">
        <w:rPr>
          <w:rFonts w:ascii="Calibri" w:hAnsi="Calibri"/>
          <w:b/>
          <w:bCs/>
        </w:rPr>
        <w:t>Obveza izvještavanja</w:t>
      </w:r>
    </w:p>
    <w:p w:rsidR="00B91B2F" w:rsidRDefault="00B91B2F" w:rsidP="00B91B2F">
      <w:pPr>
        <w:spacing w:after="0" w:line="240" w:lineRule="atLeast"/>
        <w:rPr>
          <w:bCs/>
          <w:szCs w:val="20"/>
        </w:rPr>
      </w:pPr>
      <w:r w:rsidRPr="004B40A9">
        <w:rPr>
          <w:bCs/>
          <w:szCs w:val="20"/>
        </w:rPr>
        <w:t>Prema rokovima definiranim ugovorom o reosiguranju, osiguravajuće društvo je obvezno po isteku svakog pojedinog kvartala dostaviti HBOR-u kao reosigura</w:t>
      </w:r>
      <w:r w:rsidRPr="005E74C3">
        <w:rPr>
          <w:bCs/>
          <w:szCs w:val="20"/>
        </w:rPr>
        <w:t>telju informacije o izloženost</w:t>
      </w:r>
      <w:r w:rsidRPr="00461751">
        <w:rPr>
          <w:bCs/>
          <w:szCs w:val="20"/>
        </w:rPr>
        <w:t>i, osiguranom prometu, zaprimljenim zakašnjenjima u plaćanju, zaprimljenim odštetnim zahtjevima, isplaćenim odštetama i regresnim naplatama.</w:t>
      </w:r>
    </w:p>
    <w:p w:rsidR="00B91B2F" w:rsidRPr="004B40A9" w:rsidRDefault="00B91B2F" w:rsidP="00B91B2F">
      <w:pPr>
        <w:spacing w:after="0" w:line="240" w:lineRule="atLeast"/>
        <w:rPr>
          <w:bCs/>
          <w:szCs w:val="20"/>
        </w:rPr>
      </w:pPr>
    </w:p>
    <w:p w:rsidR="0043782D" w:rsidRPr="0043782D" w:rsidRDefault="0043782D" w:rsidP="0043782D">
      <w:pPr>
        <w:spacing w:line="240" w:lineRule="atLeast"/>
        <w:ind w:left="709" w:hanging="283"/>
        <w:rPr>
          <w:b/>
          <w:bCs/>
        </w:rPr>
      </w:pPr>
      <w:r>
        <w:rPr>
          <w:b/>
          <w:bCs/>
        </w:rPr>
        <w:t>1</w:t>
      </w:r>
      <w:r w:rsidR="000373BA">
        <w:rPr>
          <w:b/>
          <w:bCs/>
        </w:rPr>
        <w:t>3</w:t>
      </w:r>
      <w:r w:rsidRPr="0043782D">
        <w:rPr>
          <w:b/>
          <w:bCs/>
        </w:rPr>
        <w:t xml:space="preserve">. </w:t>
      </w:r>
      <w:r w:rsidR="008E79C0">
        <w:rPr>
          <w:b/>
          <w:bCs/>
        </w:rPr>
        <w:t>Ostali uvjeti koji će se regulirati</w:t>
      </w:r>
      <w:r w:rsidRPr="0043782D">
        <w:rPr>
          <w:b/>
          <w:bCs/>
        </w:rPr>
        <w:t xml:space="preserve"> </w:t>
      </w:r>
      <w:r w:rsidR="00A206EF">
        <w:rPr>
          <w:b/>
          <w:bCs/>
        </w:rPr>
        <w:t>u</w:t>
      </w:r>
      <w:r w:rsidRPr="0043782D">
        <w:rPr>
          <w:b/>
          <w:bCs/>
        </w:rPr>
        <w:t>govor</w:t>
      </w:r>
      <w:r w:rsidR="008E79C0">
        <w:rPr>
          <w:b/>
          <w:bCs/>
        </w:rPr>
        <w:t>om</w:t>
      </w:r>
      <w:r w:rsidRPr="0043782D">
        <w:rPr>
          <w:b/>
          <w:bCs/>
        </w:rPr>
        <w:t xml:space="preserve"> o reosiguranju</w:t>
      </w:r>
    </w:p>
    <w:p w:rsidR="005E3E54" w:rsidRPr="00634023" w:rsidRDefault="0043782D" w:rsidP="00634023">
      <w:pPr>
        <w:spacing w:line="240" w:lineRule="atLeast"/>
        <w:ind w:left="709" w:hanging="283"/>
        <w:rPr>
          <w:b/>
          <w:bCs/>
        </w:rPr>
      </w:pPr>
      <w:r>
        <w:rPr>
          <w:b/>
          <w:bCs/>
        </w:rPr>
        <w:t>1</w:t>
      </w:r>
      <w:r w:rsidR="000373BA">
        <w:rPr>
          <w:b/>
          <w:bCs/>
        </w:rPr>
        <w:t>3</w:t>
      </w:r>
      <w:r>
        <w:rPr>
          <w:b/>
          <w:bCs/>
        </w:rPr>
        <w:t>.</w:t>
      </w:r>
      <w:r w:rsidR="008E79C0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ab/>
      </w:r>
      <w:r w:rsidR="005E3E54" w:rsidRPr="00634023">
        <w:rPr>
          <w:b/>
          <w:bCs/>
        </w:rPr>
        <w:t>Opć</w:t>
      </w:r>
      <w:r w:rsidR="004F1F7F">
        <w:rPr>
          <w:b/>
          <w:bCs/>
        </w:rPr>
        <w:t>i limit reosiguranja</w:t>
      </w:r>
    </w:p>
    <w:p w:rsidR="008A5A2C" w:rsidRDefault="005E3E54" w:rsidP="00634023">
      <w:pPr>
        <w:spacing w:after="0" w:line="240" w:lineRule="atLeast"/>
        <w:rPr>
          <w:bCs/>
          <w:szCs w:val="20"/>
        </w:rPr>
      </w:pPr>
      <w:r w:rsidRPr="00634023">
        <w:rPr>
          <w:bCs/>
          <w:szCs w:val="20"/>
        </w:rPr>
        <w:t>Opć</w:t>
      </w:r>
      <w:r w:rsidR="004F1F7F">
        <w:rPr>
          <w:bCs/>
          <w:szCs w:val="20"/>
        </w:rPr>
        <w:t>i limit reosiguranja</w:t>
      </w:r>
      <w:r>
        <w:rPr>
          <w:bCs/>
          <w:szCs w:val="20"/>
        </w:rPr>
        <w:t xml:space="preserve"> predstavlja kumulativ bruto iznosa svih reosiguranih svota koji je HBOR kao reosiguratelj </w:t>
      </w:r>
      <w:r w:rsidR="008A5A2C">
        <w:rPr>
          <w:bCs/>
          <w:szCs w:val="20"/>
        </w:rPr>
        <w:t xml:space="preserve">spreman preuzeti u reosiguranje </w:t>
      </w:r>
      <w:r>
        <w:rPr>
          <w:bCs/>
          <w:szCs w:val="20"/>
        </w:rPr>
        <w:t>temeljem zaključenog ugovora o reosiguranju</w:t>
      </w:r>
      <w:r w:rsidR="008A5A2C">
        <w:rPr>
          <w:bCs/>
          <w:szCs w:val="20"/>
        </w:rPr>
        <w:t xml:space="preserve"> s osiguravajućim društvom.</w:t>
      </w:r>
    </w:p>
    <w:p w:rsidR="00ED633B" w:rsidRDefault="00ED633B" w:rsidP="00ED633B">
      <w:pPr>
        <w:spacing w:after="0" w:line="240" w:lineRule="atLeast"/>
        <w:rPr>
          <w:bCs/>
          <w:szCs w:val="20"/>
        </w:rPr>
      </w:pPr>
    </w:p>
    <w:p w:rsidR="001C3B84" w:rsidRPr="00ED633B" w:rsidRDefault="0043782D" w:rsidP="00ED633B">
      <w:pPr>
        <w:spacing w:line="240" w:lineRule="atLeast"/>
        <w:ind w:left="709" w:hanging="283"/>
        <w:rPr>
          <w:b/>
          <w:bCs/>
        </w:rPr>
      </w:pPr>
      <w:r>
        <w:rPr>
          <w:b/>
          <w:bCs/>
        </w:rPr>
        <w:t>1</w:t>
      </w:r>
      <w:r w:rsidR="000373BA">
        <w:rPr>
          <w:b/>
          <w:bCs/>
        </w:rPr>
        <w:t>3</w:t>
      </w:r>
      <w:r>
        <w:rPr>
          <w:b/>
          <w:bCs/>
        </w:rPr>
        <w:t>.</w:t>
      </w:r>
      <w:r w:rsidR="008E79C0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</w:rPr>
        <w:tab/>
      </w:r>
      <w:r w:rsidR="004F1F7F">
        <w:rPr>
          <w:b/>
          <w:bCs/>
        </w:rPr>
        <w:t>Limit reosiguranja</w:t>
      </w:r>
      <w:r w:rsidR="001C3B84" w:rsidRPr="00ED633B">
        <w:rPr>
          <w:b/>
          <w:bCs/>
        </w:rPr>
        <w:t xml:space="preserve"> po državama</w:t>
      </w:r>
    </w:p>
    <w:p w:rsidR="001C3B84" w:rsidRDefault="004F1F7F" w:rsidP="00ED633B">
      <w:pPr>
        <w:spacing w:after="0" w:line="240" w:lineRule="atLeast"/>
        <w:rPr>
          <w:bCs/>
          <w:szCs w:val="20"/>
        </w:rPr>
      </w:pPr>
      <w:r>
        <w:rPr>
          <w:bCs/>
          <w:szCs w:val="20"/>
        </w:rPr>
        <w:t>Limit reosiguranja</w:t>
      </w:r>
      <w:r w:rsidR="001C3B84">
        <w:rPr>
          <w:bCs/>
          <w:szCs w:val="20"/>
        </w:rPr>
        <w:t xml:space="preserve"> po državama predstavlja kumulativ bruto iznosa reosiguranih svota po određenoj državi koji je HBOR kao reosiguratelj spreman preuzeti u reosiguranje temeljem zaključenog ugovora o reosiguranju s osiguravajućim društvom</w:t>
      </w:r>
      <w:r w:rsidR="001C3B84" w:rsidRPr="004B40A9">
        <w:rPr>
          <w:bCs/>
          <w:szCs w:val="20"/>
        </w:rPr>
        <w:t>.</w:t>
      </w:r>
    </w:p>
    <w:p w:rsidR="0043782D" w:rsidRDefault="0043782D" w:rsidP="00ED633B">
      <w:pPr>
        <w:spacing w:after="0" w:line="240" w:lineRule="atLeast"/>
        <w:rPr>
          <w:bCs/>
          <w:szCs w:val="20"/>
        </w:rPr>
      </w:pPr>
    </w:p>
    <w:p w:rsidR="001C3B84" w:rsidRPr="00092AAB" w:rsidRDefault="0043782D" w:rsidP="00092AAB">
      <w:pPr>
        <w:spacing w:line="240" w:lineRule="atLeast"/>
        <w:ind w:left="709" w:hanging="283"/>
        <w:rPr>
          <w:b/>
          <w:bCs/>
        </w:rPr>
      </w:pPr>
      <w:r>
        <w:rPr>
          <w:b/>
          <w:bCs/>
        </w:rPr>
        <w:t>1</w:t>
      </w:r>
      <w:r w:rsidR="000373BA">
        <w:rPr>
          <w:b/>
          <w:bCs/>
        </w:rPr>
        <w:t>3</w:t>
      </w:r>
      <w:r>
        <w:rPr>
          <w:b/>
          <w:bCs/>
        </w:rPr>
        <w:t>.</w:t>
      </w:r>
      <w:r w:rsidR="008E79C0">
        <w:rPr>
          <w:b/>
          <w:bCs/>
        </w:rPr>
        <w:t>3</w:t>
      </w:r>
      <w:r w:rsidR="001C3B84" w:rsidRPr="00092AAB">
        <w:rPr>
          <w:b/>
          <w:bCs/>
        </w:rPr>
        <w:t>.</w:t>
      </w:r>
      <w:r>
        <w:rPr>
          <w:b/>
          <w:bCs/>
        </w:rPr>
        <w:tab/>
      </w:r>
      <w:r w:rsidR="004F1F7F">
        <w:rPr>
          <w:b/>
          <w:bCs/>
        </w:rPr>
        <w:t>Limit reosiguranja</w:t>
      </w:r>
      <w:r w:rsidR="001C3B84" w:rsidRPr="00092AAB">
        <w:rPr>
          <w:b/>
          <w:bCs/>
        </w:rPr>
        <w:t xml:space="preserve"> po pojedinom inozemnom kupcu</w:t>
      </w:r>
    </w:p>
    <w:p w:rsidR="00550A71" w:rsidRDefault="004F1F7F" w:rsidP="00550A71">
      <w:pPr>
        <w:spacing w:after="0" w:line="240" w:lineRule="atLeast"/>
        <w:rPr>
          <w:bCs/>
          <w:szCs w:val="20"/>
        </w:rPr>
      </w:pPr>
      <w:r>
        <w:rPr>
          <w:bCs/>
          <w:szCs w:val="20"/>
        </w:rPr>
        <w:t>Limiti reosiguranja</w:t>
      </w:r>
      <w:r w:rsidR="00550A71">
        <w:rPr>
          <w:bCs/>
          <w:szCs w:val="20"/>
        </w:rPr>
        <w:t xml:space="preserve"> po pojedinom inozemnom kupcu predstavlja kumulativ bruto iznosa reosiguranih svota po pojedinom</w:t>
      </w:r>
      <w:r w:rsidR="0085443C">
        <w:rPr>
          <w:bCs/>
          <w:szCs w:val="20"/>
        </w:rPr>
        <w:t xml:space="preserve"> inozemnom</w:t>
      </w:r>
      <w:r w:rsidR="00550A71">
        <w:rPr>
          <w:bCs/>
          <w:szCs w:val="20"/>
        </w:rPr>
        <w:t xml:space="preserve"> kupcu koji je HBOR kao reosiguratelj spreman preuzeti u reosiguranje temeljem zaključenog ugovora o reosiguranju s osiguravajućim društvom</w:t>
      </w:r>
      <w:r w:rsidR="00550A71" w:rsidRPr="00612E6E">
        <w:rPr>
          <w:bCs/>
          <w:szCs w:val="20"/>
        </w:rPr>
        <w:t>.</w:t>
      </w:r>
    </w:p>
    <w:p w:rsidR="007D532E" w:rsidRDefault="007D532E" w:rsidP="00550A71">
      <w:pPr>
        <w:spacing w:after="0" w:line="240" w:lineRule="atLeast"/>
        <w:rPr>
          <w:bCs/>
          <w:szCs w:val="20"/>
        </w:rPr>
      </w:pPr>
    </w:p>
    <w:p w:rsidR="006E07D6" w:rsidRPr="00FB66CF" w:rsidRDefault="0043782D" w:rsidP="006E07D6">
      <w:pPr>
        <w:ind w:left="709" w:hanging="283"/>
        <w:rPr>
          <w:bCs/>
        </w:rPr>
      </w:pPr>
      <w:r>
        <w:rPr>
          <w:rFonts w:ascii="Calibri" w:hAnsi="Calibri"/>
          <w:b/>
          <w:bCs/>
        </w:rPr>
        <w:t>1</w:t>
      </w:r>
      <w:r w:rsidR="000373BA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>.</w:t>
      </w:r>
      <w:r w:rsidR="000373BA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.</w:t>
      </w:r>
      <w:r w:rsidR="006E07D6" w:rsidRPr="00FB66CF">
        <w:rPr>
          <w:rFonts w:ascii="Calibri" w:hAnsi="Calibri"/>
          <w:b/>
          <w:bCs/>
        </w:rPr>
        <w:tab/>
      </w:r>
      <w:r w:rsidR="006E07D6">
        <w:rPr>
          <w:b/>
          <w:bCs/>
        </w:rPr>
        <w:t>Provizija</w:t>
      </w:r>
      <w:r w:rsidR="006E07D6" w:rsidRPr="00FB66CF">
        <w:rPr>
          <w:b/>
          <w:bCs/>
        </w:rPr>
        <w:t xml:space="preserve"> </w:t>
      </w:r>
      <w:r w:rsidR="006E07D6">
        <w:rPr>
          <w:b/>
          <w:bCs/>
        </w:rPr>
        <w:t>re</w:t>
      </w:r>
      <w:r w:rsidR="006E07D6" w:rsidRPr="00FB66CF">
        <w:rPr>
          <w:b/>
          <w:bCs/>
        </w:rPr>
        <w:t>osiguranja</w:t>
      </w:r>
    </w:p>
    <w:p w:rsidR="006E07D6" w:rsidRDefault="006E07D6" w:rsidP="00092AAB">
      <w:pPr>
        <w:spacing w:after="0" w:line="240" w:lineRule="atLeast"/>
        <w:rPr>
          <w:bCs/>
          <w:szCs w:val="20"/>
        </w:rPr>
      </w:pPr>
      <w:r w:rsidRPr="004B40A9">
        <w:rPr>
          <w:bCs/>
          <w:szCs w:val="20"/>
        </w:rPr>
        <w:t xml:space="preserve">Novčani iznos koji </w:t>
      </w:r>
      <w:r w:rsidR="00465156" w:rsidRPr="004B40A9">
        <w:rPr>
          <w:bCs/>
          <w:szCs w:val="20"/>
        </w:rPr>
        <w:t xml:space="preserve">HBOR kao </w:t>
      </w:r>
      <w:r w:rsidRPr="004B40A9">
        <w:rPr>
          <w:bCs/>
          <w:szCs w:val="20"/>
        </w:rPr>
        <w:t xml:space="preserve">reosiguratelj plaća </w:t>
      </w:r>
      <w:r w:rsidR="00465156" w:rsidRPr="004B40A9">
        <w:rPr>
          <w:bCs/>
          <w:szCs w:val="20"/>
        </w:rPr>
        <w:t xml:space="preserve">osiguravajućem društvu </w:t>
      </w:r>
      <w:r w:rsidRPr="004B40A9">
        <w:rPr>
          <w:bCs/>
          <w:szCs w:val="20"/>
        </w:rPr>
        <w:t>na ime pokri</w:t>
      </w:r>
      <w:r w:rsidRPr="005E74C3">
        <w:rPr>
          <w:bCs/>
          <w:szCs w:val="20"/>
        </w:rPr>
        <w:t xml:space="preserve">ća dijela troškova pribave osiguranja temeljem zaključenog </w:t>
      </w:r>
      <w:r w:rsidR="00465156" w:rsidRPr="00461751">
        <w:rPr>
          <w:bCs/>
          <w:szCs w:val="20"/>
        </w:rPr>
        <w:t>u</w:t>
      </w:r>
      <w:r w:rsidRPr="00461751">
        <w:rPr>
          <w:bCs/>
          <w:szCs w:val="20"/>
        </w:rPr>
        <w:t>govora o reosiguranju.</w:t>
      </w:r>
    </w:p>
    <w:p w:rsidR="002942B2" w:rsidRDefault="002942B2" w:rsidP="00092AAB">
      <w:pPr>
        <w:spacing w:after="0" w:line="240" w:lineRule="atLeast"/>
        <w:rPr>
          <w:bCs/>
          <w:szCs w:val="20"/>
        </w:rPr>
      </w:pPr>
    </w:p>
    <w:p w:rsidR="00D55EEE" w:rsidRPr="00612E6E" w:rsidRDefault="0043782D" w:rsidP="00D55EEE">
      <w:pPr>
        <w:ind w:left="709" w:hanging="28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</w:t>
      </w:r>
      <w:r w:rsidR="000373BA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>.</w:t>
      </w:r>
      <w:r w:rsidR="00AA5A2D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ab/>
      </w:r>
      <w:r w:rsidR="00D55EEE" w:rsidRPr="00612E6E">
        <w:rPr>
          <w:rFonts w:ascii="Calibri" w:hAnsi="Calibri"/>
          <w:b/>
          <w:bCs/>
        </w:rPr>
        <w:t xml:space="preserve"> </w:t>
      </w:r>
      <w:proofErr w:type="spellStart"/>
      <w:r w:rsidR="00D55EEE">
        <w:rPr>
          <w:rFonts w:ascii="Calibri" w:hAnsi="Calibri"/>
          <w:b/>
          <w:bCs/>
        </w:rPr>
        <w:t>Reosigurateljna</w:t>
      </w:r>
      <w:proofErr w:type="spellEnd"/>
      <w:r w:rsidR="00D55EEE">
        <w:rPr>
          <w:rFonts w:ascii="Calibri" w:hAnsi="Calibri"/>
          <w:b/>
          <w:bCs/>
        </w:rPr>
        <w:t xml:space="preserve"> godina</w:t>
      </w:r>
    </w:p>
    <w:p w:rsidR="00E92241" w:rsidRDefault="00D55EEE" w:rsidP="00ED633B">
      <w:pPr>
        <w:spacing w:after="0" w:line="240" w:lineRule="atLeast"/>
        <w:rPr>
          <w:bCs/>
          <w:szCs w:val="20"/>
        </w:rPr>
      </w:pPr>
      <w:r w:rsidRPr="004B40A9">
        <w:rPr>
          <w:bCs/>
          <w:szCs w:val="20"/>
        </w:rPr>
        <w:t>Razdoblje reosiguranja od 12 mjeseci koje počinje i završava u dane navedene u ugovoru o reosiguranju.</w:t>
      </w:r>
    </w:p>
    <w:p w:rsidR="008E79C0" w:rsidRDefault="008E79C0" w:rsidP="00ED633B">
      <w:pPr>
        <w:spacing w:after="0" w:line="240" w:lineRule="atLeast"/>
        <w:rPr>
          <w:bCs/>
          <w:szCs w:val="20"/>
        </w:rPr>
      </w:pPr>
    </w:p>
    <w:p w:rsidR="00AA5A2D" w:rsidRPr="00FB66CF" w:rsidRDefault="00AA5A2D" w:rsidP="00AA5A2D">
      <w:pPr>
        <w:ind w:left="709" w:hanging="283"/>
        <w:rPr>
          <w:rFonts w:ascii="Calibri" w:hAnsi="Calibri"/>
          <w:b/>
        </w:rPr>
      </w:pPr>
      <w:r>
        <w:rPr>
          <w:rFonts w:ascii="Calibri" w:hAnsi="Calibri"/>
          <w:b/>
        </w:rPr>
        <w:t>13.6.</w:t>
      </w:r>
      <w:r>
        <w:rPr>
          <w:rFonts w:ascii="Calibri" w:hAnsi="Calibri"/>
          <w:b/>
        </w:rPr>
        <w:tab/>
      </w:r>
      <w:r w:rsidRPr="00FB66CF">
        <w:rPr>
          <w:rFonts w:ascii="Calibri" w:hAnsi="Calibri"/>
          <w:b/>
        </w:rPr>
        <w:t>Trajanje</w:t>
      </w:r>
      <w:r>
        <w:rPr>
          <w:rFonts w:ascii="Calibri" w:hAnsi="Calibri"/>
          <w:b/>
        </w:rPr>
        <w:t xml:space="preserve"> </w:t>
      </w:r>
      <w:r w:rsidR="00A206EF">
        <w:rPr>
          <w:rFonts w:ascii="Calibri" w:hAnsi="Calibri"/>
          <w:b/>
        </w:rPr>
        <w:t>u</w:t>
      </w:r>
      <w:r>
        <w:rPr>
          <w:rFonts w:ascii="Calibri" w:hAnsi="Calibri"/>
          <w:b/>
        </w:rPr>
        <w:t>govora o</w:t>
      </w:r>
      <w:r w:rsidRPr="00FB66C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reosiguranju</w:t>
      </w:r>
    </w:p>
    <w:p w:rsidR="00AA5A2D" w:rsidRDefault="00AA5A2D" w:rsidP="00AA5A2D">
      <w:pPr>
        <w:spacing w:after="0" w:line="240" w:lineRule="atLeast"/>
        <w:rPr>
          <w:bCs/>
          <w:szCs w:val="20"/>
        </w:rPr>
      </w:pPr>
      <w:r w:rsidRPr="004B40A9">
        <w:rPr>
          <w:bCs/>
          <w:szCs w:val="20"/>
        </w:rPr>
        <w:t xml:space="preserve">Ugovor traje do </w:t>
      </w:r>
      <w:r>
        <w:rPr>
          <w:bCs/>
          <w:szCs w:val="20"/>
        </w:rPr>
        <w:t xml:space="preserve">datuma definiranom u ugovoru o reosiguranju sukladno </w:t>
      </w:r>
      <w:proofErr w:type="spellStart"/>
      <w:r>
        <w:rPr>
          <w:bCs/>
          <w:szCs w:val="20"/>
        </w:rPr>
        <w:t>reosigurateljnoj</w:t>
      </w:r>
      <w:proofErr w:type="spellEnd"/>
      <w:r>
        <w:rPr>
          <w:bCs/>
          <w:szCs w:val="20"/>
        </w:rPr>
        <w:t xml:space="preserve"> godini</w:t>
      </w:r>
      <w:r w:rsidRPr="004B40A9">
        <w:rPr>
          <w:bCs/>
          <w:szCs w:val="20"/>
        </w:rPr>
        <w:t xml:space="preserve"> ako ne bude automatski produžen na daljnji rok od godinu dana. Ugovor će se automatski produžiti za godinu dana ako </w:t>
      </w:r>
      <w:r>
        <w:rPr>
          <w:bCs/>
          <w:szCs w:val="20"/>
        </w:rPr>
        <w:t>jedna ugovorna strana</w:t>
      </w:r>
      <w:r w:rsidRPr="004B40A9">
        <w:rPr>
          <w:bCs/>
          <w:szCs w:val="20"/>
        </w:rPr>
        <w:t xml:space="preserve">, najkasnije 60 dana prije isteka </w:t>
      </w:r>
      <w:proofErr w:type="spellStart"/>
      <w:r>
        <w:rPr>
          <w:bCs/>
          <w:szCs w:val="20"/>
        </w:rPr>
        <w:t>r</w:t>
      </w:r>
      <w:r w:rsidRPr="004B40A9">
        <w:rPr>
          <w:bCs/>
          <w:szCs w:val="20"/>
        </w:rPr>
        <w:t>eosigurateljne</w:t>
      </w:r>
      <w:proofErr w:type="spellEnd"/>
      <w:r w:rsidRPr="004B40A9">
        <w:rPr>
          <w:bCs/>
          <w:szCs w:val="20"/>
        </w:rPr>
        <w:t xml:space="preserve"> godine pisanim putem ne obavijesti drugu </w:t>
      </w:r>
      <w:r>
        <w:rPr>
          <w:bCs/>
          <w:szCs w:val="20"/>
        </w:rPr>
        <w:t xml:space="preserve">ugovornu </w:t>
      </w:r>
      <w:r w:rsidRPr="004B40A9">
        <w:rPr>
          <w:bCs/>
          <w:szCs w:val="20"/>
        </w:rPr>
        <w:t xml:space="preserve">stranu da odustaje od produženja </w:t>
      </w:r>
      <w:r>
        <w:rPr>
          <w:bCs/>
          <w:szCs w:val="20"/>
        </w:rPr>
        <w:t>u</w:t>
      </w:r>
      <w:r w:rsidRPr="004B40A9">
        <w:rPr>
          <w:bCs/>
          <w:szCs w:val="20"/>
        </w:rPr>
        <w:t>govora</w:t>
      </w:r>
      <w:r>
        <w:rPr>
          <w:bCs/>
          <w:szCs w:val="20"/>
        </w:rPr>
        <w:t xml:space="preserve"> o reosiguranju</w:t>
      </w:r>
      <w:r w:rsidRPr="004B40A9">
        <w:rPr>
          <w:bCs/>
          <w:szCs w:val="20"/>
        </w:rPr>
        <w:t>.</w:t>
      </w:r>
    </w:p>
    <w:p w:rsidR="00AA5A2D" w:rsidRDefault="00AA5A2D" w:rsidP="00ED633B">
      <w:pPr>
        <w:spacing w:after="0" w:line="240" w:lineRule="atLeast"/>
        <w:rPr>
          <w:bCs/>
          <w:szCs w:val="20"/>
        </w:rPr>
      </w:pPr>
    </w:p>
    <w:p w:rsidR="00AA5A2D" w:rsidRDefault="00AA5A2D" w:rsidP="00ED633B">
      <w:pPr>
        <w:spacing w:after="0" w:line="240" w:lineRule="atLeast"/>
        <w:rPr>
          <w:bCs/>
          <w:szCs w:val="20"/>
        </w:rPr>
      </w:pPr>
    </w:p>
    <w:p w:rsidR="00B42256" w:rsidRDefault="00B42256" w:rsidP="00ED633B">
      <w:pPr>
        <w:spacing w:after="0" w:line="240" w:lineRule="atLeast"/>
        <w:rPr>
          <w:bCs/>
          <w:szCs w:val="20"/>
        </w:rPr>
      </w:pPr>
    </w:p>
    <w:p w:rsidR="00B42256" w:rsidRDefault="00B42256" w:rsidP="00ED633B">
      <w:pPr>
        <w:spacing w:after="0" w:line="240" w:lineRule="atLeast"/>
        <w:rPr>
          <w:bCs/>
          <w:szCs w:val="20"/>
        </w:rPr>
      </w:pPr>
    </w:p>
    <w:p w:rsidR="00B42256" w:rsidRDefault="00B42256" w:rsidP="00ED633B">
      <w:pPr>
        <w:spacing w:after="0" w:line="240" w:lineRule="atLeast"/>
        <w:rPr>
          <w:bCs/>
          <w:szCs w:val="20"/>
        </w:rPr>
      </w:pPr>
    </w:p>
    <w:p w:rsidR="00B42256" w:rsidRDefault="00B42256" w:rsidP="00ED633B">
      <w:pPr>
        <w:spacing w:after="0" w:line="240" w:lineRule="atLeast"/>
        <w:rPr>
          <w:bCs/>
          <w:szCs w:val="20"/>
        </w:rPr>
      </w:pPr>
    </w:p>
    <w:p w:rsidR="00924B26" w:rsidRDefault="00924B26" w:rsidP="00A007AE">
      <w:pPr>
        <w:spacing w:after="0" w:line="240" w:lineRule="atLeast"/>
        <w:rPr>
          <w:bCs/>
          <w:szCs w:val="20"/>
        </w:rPr>
      </w:pPr>
    </w:p>
    <w:p w:rsidR="005B30A2" w:rsidRPr="00A007AE" w:rsidRDefault="005B30A2" w:rsidP="00A007AE">
      <w:pPr>
        <w:spacing w:after="0" w:line="240" w:lineRule="atLeast"/>
        <w:rPr>
          <w:bCs/>
          <w:szCs w:val="20"/>
        </w:rPr>
        <w:sectPr w:rsidR="005B30A2" w:rsidRPr="00A007AE" w:rsidSect="00E05D4A">
          <w:footerReference w:type="first" r:id="rId12"/>
          <w:type w:val="continuous"/>
          <w:pgSz w:w="11906" w:h="16838"/>
          <w:pgMar w:top="1418" w:right="1134" w:bottom="1701" w:left="1134" w:header="709" w:footer="709" w:gutter="170"/>
          <w:pgNumType w:start="1"/>
          <w:cols w:space="708"/>
          <w:docGrid w:linePitch="360"/>
        </w:sectPr>
      </w:pPr>
    </w:p>
    <w:p w:rsidR="0047501B" w:rsidRPr="001F7FCC" w:rsidRDefault="0047501B" w:rsidP="0047501B">
      <w:pPr>
        <w:rPr>
          <w:rFonts w:ascii="Calibri" w:hAnsi="Calibri"/>
          <w:color w:val="FF0000"/>
          <w:szCs w:val="20"/>
        </w:rPr>
      </w:pPr>
      <w:r w:rsidRPr="001F7FCC">
        <w:rPr>
          <w:noProof/>
          <w:color w:val="FF0000"/>
          <w:lang w:eastAsia="hr-HR"/>
        </w:rPr>
        <w:drawing>
          <wp:anchor distT="0" distB="0" distL="114300" distR="114300" simplePos="0" relativeHeight="251661312" behindDoc="1" locked="0" layoutInCell="1" allowOverlap="1" wp14:anchorId="6B52651F" wp14:editId="52FE3DBD">
            <wp:simplePos x="0" y="0"/>
            <wp:positionH relativeFrom="column">
              <wp:posOffset>-499745</wp:posOffset>
            </wp:positionH>
            <wp:positionV relativeFrom="paragraph">
              <wp:posOffset>-560705</wp:posOffset>
            </wp:positionV>
            <wp:extent cx="2811145" cy="10063480"/>
            <wp:effectExtent l="0" t="0" r="8255" b="0"/>
            <wp:wrapNone/>
            <wp:docPr id="7" name="Picture 7" descr="tr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006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FCC">
        <w:rPr>
          <w:rFonts w:ascii="Calibri" w:hAnsi="Calibri"/>
          <w:noProof/>
          <w:color w:val="FF000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34FA7" wp14:editId="7463AB42">
                <wp:simplePos x="0" y="0"/>
                <wp:positionH relativeFrom="column">
                  <wp:posOffset>-534670</wp:posOffset>
                </wp:positionH>
                <wp:positionV relativeFrom="paragraph">
                  <wp:posOffset>-525145</wp:posOffset>
                </wp:positionV>
                <wp:extent cx="2797175" cy="10026650"/>
                <wp:effectExtent l="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002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56A">
                                  <a:alpha val="7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spacing w:before="60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firstLine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Hrvatska banka za obnovu i razvitak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Osiguranje izvoza</w:t>
                            </w:r>
                          </w:p>
                          <w:p w:rsidR="0047501B" w:rsidRPr="00263634" w:rsidRDefault="00E2470E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Strossmayerov trg 9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10 000 Zagreb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Tel: +385 1 4591 539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Fax: + 385 1 4591 547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www.hbor.hr</w:t>
                            </w: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Default="0047501B" w:rsidP="0047501B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Hrvatska banka za obnovu i razvitak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Osiguranje izvoza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Zelinska 3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10 000 Zagreb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Tel: +385 1 4591 539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Fax: + 385 1 4591 547</w:t>
                            </w: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:rsidR="0047501B" w:rsidRPr="00263634" w:rsidRDefault="0047501B" w:rsidP="0047501B">
                            <w:pPr>
                              <w:spacing w:before="60"/>
                              <w:ind w:left="284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63634">
                              <w:rPr>
                                <w:rFonts w:ascii="Calibri" w:hAnsi="Calibri"/>
                                <w:color w:val="FFFFFF"/>
                              </w:rPr>
                              <w:t>www.hbor.hr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34F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2.1pt;margin-top:-41.35pt;width:220.25pt;height:7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" filled="f" fillcolor="#66656a" stroked="f">
                <v:fill opacity="46003f"/>
                <v:textbox>
                  <w:txbxContent>
                    <w:p w:rsidR="0047501B" w:rsidRDefault="0047501B" w:rsidP="0047501B">
                      <w:pPr>
                        <w:rPr>
                          <w:rFonts w:ascii="Calibri" w:hAnsi="Calibri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spacing w:before="60"/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Pr="00263634" w:rsidRDefault="0047501B" w:rsidP="0047501B">
                      <w:pPr>
                        <w:spacing w:before="60"/>
                        <w:ind w:firstLine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Hrvatska banka za obnovu i razvitak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Osiguranje izvoza</w:t>
                      </w:r>
                    </w:p>
                    <w:p w:rsidR="0047501B" w:rsidRPr="00263634" w:rsidRDefault="00E2470E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>
                        <w:rPr>
                          <w:rFonts w:ascii="Calibri" w:hAnsi="Calibri"/>
                          <w:color w:val="FFFFFF"/>
                        </w:rPr>
                        <w:t>Strossmayerov trg 9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10 000 Zagreb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Tel: +385 1 4591 539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Fax: + 385 1 4591 547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www.hbor.hr</w:t>
                      </w: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Default="0047501B" w:rsidP="0047501B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Hrvatska banka za obnovu i razvitak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Osiguranje izvoza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Zelinska 3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10 000 Zagreb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Tel: +385 1 4591 539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Fax: + 385 1 4591 547</w:t>
                      </w: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</w:p>
                    <w:p w:rsidR="0047501B" w:rsidRPr="00263634" w:rsidRDefault="0047501B" w:rsidP="0047501B">
                      <w:pPr>
                        <w:spacing w:before="60"/>
                        <w:ind w:left="284"/>
                        <w:rPr>
                          <w:rFonts w:ascii="Calibri" w:hAnsi="Calibri"/>
                          <w:color w:val="FFFFFF"/>
                        </w:rPr>
                      </w:pPr>
                      <w:r w:rsidRPr="00263634">
                        <w:rPr>
                          <w:rFonts w:ascii="Calibri" w:hAnsi="Calibri"/>
                          <w:color w:val="FFFFFF"/>
                        </w:rPr>
                        <w:t>www.hbor.hr</w:t>
                      </w:r>
                    </w:p>
                  </w:txbxContent>
                </v:textbox>
              </v:shape>
            </w:pict>
          </mc:Fallback>
        </mc:AlternateContent>
      </w:r>
    </w:p>
    <w:p w:rsidR="0047501B" w:rsidRPr="005B082C" w:rsidRDefault="0047501B" w:rsidP="0047501B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:rsidR="00E13D21" w:rsidRPr="0047501B" w:rsidRDefault="00E13D21" w:rsidP="0047501B"/>
    <w:sectPr w:rsidR="00E13D21" w:rsidRPr="0047501B" w:rsidSect="00355492">
      <w:footerReference w:type="first" r:id="rId13"/>
      <w:pgSz w:w="11906" w:h="16838" w:code="9"/>
      <w:pgMar w:top="1418" w:right="1134" w:bottom="1701" w:left="1134" w:header="709" w:footer="709" w:gutter="170"/>
      <w:pgNumType w:start="1"/>
      <w:cols w:num="2" w:space="708" w:equalWidth="0">
        <w:col w:w="4371" w:space="708"/>
        <w:col w:w="438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5E" w:rsidRDefault="00AF525E" w:rsidP="0047501B">
      <w:pPr>
        <w:spacing w:after="0"/>
      </w:pPr>
      <w:r>
        <w:separator/>
      </w:r>
    </w:p>
  </w:endnote>
  <w:endnote w:type="continuationSeparator" w:id="0">
    <w:p w:rsidR="00AF525E" w:rsidRDefault="00AF525E" w:rsidP="004750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01B" w:rsidRPr="00F92D1E" w:rsidRDefault="0047501B" w:rsidP="00F92D1E">
    <w:pPr>
      <w:pStyle w:val="Footer"/>
      <w:framePr w:wrap="around" w:vAnchor="text" w:hAnchor="page" w:x="10418" w:y="1"/>
      <w:pBdr>
        <w:bottom w:val="single" w:sz="18" w:space="1" w:color="CC0033"/>
      </w:pBdr>
      <w:spacing w:after="0"/>
      <w:rPr>
        <w:rStyle w:val="PageNumber"/>
        <w:rFonts w:ascii="Calibri" w:hAnsi="Calibri"/>
        <w:b/>
        <w:color w:val="66656A"/>
        <w:szCs w:val="20"/>
      </w:rPr>
    </w:pPr>
    <w:r w:rsidRPr="00F92D1E">
      <w:rPr>
        <w:rStyle w:val="PageNumber"/>
        <w:rFonts w:ascii="Calibri" w:hAnsi="Calibri"/>
        <w:b/>
        <w:color w:val="66656A"/>
        <w:szCs w:val="20"/>
      </w:rPr>
      <w:fldChar w:fldCharType="begin"/>
    </w:r>
    <w:r w:rsidRPr="00F92D1E">
      <w:rPr>
        <w:rStyle w:val="PageNumber"/>
        <w:rFonts w:ascii="Calibri" w:hAnsi="Calibri"/>
        <w:b/>
        <w:color w:val="66656A"/>
        <w:szCs w:val="20"/>
      </w:rPr>
      <w:instrText xml:space="preserve">PAGE  </w:instrText>
    </w:r>
    <w:r w:rsidRPr="00F92D1E">
      <w:rPr>
        <w:rStyle w:val="PageNumber"/>
        <w:rFonts w:ascii="Calibri" w:hAnsi="Calibri"/>
        <w:b/>
        <w:color w:val="66656A"/>
        <w:szCs w:val="20"/>
      </w:rPr>
      <w:fldChar w:fldCharType="separate"/>
    </w:r>
    <w:r>
      <w:rPr>
        <w:rStyle w:val="PageNumber"/>
        <w:rFonts w:ascii="Calibri" w:hAnsi="Calibri"/>
        <w:b/>
        <w:noProof/>
        <w:color w:val="66656A"/>
        <w:szCs w:val="20"/>
      </w:rPr>
      <w:t>5</w:t>
    </w:r>
    <w:r w:rsidRPr="00F92D1E">
      <w:rPr>
        <w:rStyle w:val="PageNumber"/>
        <w:rFonts w:ascii="Calibri" w:hAnsi="Calibri"/>
        <w:b/>
        <w:color w:val="66656A"/>
        <w:szCs w:val="20"/>
      </w:rPr>
      <w:fldChar w:fldCharType="end"/>
    </w:r>
    <w:r w:rsidRPr="00F92D1E">
      <w:rPr>
        <w:rStyle w:val="PageNumber"/>
        <w:rFonts w:ascii="Calibri" w:hAnsi="Calibri"/>
        <w:b/>
        <w:color w:val="66656A"/>
        <w:szCs w:val="20"/>
      </w:rPr>
      <w:t>/</w:t>
    </w:r>
    <w:r w:rsidRPr="00F92D1E">
      <w:rPr>
        <w:rStyle w:val="PageNumber"/>
        <w:rFonts w:ascii="Calibri" w:hAnsi="Calibri"/>
        <w:b/>
        <w:color w:val="66656A"/>
        <w:szCs w:val="20"/>
      </w:rPr>
      <w:fldChar w:fldCharType="begin"/>
    </w:r>
    <w:r w:rsidRPr="00F92D1E">
      <w:rPr>
        <w:rStyle w:val="PageNumber"/>
        <w:rFonts w:ascii="Calibri" w:hAnsi="Calibri"/>
        <w:b/>
        <w:color w:val="66656A"/>
        <w:szCs w:val="20"/>
      </w:rPr>
      <w:instrText xml:space="preserve">= </w:instrText>
    </w:r>
    <w:r w:rsidRPr="00F92D1E">
      <w:rPr>
        <w:rStyle w:val="PageNumber"/>
        <w:rFonts w:ascii="Calibri" w:hAnsi="Calibri"/>
        <w:b/>
        <w:color w:val="66656A"/>
        <w:szCs w:val="20"/>
      </w:rPr>
      <w:fldChar w:fldCharType="begin"/>
    </w:r>
    <w:r w:rsidRPr="00F92D1E">
      <w:rPr>
        <w:rStyle w:val="PageNumber"/>
        <w:rFonts w:ascii="Calibri" w:hAnsi="Calibri"/>
        <w:b/>
        <w:color w:val="66656A"/>
        <w:szCs w:val="20"/>
      </w:rPr>
      <w:instrText xml:space="preserve"> NUMPAGES </w:instrText>
    </w:r>
    <w:r w:rsidRPr="00F92D1E">
      <w:rPr>
        <w:rStyle w:val="PageNumber"/>
        <w:rFonts w:ascii="Calibri" w:hAnsi="Calibri"/>
        <w:b/>
        <w:color w:val="66656A"/>
        <w:szCs w:val="20"/>
      </w:rPr>
      <w:fldChar w:fldCharType="separate"/>
    </w:r>
    <w:r w:rsidR="009A479E">
      <w:rPr>
        <w:rStyle w:val="PageNumber"/>
        <w:rFonts w:ascii="Calibri" w:hAnsi="Calibri"/>
        <w:b/>
        <w:noProof/>
        <w:color w:val="66656A"/>
        <w:szCs w:val="20"/>
      </w:rPr>
      <w:instrText>5</w:instrText>
    </w:r>
    <w:r w:rsidRPr="00F92D1E">
      <w:rPr>
        <w:rStyle w:val="PageNumber"/>
        <w:rFonts w:ascii="Calibri" w:hAnsi="Calibri"/>
        <w:b/>
        <w:color w:val="66656A"/>
        <w:szCs w:val="20"/>
      </w:rPr>
      <w:fldChar w:fldCharType="end"/>
    </w:r>
    <w:r w:rsidRPr="00F92D1E">
      <w:rPr>
        <w:rStyle w:val="PageNumber"/>
        <w:rFonts w:ascii="Calibri" w:hAnsi="Calibri"/>
        <w:b/>
        <w:color w:val="66656A"/>
        <w:szCs w:val="20"/>
      </w:rPr>
      <w:instrText>-2</w:instrText>
    </w:r>
    <w:r w:rsidRPr="00F92D1E">
      <w:rPr>
        <w:rStyle w:val="PageNumber"/>
        <w:rFonts w:ascii="Calibri" w:hAnsi="Calibri"/>
        <w:b/>
        <w:color w:val="66656A"/>
        <w:szCs w:val="20"/>
      </w:rPr>
      <w:fldChar w:fldCharType="separate"/>
    </w:r>
    <w:r w:rsidR="009A479E">
      <w:rPr>
        <w:rStyle w:val="PageNumber"/>
        <w:rFonts w:ascii="Calibri" w:hAnsi="Calibri"/>
        <w:b/>
        <w:noProof/>
        <w:color w:val="66656A"/>
        <w:szCs w:val="20"/>
      </w:rPr>
      <w:t>3</w:t>
    </w:r>
    <w:r w:rsidRPr="00F92D1E">
      <w:rPr>
        <w:rStyle w:val="PageNumber"/>
        <w:rFonts w:ascii="Calibri" w:hAnsi="Calibri"/>
        <w:b/>
        <w:color w:val="66656A"/>
        <w:szCs w:val="20"/>
      </w:rPr>
      <w:fldChar w:fldCharType="end"/>
    </w:r>
  </w:p>
  <w:p w:rsidR="0047501B" w:rsidRDefault="0047501B">
    <w:pPr>
      <w:pStyle w:val="Footer"/>
      <w:jc w:val="right"/>
      <w:rPr>
        <w:rStyle w:val="pagenumChar"/>
      </w:rPr>
    </w:pPr>
  </w:p>
  <w:p w:rsidR="0047501B" w:rsidRPr="00856736" w:rsidRDefault="0047501B">
    <w:pPr>
      <w:pStyle w:val="Footer"/>
      <w:jc w:val="right"/>
      <w:rPr>
        <w:rStyle w:val="pagenumChar"/>
      </w:rPr>
    </w:pPr>
  </w:p>
  <w:p w:rsidR="0047501B" w:rsidRDefault="00475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01B" w:rsidRDefault="000935DB" w:rsidP="00E433DE">
    <w:pPr>
      <w:pStyle w:val="Footer1"/>
      <w:ind w:left="567"/>
    </w:pPr>
    <w:r>
      <w:t>O</w:t>
    </w:r>
    <w:r w:rsidR="0047501B" w:rsidRPr="00027D2D">
      <w:t>siguranje izvoza od komercijalnih i političkih rizika u ime i za račun Republike Hrvatske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7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01B" w:rsidRDefault="004750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01B" w:rsidRPr="004C3AE6" w:rsidRDefault="0047501B" w:rsidP="004C3A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492" w:rsidRDefault="00AF525E" w:rsidP="00355492">
    <w:pPr>
      <w:pStyle w:val="Footer"/>
      <w:rPr>
        <w:rFonts w:ascii="Calibri" w:hAnsi="Calibri"/>
        <w:color w:val="C0C0C0"/>
        <w:sz w:val="16"/>
        <w:szCs w:val="16"/>
      </w:rPr>
    </w:pPr>
  </w:p>
  <w:p w:rsidR="00355492" w:rsidRPr="003E51E2" w:rsidRDefault="00AF525E" w:rsidP="0035549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5E" w:rsidRDefault="00AF525E" w:rsidP="0047501B">
      <w:pPr>
        <w:spacing w:after="0"/>
      </w:pPr>
      <w:r>
        <w:separator/>
      </w:r>
    </w:p>
  </w:footnote>
  <w:footnote w:type="continuationSeparator" w:id="0">
    <w:p w:rsidR="00AF525E" w:rsidRDefault="00AF525E" w:rsidP="0047501B">
      <w:pPr>
        <w:spacing w:after="0"/>
      </w:pPr>
      <w:r>
        <w:continuationSeparator/>
      </w:r>
    </w:p>
  </w:footnote>
  <w:footnote w:id="1">
    <w:p w:rsidR="00225CC2" w:rsidRPr="00225CC2" w:rsidRDefault="00225CC2">
      <w:pPr>
        <w:pStyle w:val="FootnoteText"/>
        <w:rPr>
          <w:sz w:val="16"/>
          <w:szCs w:val="16"/>
        </w:rPr>
      </w:pPr>
      <w:r w:rsidRPr="00225CC2">
        <w:rPr>
          <w:rStyle w:val="FootnoteReference"/>
          <w:sz w:val="16"/>
          <w:szCs w:val="16"/>
        </w:rPr>
        <w:footnoteRef/>
      </w:r>
      <w:r w:rsidRPr="00225CC2">
        <w:rPr>
          <w:sz w:val="16"/>
          <w:szCs w:val="16"/>
        </w:rPr>
        <w:t xml:space="preserve"> Netržišni rizici su komercijalni i politički rizici javnopravnih i privatnih dužnika sa sjedištem izvan EU ili OECD-a neovisno o ročnosti, odnosno svi rizici prema svim dužnicima neovisno o sjedištu čije je trajanje uključujući razdoblje proizvodnje dvije godine i više.</w:t>
      </w:r>
    </w:p>
  </w:footnote>
  <w:footnote w:id="2">
    <w:p w:rsidR="00225CC2" w:rsidRPr="00225CC2" w:rsidRDefault="00225CC2" w:rsidP="00225CC2">
      <w:pPr>
        <w:pStyle w:val="FootnoteText"/>
        <w:rPr>
          <w:sz w:val="16"/>
          <w:szCs w:val="16"/>
        </w:rPr>
      </w:pPr>
      <w:r w:rsidRPr="00225CC2">
        <w:rPr>
          <w:rStyle w:val="FootnoteReference"/>
          <w:sz w:val="16"/>
          <w:szCs w:val="16"/>
        </w:rPr>
        <w:footnoteRef/>
      </w:r>
      <w:r w:rsidRPr="00225CC2">
        <w:rPr>
          <w:sz w:val="16"/>
          <w:szCs w:val="16"/>
        </w:rPr>
        <w:t xml:space="preserve"> U slučajevima kada tržišne rizike nije moguće osigurati na privatnom tržištu, primjerice zbog nedostatka kapaciteta kod privatnih osiguratelja, takvi rizici se tada smatraju privremeno netržišnima i mogu se osigurati kod državnog osiguratelja uz ispunjenje sljedećih uvjeta:</w:t>
      </w:r>
    </w:p>
    <w:p w:rsidR="00225CC2" w:rsidRPr="00225CC2" w:rsidRDefault="00225CC2" w:rsidP="00225CC2">
      <w:pPr>
        <w:pStyle w:val="FootnoteText"/>
        <w:ind w:left="426"/>
        <w:rPr>
          <w:sz w:val="16"/>
          <w:szCs w:val="16"/>
        </w:rPr>
      </w:pPr>
      <w:r w:rsidRPr="00225CC2">
        <w:rPr>
          <w:sz w:val="16"/>
          <w:szCs w:val="16"/>
        </w:rPr>
        <w:t>•</w:t>
      </w:r>
      <w:r w:rsidRPr="00225CC2">
        <w:rPr>
          <w:sz w:val="16"/>
          <w:szCs w:val="16"/>
        </w:rPr>
        <w:tab/>
        <w:t>rizici mikro, malih i srednjih poduzetnika čiji godišnji volumen izvoznog prometa ne premašuje iznos od dva milijuna eura;</w:t>
      </w:r>
    </w:p>
    <w:p w:rsidR="00225CC2" w:rsidRPr="00225CC2" w:rsidRDefault="00225CC2" w:rsidP="00225CC2">
      <w:pPr>
        <w:pStyle w:val="FootnoteText"/>
        <w:ind w:left="709" w:hanging="283"/>
        <w:rPr>
          <w:sz w:val="16"/>
          <w:szCs w:val="16"/>
        </w:rPr>
      </w:pPr>
      <w:r w:rsidRPr="00225CC2">
        <w:rPr>
          <w:sz w:val="16"/>
          <w:szCs w:val="16"/>
        </w:rPr>
        <w:t>•</w:t>
      </w:r>
      <w:r w:rsidRPr="00225CC2">
        <w:rPr>
          <w:sz w:val="16"/>
          <w:szCs w:val="16"/>
        </w:rPr>
        <w:tab/>
        <w:t>rizici nastali temeljem pojedine izvozne transakcije odnosno izvoza prema jednom inozemnom kupcu s razdobljem rizika od 181 dan do dvije godine;</w:t>
      </w:r>
    </w:p>
    <w:p w:rsidR="00225CC2" w:rsidRDefault="00225CC2" w:rsidP="00225CC2">
      <w:pPr>
        <w:pStyle w:val="FootnoteText"/>
        <w:ind w:left="426"/>
      </w:pPr>
      <w:r w:rsidRPr="00225CC2">
        <w:rPr>
          <w:sz w:val="16"/>
          <w:szCs w:val="16"/>
        </w:rPr>
        <w:t>•</w:t>
      </w:r>
      <w:r w:rsidRPr="00225CC2">
        <w:rPr>
          <w:sz w:val="16"/>
          <w:szCs w:val="16"/>
        </w:rPr>
        <w:tab/>
        <w:t>svi ostali rizici koje Europska komisija procijeni privremeno netržišnima.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BE5"/>
    <w:multiLevelType w:val="hybridMultilevel"/>
    <w:tmpl w:val="314A7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69B5"/>
    <w:multiLevelType w:val="hybridMultilevel"/>
    <w:tmpl w:val="53A68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7A9D"/>
    <w:multiLevelType w:val="hybridMultilevel"/>
    <w:tmpl w:val="6CC2E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02AA"/>
    <w:multiLevelType w:val="hybridMultilevel"/>
    <w:tmpl w:val="C7D6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018D"/>
    <w:multiLevelType w:val="hybridMultilevel"/>
    <w:tmpl w:val="DD7C6A5E"/>
    <w:lvl w:ilvl="0" w:tplc="6D6667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5D9C"/>
    <w:multiLevelType w:val="hybridMultilevel"/>
    <w:tmpl w:val="DFD23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6149"/>
    <w:multiLevelType w:val="hybridMultilevel"/>
    <w:tmpl w:val="F1E0AE1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64E64A0C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54EA"/>
    <w:multiLevelType w:val="hybridMultilevel"/>
    <w:tmpl w:val="B3F0B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C5FFE"/>
    <w:multiLevelType w:val="hybridMultilevel"/>
    <w:tmpl w:val="C238739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236F0C"/>
    <w:multiLevelType w:val="hybridMultilevel"/>
    <w:tmpl w:val="DB46CF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D17D06"/>
    <w:multiLevelType w:val="hybridMultilevel"/>
    <w:tmpl w:val="AAA28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B1B"/>
    <w:multiLevelType w:val="hybridMultilevel"/>
    <w:tmpl w:val="8ABC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C0BA7"/>
    <w:multiLevelType w:val="hybridMultilevel"/>
    <w:tmpl w:val="5EBE0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05026"/>
    <w:multiLevelType w:val="hybridMultilevel"/>
    <w:tmpl w:val="A49EB5F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80493"/>
    <w:multiLevelType w:val="hybridMultilevel"/>
    <w:tmpl w:val="5ABE9A36"/>
    <w:lvl w:ilvl="0" w:tplc="951CF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42D0"/>
    <w:multiLevelType w:val="hybridMultilevel"/>
    <w:tmpl w:val="AB928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A58AE"/>
    <w:multiLevelType w:val="hybridMultilevel"/>
    <w:tmpl w:val="A49EB5F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E4840"/>
    <w:multiLevelType w:val="hybridMultilevel"/>
    <w:tmpl w:val="0492B5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16"/>
  </w:num>
  <w:num w:numId="12">
    <w:abstractNumId w:val="10"/>
  </w:num>
  <w:num w:numId="13">
    <w:abstractNumId w:val="1"/>
  </w:num>
  <w:num w:numId="14">
    <w:abstractNumId w:val="5"/>
  </w:num>
  <w:num w:numId="15">
    <w:abstractNumId w:val="8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4A"/>
    <w:rsid w:val="0002677D"/>
    <w:rsid w:val="00030995"/>
    <w:rsid w:val="000373BA"/>
    <w:rsid w:val="0006539E"/>
    <w:rsid w:val="00075448"/>
    <w:rsid w:val="00080D58"/>
    <w:rsid w:val="00082F0E"/>
    <w:rsid w:val="00092AAB"/>
    <w:rsid w:val="000935DB"/>
    <w:rsid w:val="000A272A"/>
    <w:rsid w:val="000B3B07"/>
    <w:rsid w:val="000D7A12"/>
    <w:rsid w:val="000F4A13"/>
    <w:rsid w:val="00171639"/>
    <w:rsid w:val="00172D18"/>
    <w:rsid w:val="00185835"/>
    <w:rsid w:val="0018777D"/>
    <w:rsid w:val="001A0B85"/>
    <w:rsid w:val="001A7A46"/>
    <w:rsid w:val="001B3B01"/>
    <w:rsid w:val="001C3B84"/>
    <w:rsid w:val="001E4A07"/>
    <w:rsid w:val="0020679F"/>
    <w:rsid w:val="00216900"/>
    <w:rsid w:val="00225CC2"/>
    <w:rsid w:val="00227B87"/>
    <w:rsid w:val="00240183"/>
    <w:rsid w:val="00251BB4"/>
    <w:rsid w:val="002942B2"/>
    <w:rsid w:val="002C5F83"/>
    <w:rsid w:val="002D3134"/>
    <w:rsid w:val="002E4E29"/>
    <w:rsid w:val="002F11D1"/>
    <w:rsid w:val="00316CC3"/>
    <w:rsid w:val="00325C38"/>
    <w:rsid w:val="00375E9F"/>
    <w:rsid w:val="00380472"/>
    <w:rsid w:val="003D4C72"/>
    <w:rsid w:val="003E3869"/>
    <w:rsid w:val="0042470E"/>
    <w:rsid w:val="00431B5C"/>
    <w:rsid w:val="0043561C"/>
    <w:rsid w:val="0043782D"/>
    <w:rsid w:val="00461751"/>
    <w:rsid w:val="00465156"/>
    <w:rsid w:val="0047501B"/>
    <w:rsid w:val="0047637D"/>
    <w:rsid w:val="004B3DC3"/>
    <w:rsid w:val="004B40A9"/>
    <w:rsid w:val="004F1F7F"/>
    <w:rsid w:val="00546079"/>
    <w:rsid w:val="00550A71"/>
    <w:rsid w:val="00562A4B"/>
    <w:rsid w:val="00564C4A"/>
    <w:rsid w:val="0058621B"/>
    <w:rsid w:val="005B30A2"/>
    <w:rsid w:val="005E3E54"/>
    <w:rsid w:val="005E5326"/>
    <w:rsid w:val="005E74C3"/>
    <w:rsid w:val="00634023"/>
    <w:rsid w:val="0066326B"/>
    <w:rsid w:val="006C4B23"/>
    <w:rsid w:val="006E07D6"/>
    <w:rsid w:val="006E4637"/>
    <w:rsid w:val="00712C47"/>
    <w:rsid w:val="00744D8A"/>
    <w:rsid w:val="00745422"/>
    <w:rsid w:val="00746F5D"/>
    <w:rsid w:val="007649D2"/>
    <w:rsid w:val="00792342"/>
    <w:rsid w:val="007A00E7"/>
    <w:rsid w:val="007A2EC9"/>
    <w:rsid w:val="007D532E"/>
    <w:rsid w:val="007E4D08"/>
    <w:rsid w:val="007F0915"/>
    <w:rsid w:val="007F5D64"/>
    <w:rsid w:val="00804A83"/>
    <w:rsid w:val="00812EDC"/>
    <w:rsid w:val="0085443C"/>
    <w:rsid w:val="00860B15"/>
    <w:rsid w:val="00860C3B"/>
    <w:rsid w:val="0087358F"/>
    <w:rsid w:val="00880125"/>
    <w:rsid w:val="00893AA6"/>
    <w:rsid w:val="008A5A2C"/>
    <w:rsid w:val="008E538F"/>
    <w:rsid w:val="008E79C0"/>
    <w:rsid w:val="00912B5E"/>
    <w:rsid w:val="009131A4"/>
    <w:rsid w:val="00924B26"/>
    <w:rsid w:val="0092614D"/>
    <w:rsid w:val="0096787A"/>
    <w:rsid w:val="009A479E"/>
    <w:rsid w:val="009C5414"/>
    <w:rsid w:val="00A007AE"/>
    <w:rsid w:val="00A206EF"/>
    <w:rsid w:val="00A23360"/>
    <w:rsid w:val="00A45521"/>
    <w:rsid w:val="00A91580"/>
    <w:rsid w:val="00AA5A2D"/>
    <w:rsid w:val="00AD637D"/>
    <w:rsid w:val="00AF401F"/>
    <w:rsid w:val="00AF525E"/>
    <w:rsid w:val="00B25AC3"/>
    <w:rsid w:val="00B42256"/>
    <w:rsid w:val="00B4554E"/>
    <w:rsid w:val="00B54EAC"/>
    <w:rsid w:val="00B717D4"/>
    <w:rsid w:val="00B80B63"/>
    <w:rsid w:val="00B91B2F"/>
    <w:rsid w:val="00BB4F85"/>
    <w:rsid w:val="00BC4F2A"/>
    <w:rsid w:val="00BD5054"/>
    <w:rsid w:val="00BE0745"/>
    <w:rsid w:val="00C22E42"/>
    <w:rsid w:val="00C30519"/>
    <w:rsid w:val="00C30D53"/>
    <w:rsid w:val="00C543ED"/>
    <w:rsid w:val="00C54E9F"/>
    <w:rsid w:val="00C777B8"/>
    <w:rsid w:val="00CC49B1"/>
    <w:rsid w:val="00CD72B6"/>
    <w:rsid w:val="00D23AE2"/>
    <w:rsid w:val="00D252FB"/>
    <w:rsid w:val="00D25B97"/>
    <w:rsid w:val="00D55EEE"/>
    <w:rsid w:val="00D70DEE"/>
    <w:rsid w:val="00D82214"/>
    <w:rsid w:val="00D84AAE"/>
    <w:rsid w:val="00D93EAB"/>
    <w:rsid w:val="00D968D8"/>
    <w:rsid w:val="00DC2171"/>
    <w:rsid w:val="00DF1CD9"/>
    <w:rsid w:val="00E13D21"/>
    <w:rsid w:val="00E2070B"/>
    <w:rsid w:val="00E23B87"/>
    <w:rsid w:val="00E2470E"/>
    <w:rsid w:val="00E35168"/>
    <w:rsid w:val="00E56805"/>
    <w:rsid w:val="00E74B78"/>
    <w:rsid w:val="00E92241"/>
    <w:rsid w:val="00ED1E46"/>
    <w:rsid w:val="00ED633B"/>
    <w:rsid w:val="00EE1AE8"/>
    <w:rsid w:val="00EE79BB"/>
    <w:rsid w:val="00F670CA"/>
    <w:rsid w:val="00FA099F"/>
    <w:rsid w:val="00FB0D52"/>
    <w:rsid w:val="00FB1325"/>
    <w:rsid w:val="00FB2340"/>
    <w:rsid w:val="00FD00F9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4E65B"/>
  <w15:chartTrackingRefBased/>
  <w15:docId w15:val="{7F1D60DE-5292-40F5-9609-FC9A6EF1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01B"/>
    <w:pPr>
      <w:spacing w:after="240" w:line="240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4B78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4750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501B"/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7501B"/>
    <w:pPr>
      <w:spacing w:after="300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01B"/>
    <w:rPr>
      <w:rFonts w:ascii="Calibri" w:eastAsiaTheme="majorEastAsia" w:hAnsi="Calibri" w:cstheme="majorBidi"/>
      <w:b/>
      <w:color w:val="000000" w:themeColor="text1"/>
      <w:spacing w:val="5"/>
      <w:kern w:val="28"/>
      <w:sz w:val="32"/>
      <w:szCs w:val="52"/>
    </w:rPr>
  </w:style>
  <w:style w:type="paragraph" w:customStyle="1" w:styleId="Footer1">
    <w:name w:val="Footer1"/>
    <w:basedOn w:val="Footer"/>
    <w:link w:val="Footer1Char"/>
    <w:qFormat/>
    <w:rsid w:val="0047501B"/>
    <w:pPr>
      <w:pBdr>
        <w:bottom w:val="single" w:sz="8" w:space="1" w:color="ED7D31" w:themeColor="accent2"/>
      </w:pBdr>
      <w:ind w:left="851"/>
    </w:pPr>
    <w:rPr>
      <w:rFonts w:ascii="Calibri" w:hAnsi="Calibri"/>
      <w:color w:val="66656A"/>
      <w:sz w:val="24"/>
    </w:rPr>
  </w:style>
  <w:style w:type="paragraph" w:customStyle="1" w:styleId="Istaknuto">
    <w:name w:val="Istaknuto"/>
    <w:basedOn w:val="Normal"/>
    <w:link w:val="IstaknutoChar"/>
    <w:qFormat/>
    <w:rsid w:val="0047501B"/>
    <w:pPr>
      <w:autoSpaceDE w:val="0"/>
      <w:autoSpaceDN w:val="0"/>
      <w:adjustRightInd w:val="0"/>
      <w:jc w:val="center"/>
    </w:pPr>
    <w:rPr>
      <w:rFonts w:ascii="Calibri" w:hAnsi="Calibri" w:cs="Times New Roman"/>
      <w:b/>
      <w:bCs/>
      <w:color w:val="000000"/>
      <w:sz w:val="22"/>
      <w:szCs w:val="24"/>
    </w:rPr>
  </w:style>
  <w:style w:type="character" w:customStyle="1" w:styleId="Footer1Char">
    <w:name w:val="Footer1 Char"/>
    <w:basedOn w:val="FooterChar"/>
    <w:link w:val="Footer1"/>
    <w:rsid w:val="0047501B"/>
    <w:rPr>
      <w:rFonts w:ascii="Calibri" w:hAnsi="Calibri"/>
      <w:color w:val="66656A"/>
      <w:sz w:val="24"/>
    </w:rPr>
  </w:style>
  <w:style w:type="character" w:customStyle="1" w:styleId="IstaknutoChar">
    <w:name w:val="Istaknuto Char"/>
    <w:basedOn w:val="DefaultParagraphFont"/>
    <w:link w:val="Istaknuto"/>
    <w:rsid w:val="0047501B"/>
    <w:rPr>
      <w:rFonts w:ascii="Calibri" w:hAnsi="Calibri" w:cs="Times New Roman"/>
      <w:b/>
      <w:bCs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7501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50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7501B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501B"/>
  </w:style>
  <w:style w:type="character" w:styleId="PageNumber">
    <w:name w:val="page number"/>
    <w:basedOn w:val="DefaultParagraphFont"/>
    <w:rsid w:val="0047501B"/>
  </w:style>
  <w:style w:type="paragraph" w:customStyle="1" w:styleId="pagenum">
    <w:name w:val="page num"/>
    <w:basedOn w:val="Footer"/>
    <w:link w:val="pagenumChar"/>
    <w:qFormat/>
    <w:rsid w:val="0047501B"/>
    <w:pPr>
      <w:pBdr>
        <w:bottom w:val="single" w:sz="4" w:space="1" w:color="ED7D31" w:themeColor="accent2"/>
      </w:pBdr>
      <w:jc w:val="right"/>
    </w:pPr>
    <w:rPr>
      <w:b/>
      <w:color w:val="A6A6A6" w:themeColor="background1" w:themeShade="A6"/>
    </w:rPr>
  </w:style>
  <w:style w:type="character" w:customStyle="1" w:styleId="pagenumChar">
    <w:name w:val="page num Char"/>
    <w:basedOn w:val="FooterChar"/>
    <w:link w:val="pagenum"/>
    <w:rsid w:val="0047501B"/>
    <w:rPr>
      <w:b/>
      <w:color w:val="A6A6A6" w:themeColor="background1" w:themeShade="A6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D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7B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77B8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1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7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99F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D13C-0F42-4FFA-BC5D-8CFC18E4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Jović Božena</dc:creator>
  <cp:keywords/>
  <dc:description/>
  <cp:lastModifiedBy>Mergeduš Andreja</cp:lastModifiedBy>
  <cp:revision>5</cp:revision>
  <cp:lastPrinted>2018-10-31T14:54:00Z</cp:lastPrinted>
  <dcterms:created xsi:type="dcterms:W3CDTF">2018-11-05T14:37:00Z</dcterms:created>
  <dcterms:modified xsi:type="dcterms:W3CDTF">2018-11-05T15:04:00Z</dcterms:modified>
</cp:coreProperties>
</file>