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AE35D1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noProof/>
          <w:lang w:eastAsia="hr-HR"/>
        </w:rPr>
        <w:drawing>
          <wp:inline distT="0" distB="0" distL="0" distR="0" wp14:anchorId="3B12769F" wp14:editId="4E5D72F3">
            <wp:extent cx="2415540" cy="776605"/>
            <wp:effectExtent l="0" t="0" r="3810" b="4445"/>
            <wp:docPr id="1" name="Picture 1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Pr="00AE35D1" w:rsidRDefault="004066BD" w:rsidP="00290697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32"/>
          <w:szCs w:val="32"/>
          <w:lang w:eastAsia="hr-HR"/>
        </w:rPr>
      </w:pPr>
      <w:r>
        <w:rPr>
          <w:rFonts w:eastAsia="Times New Roman" w:cs="Calibri"/>
          <w:b/>
          <w:spacing w:val="-3"/>
          <w:sz w:val="32"/>
          <w:szCs w:val="32"/>
          <w:lang w:eastAsia="hr-HR"/>
        </w:rPr>
        <w:t>IZVJEŠ</w:t>
      </w:r>
      <w:r w:rsidR="00165954">
        <w:rPr>
          <w:rFonts w:eastAsia="Times New Roman" w:cs="Calibri"/>
          <w:b/>
          <w:spacing w:val="-3"/>
          <w:sz w:val="32"/>
          <w:szCs w:val="32"/>
          <w:lang w:eastAsia="hr-HR"/>
        </w:rPr>
        <w:t>TAJ</w:t>
      </w:r>
      <w:r>
        <w:rPr>
          <w:rFonts w:eastAsia="Times New Roman" w:cs="Calibri"/>
          <w:b/>
          <w:spacing w:val="-3"/>
          <w:sz w:val="32"/>
          <w:szCs w:val="32"/>
          <w:lang w:eastAsia="hr-HR"/>
        </w:rPr>
        <w:t xml:space="preserve"> O FINANCIJSKO</w:t>
      </w:r>
      <w:r w:rsidR="00165954">
        <w:rPr>
          <w:rFonts w:eastAsia="Times New Roman" w:cs="Calibri"/>
          <w:b/>
          <w:spacing w:val="-3"/>
          <w:sz w:val="32"/>
          <w:szCs w:val="32"/>
          <w:lang w:eastAsia="hr-HR"/>
        </w:rPr>
        <w:t>M</w:t>
      </w:r>
      <w:r>
        <w:rPr>
          <w:rFonts w:eastAsia="Times New Roman" w:cs="Calibri"/>
          <w:b/>
          <w:spacing w:val="-3"/>
          <w:sz w:val="32"/>
          <w:szCs w:val="32"/>
          <w:lang w:eastAsia="hr-HR"/>
        </w:rPr>
        <w:t xml:space="preserve"> POSLOVANJ</w:t>
      </w:r>
      <w:r w:rsidR="00165954">
        <w:rPr>
          <w:rFonts w:eastAsia="Times New Roman" w:cs="Calibri"/>
          <w:b/>
          <w:spacing w:val="-3"/>
          <w:sz w:val="32"/>
          <w:szCs w:val="32"/>
          <w:lang w:eastAsia="hr-HR"/>
        </w:rPr>
        <w:t>U</w:t>
      </w:r>
    </w:p>
    <w:p w:rsidR="001D478E" w:rsidRPr="00AE35D1" w:rsidRDefault="001D478E" w:rsidP="00AE35D1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32"/>
          <w:szCs w:val="32"/>
          <w:lang w:eastAsia="hr-HR"/>
        </w:rPr>
      </w:pPr>
    </w:p>
    <w:p w:rsidR="00422588" w:rsidRPr="00AE35D1" w:rsidRDefault="001D478E" w:rsidP="00290697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32"/>
          <w:szCs w:val="32"/>
          <w:lang w:eastAsia="hr-HR"/>
        </w:rPr>
      </w:pPr>
      <w:r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 xml:space="preserve">ZA RAZDOBLJE 1.1. DO </w:t>
      </w:r>
      <w:r w:rsidR="00041D20"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>3</w:t>
      </w:r>
      <w:r w:rsidR="008E662D">
        <w:rPr>
          <w:rFonts w:eastAsia="Times New Roman" w:cs="Calibri"/>
          <w:b/>
          <w:spacing w:val="-3"/>
          <w:sz w:val="32"/>
          <w:szCs w:val="32"/>
          <w:lang w:eastAsia="hr-HR"/>
        </w:rPr>
        <w:t>1</w:t>
      </w:r>
      <w:r w:rsidR="00041D20">
        <w:rPr>
          <w:rFonts w:eastAsia="Times New Roman" w:cs="Calibri"/>
          <w:b/>
          <w:spacing w:val="-3"/>
          <w:sz w:val="32"/>
          <w:szCs w:val="32"/>
          <w:lang w:eastAsia="hr-HR"/>
        </w:rPr>
        <w:t>.</w:t>
      </w:r>
      <w:r w:rsidR="009B4285">
        <w:rPr>
          <w:rFonts w:eastAsia="Times New Roman" w:cs="Calibri"/>
          <w:b/>
          <w:spacing w:val="-3"/>
          <w:sz w:val="32"/>
          <w:szCs w:val="32"/>
          <w:lang w:eastAsia="hr-HR"/>
        </w:rPr>
        <w:t>3</w:t>
      </w:r>
      <w:r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>.201</w:t>
      </w:r>
      <w:r w:rsidR="00AA2E68">
        <w:rPr>
          <w:rFonts w:eastAsia="Times New Roman" w:cs="Calibri"/>
          <w:b/>
          <w:spacing w:val="-3"/>
          <w:sz w:val="32"/>
          <w:szCs w:val="32"/>
          <w:lang w:eastAsia="hr-HR"/>
        </w:rPr>
        <w:t>7</w:t>
      </w:r>
      <w:r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>. GODINE</w:t>
      </w:r>
    </w:p>
    <w:p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:rsidR="00BE6420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E222A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 w:rsidRPr="006A02FD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Zagreb, </w:t>
      </w:r>
      <w:r w:rsidR="009012D9">
        <w:rPr>
          <w:rFonts w:eastAsia="Times New Roman" w:cs="Calibri"/>
          <w:b/>
          <w:spacing w:val="-3"/>
          <w:sz w:val="24"/>
          <w:szCs w:val="24"/>
          <w:lang w:eastAsia="hr-HR"/>
        </w:rPr>
        <w:t>svibanj</w:t>
      </w:r>
      <w:r w:rsidRPr="006A02FD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201</w:t>
      </w:r>
      <w:r w:rsidR="00AA2E68">
        <w:rPr>
          <w:rFonts w:eastAsia="Times New Roman" w:cs="Calibri"/>
          <w:b/>
          <w:spacing w:val="-3"/>
          <w:sz w:val="24"/>
          <w:szCs w:val="24"/>
          <w:lang w:eastAsia="hr-HR"/>
        </w:rPr>
        <w:t>7</w:t>
      </w:r>
      <w:r w:rsidRPr="006A02FD">
        <w:rPr>
          <w:rFonts w:eastAsia="Times New Roman" w:cs="Calibri"/>
          <w:b/>
          <w:spacing w:val="-3"/>
          <w:sz w:val="24"/>
          <w:szCs w:val="24"/>
          <w:lang w:eastAsia="hr-HR"/>
        </w:rPr>
        <w:t>. godine</w:t>
      </w:r>
    </w:p>
    <w:p w:rsidR="00E70A27" w:rsidRDefault="00E70A2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E70A27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ascii="Calibri" w:eastAsia="Times New Roman" w:hAnsi="Calibri" w:cs="Arial"/>
          <w:b/>
          <w:sz w:val="32"/>
          <w:szCs w:val="32"/>
        </w:rPr>
        <w:t>REZULTATI GRUPE</w:t>
      </w:r>
    </w:p>
    <w:p w:rsidR="00B37082" w:rsidRDefault="00B37082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B37082" w:rsidSect="00C23C95">
          <w:footerReference w:type="first" r:id="rId10"/>
          <w:pgSz w:w="11906" w:h="16838" w:code="9"/>
          <w:pgMar w:top="863" w:right="1133" w:bottom="1417" w:left="1417" w:header="709" w:footer="709" w:gutter="0"/>
          <w:cols w:space="708"/>
          <w:titlePg/>
          <w:docGrid w:linePitch="360"/>
        </w:sectPr>
      </w:pPr>
    </w:p>
    <w:p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D845FC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 w:rsidRPr="00D845F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PREGLED NAJVAŽNIJIH FINANCIJSKIH </w:t>
      </w:r>
      <w:r w:rsidR="009E6A41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>informacija</w:t>
      </w:r>
      <w:r w:rsidRPr="00D845F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GRUPE</w:t>
      </w:r>
      <w:r w:rsidR="00794772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9E6A41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>hbor</w:t>
      </w:r>
    </w:p>
    <w:p w:rsidR="00794772" w:rsidRPr="00C23C95" w:rsidRDefault="00DB38B6" w:rsidP="00C23C95">
      <w:pPr>
        <w:spacing w:before="120" w:after="120"/>
        <w:ind w:left="360"/>
        <w:jc w:val="center"/>
        <w:rPr>
          <w:rFonts w:ascii="Calibri" w:hAnsi="Calibri" w:cs="Calibri"/>
        </w:rPr>
      </w:pPr>
      <w:r>
        <w:rPr>
          <w:rFonts w:ascii="Calibri" w:hAnsi="Calibri" w:cs="Calibri"/>
          <w:bCs/>
        </w:rPr>
        <w:t>-</w:t>
      </w:r>
      <w:r w:rsidR="00794772" w:rsidRPr="00C23C95">
        <w:rPr>
          <w:rFonts w:ascii="Calibri" w:hAnsi="Calibri" w:cs="Calibri"/>
          <w:bCs/>
        </w:rPr>
        <w:t>u milijunima kuna-</w:t>
      </w:r>
    </w:p>
    <w:p w:rsidR="00D845FC" w:rsidRDefault="00D845FC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tbl>
      <w:tblPr>
        <w:tblW w:w="9115" w:type="dxa"/>
        <w:tblInd w:w="98" w:type="dxa"/>
        <w:tblLook w:val="04A0" w:firstRow="1" w:lastRow="0" w:firstColumn="1" w:lastColumn="0" w:noHBand="0" w:noVBand="1"/>
      </w:tblPr>
      <w:tblGrid>
        <w:gridCol w:w="3574"/>
        <w:gridCol w:w="2059"/>
        <w:gridCol w:w="1741"/>
        <w:gridCol w:w="1741"/>
      </w:tblGrid>
      <w:tr w:rsidR="00AA2E68" w:rsidRPr="002105E8" w:rsidTr="00366BCB">
        <w:trPr>
          <w:trHeight w:val="270"/>
        </w:trPr>
        <w:tc>
          <w:tcPr>
            <w:tcW w:w="3574" w:type="dxa"/>
            <w:tcBorders>
              <w:top w:val="single" w:sz="8" w:space="0" w:color="808080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9" w:type="dxa"/>
            <w:tcBorders>
              <w:top w:val="single" w:sz="8" w:space="0" w:color="808080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05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2015.</w:t>
            </w:r>
          </w:p>
        </w:tc>
        <w:tc>
          <w:tcPr>
            <w:tcW w:w="1741" w:type="dxa"/>
            <w:tcBorders>
              <w:top w:val="single" w:sz="8" w:space="0" w:color="808080"/>
              <w:left w:val="nil"/>
              <w:bottom w:val="single" w:sz="8" w:space="0" w:color="999999"/>
              <w:right w:val="single" w:sz="8" w:space="0" w:color="808080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2016.</w:t>
            </w:r>
          </w:p>
        </w:tc>
        <w:tc>
          <w:tcPr>
            <w:tcW w:w="1741" w:type="dxa"/>
            <w:tcBorders>
              <w:top w:val="single" w:sz="8" w:space="0" w:color="808080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05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31.3.201</w:t>
            </w:r>
            <w:r w:rsidR="007947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2105E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794772" w:rsidRPr="002105E8" w:rsidTr="00C23C95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794772" w:rsidRPr="00910678" w:rsidRDefault="00794772" w:rsidP="00794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Ukupna imovina</w:t>
            </w:r>
          </w:p>
        </w:tc>
        <w:tc>
          <w:tcPr>
            <w:tcW w:w="2059" w:type="dxa"/>
            <w:tcBorders>
              <w:top w:val="single" w:sz="8" w:space="0" w:color="999999"/>
              <w:left w:val="single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794772" w:rsidRPr="007C598D" w:rsidRDefault="00794772" w:rsidP="00794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C598D">
              <w:rPr>
                <w:rFonts w:ascii="Calibri" w:hAnsi="Calibri" w:cs="Calibri"/>
                <w:sz w:val="24"/>
                <w:szCs w:val="24"/>
              </w:rPr>
              <w:t>25.552,</w:t>
            </w:r>
            <w:r w:rsidR="000A14D2" w:rsidRPr="007C598D"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7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794772" w:rsidRPr="007C598D" w:rsidRDefault="00794772" w:rsidP="00794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C598D">
              <w:rPr>
                <w:rFonts w:ascii="Calibri" w:hAnsi="Calibri" w:cs="Calibri"/>
                <w:sz w:val="24"/>
                <w:szCs w:val="24"/>
              </w:rPr>
              <w:t>27.390,82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794772" w:rsidRPr="007C598D" w:rsidRDefault="008C5513" w:rsidP="00794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C59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28.905,18</w:t>
            </w:r>
          </w:p>
        </w:tc>
      </w:tr>
      <w:tr w:rsidR="00794772" w:rsidRPr="002105E8" w:rsidTr="00C23C95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794772" w:rsidRPr="00910678" w:rsidRDefault="00794772" w:rsidP="00794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Bruto krediti</w:t>
            </w:r>
          </w:p>
        </w:tc>
        <w:tc>
          <w:tcPr>
            <w:tcW w:w="2059" w:type="dxa"/>
            <w:tcBorders>
              <w:top w:val="single" w:sz="8" w:space="0" w:color="999999"/>
              <w:left w:val="single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794772" w:rsidRPr="007C598D" w:rsidRDefault="00794772" w:rsidP="00794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C598D">
              <w:rPr>
                <w:rFonts w:ascii="Calibri" w:hAnsi="Calibri" w:cs="Calibri"/>
                <w:sz w:val="24"/>
                <w:szCs w:val="24"/>
              </w:rPr>
              <w:t>24.722,82</w:t>
            </w:r>
          </w:p>
        </w:tc>
        <w:tc>
          <w:tcPr>
            <w:tcW w:w="17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794772" w:rsidRPr="007C598D" w:rsidRDefault="00794772" w:rsidP="00794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C598D">
              <w:rPr>
                <w:rFonts w:ascii="Calibri" w:hAnsi="Calibri" w:cs="Calibri"/>
                <w:sz w:val="24"/>
                <w:szCs w:val="24"/>
              </w:rPr>
              <w:t>26.343,12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794772" w:rsidRPr="007C598D" w:rsidRDefault="00214D08" w:rsidP="00794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C59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25.729,69</w:t>
            </w:r>
          </w:p>
        </w:tc>
      </w:tr>
      <w:tr w:rsidR="00794772" w:rsidRPr="002105E8" w:rsidTr="00366BCB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794772" w:rsidRPr="00910678" w:rsidRDefault="00794772" w:rsidP="007947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Ukupna glavnica</w:t>
            </w:r>
          </w:p>
        </w:tc>
        <w:tc>
          <w:tcPr>
            <w:tcW w:w="2059" w:type="dxa"/>
            <w:tcBorders>
              <w:top w:val="single" w:sz="8" w:space="0" w:color="999999"/>
              <w:left w:val="single" w:sz="6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  <w:hideMark/>
          </w:tcPr>
          <w:p w:rsidR="00794772" w:rsidRPr="007C598D" w:rsidRDefault="00794772" w:rsidP="00794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C598D">
              <w:rPr>
                <w:rFonts w:ascii="Calibri" w:hAnsi="Calibri" w:cs="Calibri"/>
                <w:sz w:val="24"/>
                <w:szCs w:val="24"/>
              </w:rPr>
              <w:t>9.664,54</w:t>
            </w:r>
          </w:p>
        </w:tc>
        <w:tc>
          <w:tcPr>
            <w:tcW w:w="17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794772" w:rsidRPr="007C598D" w:rsidRDefault="00794772" w:rsidP="00794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C598D">
              <w:rPr>
                <w:rFonts w:ascii="Calibri" w:hAnsi="Calibri" w:cs="Calibri"/>
                <w:sz w:val="24"/>
                <w:szCs w:val="24"/>
              </w:rPr>
              <w:t>10.042,70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794772" w:rsidRPr="007C598D" w:rsidRDefault="008C5513" w:rsidP="007947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7C598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10.085,25</w:t>
            </w:r>
          </w:p>
        </w:tc>
      </w:tr>
      <w:tr w:rsidR="00AA2E68" w:rsidRPr="002105E8" w:rsidTr="00366BCB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9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2105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4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A2E68" w:rsidRPr="002105E8" w:rsidTr="00C23C95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</w:tcPr>
          <w:p w:rsidR="00AA2E68" w:rsidRPr="0091067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F114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31.3.2015.</w:t>
            </w:r>
          </w:p>
        </w:tc>
        <w:tc>
          <w:tcPr>
            <w:tcW w:w="174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F11426" w:rsidRDefault="00AA2E68" w:rsidP="00AA2E68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31.03.2016.</w:t>
            </w:r>
          </w:p>
        </w:tc>
        <w:tc>
          <w:tcPr>
            <w:tcW w:w="174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</w:tcPr>
          <w:p w:rsidR="00AA2E68" w:rsidRPr="0091067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F114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31.3.201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</w:t>
            </w:r>
            <w:r w:rsidRPr="00F114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A2E68" w:rsidRPr="002105E8" w:rsidTr="00C23C95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Ukupni prihodi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</w:tcPr>
          <w:p w:rsidR="00AA2E68" w:rsidRPr="0091067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F11426">
              <w:rPr>
                <w:rFonts w:ascii="Calibri" w:hAnsi="Calibri"/>
                <w:color w:val="000000"/>
                <w:sz w:val="24"/>
                <w:szCs w:val="24"/>
              </w:rPr>
              <w:t>228,0</w:t>
            </w:r>
            <w:r w:rsidR="000A14D2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2105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228,8</w:t>
            </w:r>
            <w:r w:rsidR="002463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8C5513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250,36</w:t>
            </w:r>
          </w:p>
        </w:tc>
      </w:tr>
      <w:tr w:rsidR="00AA2E68" w:rsidRPr="002105E8" w:rsidTr="00C23C95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</w:tcPr>
          <w:p w:rsidR="00AA2E68" w:rsidRPr="0091067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hAnsi="Calibri"/>
                <w:color w:val="000000"/>
                <w:sz w:val="24"/>
                <w:szCs w:val="24"/>
              </w:rPr>
              <w:t>(</w:t>
            </w:r>
            <w:r w:rsidRPr="00F11426">
              <w:rPr>
                <w:rFonts w:ascii="Calibri" w:hAnsi="Calibri"/>
                <w:color w:val="000000"/>
                <w:sz w:val="24"/>
                <w:szCs w:val="24"/>
              </w:rPr>
              <w:t>187,6</w:t>
            </w:r>
            <w:r w:rsidR="000A14D2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74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2105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(175,7</w:t>
            </w:r>
            <w:r w:rsidR="002463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2105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74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8C5513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(208,96)</w:t>
            </w:r>
          </w:p>
        </w:tc>
      </w:tr>
      <w:tr w:rsidR="00AA2E68" w:rsidRPr="002105E8" w:rsidTr="00366BCB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Dobit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</w:tcPr>
          <w:p w:rsidR="00AA2E68" w:rsidRPr="0091067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F11426">
              <w:rPr>
                <w:rFonts w:ascii="Calibri" w:hAnsi="Calibri"/>
                <w:color w:val="000000"/>
                <w:sz w:val="24"/>
                <w:szCs w:val="24"/>
              </w:rPr>
              <w:t>40,4</w:t>
            </w:r>
            <w:r w:rsidR="00246384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2105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53,</w:t>
            </w:r>
            <w:r w:rsidR="002463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09</w:t>
            </w:r>
          </w:p>
        </w:tc>
        <w:tc>
          <w:tcPr>
            <w:tcW w:w="1741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8C5513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41,40</w:t>
            </w:r>
          </w:p>
        </w:tc>
      </w:tr>
      <w:tr w:rsidR="00AA2E68" w:rsidRPr="002105E8" w:rsidTr="00366BCB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F1142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A2E68" w:rsidRPr="002105E8" w:rsidTr="00366BCB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Kamatni prihodi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</w:tcPr>
          <w:p w:rsidR="00AA2E68" w:rsidRPr="0091067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F11426">
              <w:rPr>
                <w:rFonts w:ascii="Calibri" w:hAnsi="Calibri"/>
                <w:color w:val="000000"/>
                <w:sz w:val="24"/>
                <w:szCs w:val="24"/>
              </w:rPr>
              <w:t>221,0</w:t>
            </w:r>
            <w:r w:rsidR="000A14D2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2105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219,</w:t>
            </w:r>
            <w:r w:rsidR="002463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04</w:t>
            </w:r>
          </w:p>
        </w:tc>
        <w:tc>
          <w:tcPr>
            <w:tcW w:w="17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000000" w:fill="FFFFFF"/>
          </w:tcPr>
          <w:p w:rsidR="00AA2E68" w:rsidRPr="002105E8" w:rsidRDefault="008C5513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238,91</w:t>
            </w:r>
          </w:p>
        </w:tc>
      </w:tr>
      <w:tr w:rsidR="00AA2E68" w:rsidRPr="002105E8" w:rsidTr="00366BCB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999999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Kamatni rashodi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000000" w:fill="FFFFFF"/>
            <w:noWrap/>
            <w:vAlign w:val="center"/>
          </w:tcPr>
          <w:p w:rsidR="00AA2E68" w:rsidRPr="00EE60B0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(</w:t>
            </w:r>
            <w:r w:rsidRPr="00F11426">
              <w:rPr>
                <w:rFonts w:ascii="Calibri" w:hAnsi="Calibri"/>
                <w:color w:val="000000"/>
                <w:sz w:val="24"/>
                <w:szCs w:val="24"/>
              </w:rPr>
              <w:t>120,6</w:t>
            </w:r>
            <w:r w:rsidR="000A14D2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2105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(114,</w:t>
            </w:r>
            <w:r w:rsidR="002463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55</w:t>
            </w:r>
            <w:r w:rsidR="00CF14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74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AA2E68" w:rsidRPr="002105E8" w:rsidRDefault="008C5513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(108,11)</w:t>
            </w:r>
          </w:p>
        </w:tc>
      </w:tr>
      <w:tr w:rsidR="00AA2E68" w:rsidRPr="002105E8" w:rsidTr="00366BCB">
        <w:trPr>
          <w:trHeight w:val="270"/>
        </w:trPr>
        <w:tc>
          <w:tcPr>
            <w:tcW w:w="357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AA2E68" w:rsidRPr="00910678" w:rsidRDefault="00AA2E68" w:rsidP="00AA2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91067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Neto kamatni prihod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808080"/>
              <w:right w:val="single" w:sz="8" w:space="0" w:color="999999"/>
            </w:tcBorders>
            <w:shd w:val="clear" w:color="000000" w:fill="FFFFFF"/>
            <w:vAlign w:val="center"/>
          </w:tcPr>
          <w:p w:rsidR="00AA2E68" w:rsidRPr="0091067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F11426">
              <w:rPr>
                <w:rFonts w:ascii="Calibri" w:hAnsi="Calibri"/>
                <w:color w:val="000000"/>
                <w:sz w:val="24"/>
                <w:szCs w:val="24"/>
              </w:rPr>
              <w:t>100,</w:t>
            </w:r>
            <w:r w:rsidR="000A14D2">
              <w:rPr>
                <w:rFonts w:ascii="Calibri" w:hAnsi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808080"/>
              <w:right w:val="single" w:sz="8" w:space="0" w:color="999999"/>
            </w:tcBorders>
            <w:shd w:val="clear" w:color="000000" w:fill="FFFFFF"/>
          </w:tcPr>
          <w:p w:rsidR="00AA2E68" w:rsidRPr="002105E8" w:rsidRDefault="00AA2E68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 w:rsidRPr="002105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104,</w:t>
            </w:r>
            <w:r w:rsidR="002463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49</w:t>
            </w:r>
            <w:r w:rsidR="00904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741" w:type="dxa"/>
            <w:tcBorders>
              <w:top w:val="single" w:sz="8" w:space="0" w:color="999999"/>
              <w:left w:val="single" w:sz="8" w:space="0" w:color="999999"/>
              <w:bottom w:val="single" w:sz="8" w:space="0" w:color="808080"/>
              <w:right w:val="single" w:sz="8" w:space="0" w:color="999999"/>
            </w:tcBorders>
            <w:shd w:val="clear" w:color="000000" w:fill="FFFFFF"/>
          </w:tcPr>
          <w:p w:rsidR="00AA2E68" w:rsidRPr="002105E8" w:rsidRDefault="008C5513" w:rsidP="00AA2E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130,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r-HR"/>
              </w:rPr>
              <w:t>80</w:t>
            </w:r>
          </w:p>
        </w:tc>
      </w:tr>
    </w:tbl>
    <w:p w:rsidR="00D845FC" w:rsidRDefault="00D845FC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:rsidR="00C21778" w:rsidRDefault="00C21778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:rsidR="00236FE9" w:rsidRDefault="00236FE9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:rsidR="00236FE9" w:rsidRDefault="00214D0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3C6A32D9" wp14:editId="1446DAFC">
            <wp:extent cx="3168650" cy="2095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22" cy="213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05E8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</w:t>
      </w: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3DD606FB" wp14:editId="593FB4EF">
            <wp:extent cx="3148330" cy="20017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060" cy="2027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1426" w:rsidRDefault="00F11426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:rsidR="00D6362F" w:rsidRDefault="00D6362F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:rsidR="00D845FC" w:rsidRDefault="00236FE9" w:rsidP="001C6D63">
      <w:pPr>
        <w:tabs>
          <w:tab w:val="left" w:pos="-720"/>
          <w:tab w:val="left" w:pos="426"/>
        </w:tabs>
        <w:suppressAutoHyphens/>
        <w:spacing w:after="0" w:line="240" w:lineRule="auto"/>
        <w:ind w:right="-283" w:hanging="284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2105E8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E44AD4"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29774F68" wp14:editId="7E4ACFB5">
            <wp:extent cx="3038019" cy="2265045"/>
            <wp:effectExtent l="0" t="0" r="0" b="190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19" cy="226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05E8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 </w:t>
      </w:r>
      <w:r w:rsidR="00E44AD4"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38A43C88" wp14:editId="1E05ECE1">
            <wp:extent cx="2999675" cy="218567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38" cy="220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05E8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</w:t>
      </w:r>
    </w:p>
    <w:p w:rsidR="00794772" w:rsidRDefault="00794772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:rsidR="009456C8" w:rsidRDefault="009456C8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:rsidR="009456C8" w:rsidRDefault="009456C8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:rsidR="00794772" w:rsidRPr="00C23C95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 w:rsidRPr="00C23C95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Rezultat Grupe </w:t>
      </w:r>
    </w:p>
    <w:p w:rsidR="00794772" w:rsidRDefault="00794772" w:rsidP="00794772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3E5F5C" w:rsidRDefault="003E5F5C" w:rsidP="00794772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Grupa HBOR je u </w:t>
      </w:r>
      <w:r>
        <w:rPr>
          <w:rFonts w:cstheme="minorHAnsi"/>
          <w:sz w:val="24"/>
          <w:szCs w:val="24"/>
        </w:rPr>
        <w:t>razdoblju od 1.1. do 31.3.201</w:t>
      </w:r>
      <w:r w:rsidR="00417B56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</w:t>
      </w:r>
      <w:r w:rsidRPr="00810A4B">
        <w:rPr>
          <w:rFonts w:cstheme="minorHAnsi"/>
          <w:sz w:val="24"/>
          <w:szCs w:val="24"/>
        </w:rPr>
        <w:t xml:space="preserve"> godin</w:t>
      </w:r>
      <w:r>
        <w:rPr>
          <w:rFonts w:cstheme="minorHAnsi"/>
          <w:sz w:val="24"/>
          <w:szCs w:val="24"/>
        </w:rPr>
        <w:t>e</w:t>
      </w:r>
      <w:r w:rsidRPr="00810A4B">
        <w:rPr>
          <w:rFonts w:cstheme="minorHAnsi"/>
          <w:sz w:val="24"/>
          <w:szCs w:val="24"/>
        </w:rPr>
        <w:t xml:space="preserve"> ostvarila dobit nakon oporezivanja u iznosu od </w:t>
      </w:r>
      <w:r w:rsidR="00417B56">
        <w:rPr>
          <w:rFonts w:cstheme="minorHAnsi"/>
          <w:sz w:val="24"/>
          <w:szCs w:val="24"/>
        </w:rPr>
        <w:t>41,40</w:t>
      </w:r>
      <w:r w:rsidRPr="00810A4B">
        <w:rPr>
          <w:rFonts w:cstheme="minorHAnsi"/>
          <w:sz w:val="24"/>
          <w:szCs w:val="24"/>
        </w:rPr>
        <w:t xml:space="preserve"> milijuna kuna. </w:t>
      </w:r>
    </w:p>
    <w:p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>Matično društvo temeljem odredbi Zakona o HBOR-u nije obveznik plaćanja poreza na dobit te porezne obveze na ime poreza na dobit proizlaze isključivo iz aktivnosti ostalih članica Grupe.</w:t>
      </w:r>
    </w:p>
    <w:p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Konsolidirani ukupni prihodi u </w:t>
      </w:r>
      <w:r>
        <w:rPr>
          <w:rFonts w:cstheme="minorHAnsi"/>
          <w:sz w:val="24"/>
          <w:szCs w:val="24"/>
        </w:rPr>
        <w:t>razdoblju od 1.1. do 31.3.201</w:t>
      </w:r>
      <w:r w:rsidR="00417B56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</w:t>
      </w:r>
      <w:r w:rsidRPr="00810A4B">
        <w:rPr>
          <w:rFonts w:cstheme="minorHAnsi"/>
          <w:sz w:val="24"/>
          <w:szCs w:val="24"/>
        </w:rPr>
        <w:t xml:space="preserve"> godin</w:t>
      </w:r>
      <w:r>
        <w:rPr>
          <w:rFonts w:cstheme="minorHAnsi"/>
          <w:sz w:val="24"/>
          <w:szCs w:val="24"/>
        </w:rPr>
        <w:t>e</w:t>
      </w:r>
      <w:r w:rsidRPr="00810A4B">
        <w:rPr>
          <w:rFonts w:cstheme="minorHAnsi"/>
          <w:sz w:val="24"/>
          <w:szCs w:val="24"/>
        </w:rPr>
        <w:t xml:space="preserve"> iznose </w:t>
      </w:r>
      <w:r>
        <w:rPr>
          <w:rFonts w:cstheme="minorHAnsi"/>
          <w:sz w:val="24"/>
          <w:szCs w:val="24"/>
        </w:rPr>
        <w:t>2</w:t>
      </w:r>
      <w:r w:rsidR="00417B56">
        <w:rPr>
          <w:rFonts w:cstheme="minorHAnsi"/>
          <w:sz w:val="24"/>
          <w:szCs w:val="24"/>
        </w:rPr>
        <w:t>50,36</w:t>
      </w:r>
      <w:r w:rsidRPr="00810A4B">
        <w:rPr>
          <w:rFonts w:cstheme="minorHAnsi"/>
          <w:sz w:val="24"/>
          <w:szCs w:val="24"/>
        </w:rPr>
        <w:t xml:space="preserve"> milijuna kuna, dok ukupni rashodi iznose </w:t>
      </w:r>
      <w:r w:rsidR="00417B56">
        <w:rPr>
          <w:rFonts w:cstheme="minorHAnsi"/>
          <w:sz w:val="24"/>
          <w:szCs w:val="24"/>
        </w:rPr>
        <w:t>208,96</w:t>
      </w:r>
      <w:r w:rsidRPr="00810A4B">
        <w:rPr>
          <w:rFonts w:cstheme="minorHAnsi"/>
          <w:sz w:val="24"/>
          <w:szCs w:val="24"/>
        </w:rPr>
        <w:t xml:space="preserve"> milijuna kuna.</w:t>
      </w:r>
    </w:p>
    <w:p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Konsolidirani ukupni prihodi </w:t>
      </w:r>
      <w:r w:rsidR="00417B56">
        <w:rPr>
          <w:rFonts w:cstheme="minorHAnsi"/>
          <w:sz w:val="24"/>
          <w:szCs w:val="24"/>
        </w:rPr>
        <w:t xml:space="preserve">veći </w:t>
      </w:r>
      <w:r>
        <w:rPr>
          <w:rFonts w:cstheme="minorHAnsi"/>
          <w:sz w:val="24"/>
          <w:szCs w:val="24"/>
        </w:rPr>
        <w:t xml:space="preserve">su </w:t>
      </w:r>
      <w:r w:rsidR="00417B56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a </w:t>
      </w:r>
      <w:r w:rsidR="00417B56">
        <w:rPr>
          <w:rFonts w:cstheme="minorHAnsi"/>
          <w:sz w:val="24"/>
          <w:szCs w:val="24"/>
        </w:rPr>
        <w:t>9,42 posto</w:t>
      </w:r>
      <w:r>
        <w:rPr>
          <w:rFonts w:cstheme="minorHAnsi"/>
          <w:sz w:val="24"/>
          <w:szCs w:val="24"/>
        </w:rPr>
        <w:t xml:space="preserve"> dok su ukupni rashodi </w:t>
      </w:r>
      <w:r w:rsidR="00417B56">
        <w:rPr>
          <w:rFonts w:cstheme="minorHAnsi"/>
          <w:sz w:val="24"/>
          <w:szCs w:val="24"/>
        </w:rPr>
        <w:t>veći</w:t>
      </w:r>
      <w:r>
        <w:rPr>
          <w:rFonts w:cstheme="minorHAnsi"/>
          <w:sz w:val="24"/>
          <w:szCs w:val="24"/>
        </w:rPr>
        <w:t xml:space="preserve"> za </w:t>
      </w:r>
      <w:r w:rsidR="00417B56">
        <w:rPr>
          <w:rFonts w:cstheme="minorHAnsi"/>
          <w:sz w:val="24"/>
          <w:szCs w:val="24"/>
        </w:rPr>
        <w:t>18,92 posto</w:t>
      </w:r>
      <w:r>
        <w:rPr>
          <w:rFonts w:cstheme="minorHAnsi"/>
          <w:sz w:val="24"/>
          <w:szCs w:val="24"/>
        </w:rPr>
        <w:t xml:space="preserve"> u odnosu na isto razdoblje prošle godine uslijed kretanja ukupnih prihoda i rashoda matičnog društva.</w:t>
      </w:r>
    </w:p>
    <w:p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U strukturi prihoda Grupe najveći dio, tj. </w:t>
      </w:r>
      <w:r w:rsidR="00417B56">
        <w:rPr>
          <w:rFonts w:cstheme="minorHAnsi"/>
          <w:sz w:val="24"/>
          <w:szCs w:val="24"/>
        </w:rPr>
        <w:t xml:space="preserve">95,43 posto </w:t>
      </w:r>
      <w:r w:rsidRPr="00810A4B">
        <w:rPr>
          <w:rFonts w:cstheme="minorHAnsi"/>
          <w:sz w:val="24"/>
          <w:szCs w:val="24"/>
        </w:rPr>
        <w:t>odnosi se na prihode od kamata kao rezultat poslovanja matičnog društva.</w:t>
      </w:r>
    </w:p>
    <w:p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U dijelu ukupnih rashoda, najveći dio čine rashodi od kamata i to </w:t>
      </w:r>
      <w:r w:rsidR="00417B56">
        <w:rPr>
          <w:rFonts w:cstheme="minorHAnsi"/>
          <w:sz w:val="24"/>
          <w:szCs w:val="24"/>
        </w:rPr>
        <w:t xml:space="preserve">51,74 posto </w:t>
      </w:r>
      <w:r w:rsidRPr="00810A4B">
        <w:rPr>
          <w:rFonts w:cstheme="minorHAnsi"/>
          <w:sz w:val="24"/>
          <w:szCs w:val="24"/>
        </w:rPr>
        <w:t>koji proizlaze iz poslovanja matičnog društva.</w:t>
      </w:r>
    </w:p>
    <w:p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Konsolidirani operativni troškovi u </w:t>
      </w:r>
      <w:r>
        <w:rPr>
          <w:rFonts w:cstheme="minorHAnsi"/>
          <w:sz w:val="24"/>
          <w:szCs w:val="24"/>
        </w:rPr>
        <w:t>razdoblju od 1.1. do 31.3.201</w:t>
      </w:r>
      <w:r w:rsidR="00417B56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</w:t>
      </w:r>
      <w:r w:rsidRPr="00810A4B">
        <w:rPr>
          <w:rFonts w:cstheme="minorHAnsi"/>
          <w:sz w:val="24"/>
          <w:szCs w:val="24"/>
        </w:rPr>
        <w:t xml:space="preserve"> godin</w:t>
      </w:r>
      <w:r>
        <w:rPr>
          <w:rFonts w:cstheme="minorHAnsi"/>
          <w:sz w:val="24"/>
          <w:szCs w:val="24"/>
        </w:rPr>
        <w:t>e</w:t>
      </w:r>
      <w:r w:rsidRPr="00810A4B">
        <w:rPr>
          <w:rFonts w:cstheme="minorHAnsi"/>
          <w:sz w:val="24"/>
          <w:szCs w:val="24"/>
        </w:rPr>
        <w:t xml:space="preserve"> iznose </w:t>
      </w:r>
      <w:r w:rsidR="00417B56">
        <w:rPr>
          <w:rFonts w:cstheme="minorHAnsi"/>
          <w:sz w:val="24"/>
          <w:szCs w:val="24"/>
        </w:rPr>
        <w:t>37,15</w:t>
      </w:r>
      <w:r w:rsidRPr="00810A4B">
        <w:rPr>
          <w:rFonts w:cstheme="minorHAnsi"/>
          <w:sz w:val="24"/>
          <w:szCs w:val="24"/>
        </w:rPr>
        <w:t xml:space="preserve"> milijuna kuna, a čine ih opći i administrativni troškovi te ostali troškovi poslovanja.</w:t>
      </w:r>
    </w:p>
    <w:p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>Ukupan broj zaposlenih u Grupi na dan 31.</w:t>
      </w:r>
      <w:r>
        <w:rPr>
          <w:rFonts w:cstheme="minorHAnsi"/>
          <w:sz w:val="24"/>
          <w:szCs w:val="24"/>
        </w:rPr>
        <w:t>3</w:t>
      </w:r>
      <w:r w:rsidRPr="00810A4B">
        <w:rPr>
          <w:rFonts w:cstheme="minorHAnsi"/>
          <w:sz w:val="24"/>
          <w:szCs w:val="24"/>
        </w:rPr>
        <w:t>.201</w:t>
      </w:r>
      <w:r w:rsidR="00417B56">
        <w:rPr>
          <w:rFonts w:cstheme="minorHAnsi"/>
          <w:sz w:val="24"/>
          <w:szCs w:val="24"/>
        </w:rPr>
        <w:t>7</w:t>
      </w:r>
      <w:r w:rsidRPr="00810A4B">
        <w:rPr>
          <w:rFonts w:cstheme="minorHAnsi"/>
          <w:sz w:val="24"/>
          <w:szCs w:val="24"/>
        </w:rPr>
        <w:t>. godine je 3</w:t>
      </w:r>
      <w:r w:rsidR="00417B56">
        <w:rPr>
          <w:rFonts w:cstheme="minorHAnsi"/>
          <w:sz w:val="24"/>
          <w:szCs w:val="24"/>
        </w:rPr>
        <w:t>76</w:t>
      </w:r>
      <w:r w:rsidRPr="00810A4B">
        <w:rPr>
          <w:rFonts w:cstheme="minorHAnsi"/>
          <w:sz w:val="24"/>
          <w:szCs w:val="24"/>
        </w:rPr>
        <w:t xml:space="preserve">, dok je na </w:t>
      </w:r>
      <w:r>
        <w:rPr>
          <w:rFonts w:cstheme="minorHAnsi"/>
          <w:sz w:val="24"/>
          <w:szCs w:val="24"/>
        </w:rPr>
        <w:t>dan 31.3.201</w:t>
      </w:r>
      <w:r w:rsidR="00417B56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 </w:t>
      </w:r>
      <w:r w:rsidRPr="00810A4B">
        <w:rPr>
          <w:rFonts w:cstheme="minorHAnsi"/>
          <w:sz w:val="24"/>
          <w:szCs w:val="24"/>
        </w:rPr>
        <w:t xml:space="preserve"> godine Grupa zapošljavala 3</w:t>
      </w:r>
      <w:r w:rsidR="00417B56">
        <w:rPr>
          <w:rFonts w:cstheme="minorHAnsi"/>
          <w:sz w:val="24"/>
          <w:szCs w:val="24"/>
        </w:rPr>
        <w:t>60</w:t>
      </w:r>
      <w:r w:rsidRPr="00810A4B">
        <w:rPr>
          <w:rFonts w:cstheme="minorHAnsi"/>
          <w:sz w:val="24"/>
          <w:szCs w:val="24"/>
        </w:rPr>
        <w:t xml:space="preserve"> radnika.</w:t>
      </w:r>
    </w:p>
    <w:p w:rsidR="00794772" w:rsidRDefault="00794772" w:rsidP="00794772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BF17D9" w:rsidRPr="00810A4B" w:rsidRDefault="00BF17D9" w:rsidP="00794772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BF17D9" w:rsidRDefault="00BF17D9" w:rsidP="00C23C9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23C95">
        <w:rPr>
          <w:rFonts w:ascii="Calibri" w:hAnsi="Calibri" w:cs="Calibri"/>
          <w:b/>
          <w:sz w:val="24"/>
          <w:szCs w:val="24"/>
        </w:rPr>
        <w:t>Imovina i obveze Grupe</w:t>
      </w:r>
    </w:p>
    <w:p w:rsidR="003E5F5C" w:rsidRDefault="003E5F5C" w:rsidP="00C23C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E5F5C" w:rsidRPr="00C23C95" w:rsidRDefault="003E5F5C" w:rsidP="00C23C9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934BFE" w:rsidRP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Ukupna i</w:t>
      </w:r>
      <w:r w:rsidRPr="00934BFE">
        <w:rPr>
          <w:rFonts w:cstheme="minorHAnsi"/>
          <w:sz w:val="24"/>
          <w:szCs w:val="24"/>
        </w:rPr>
        <w:t>movina Grupe na konsolidiranoj osnovi iznosi 2</w:t>
      </w:r>
      <w:r w:rsidR="00417B56">
        <w:rPr>
          <w:rFonts w:cstheme="minorHAnsi"/>
          <w:sz w:val="24"/>
          <w:szCs w:val="24"/>
        </w:rPr>
        <w:t>8</w:t>
      </w:r>
      <w:r w:rsidRPr="00934BFE">
        <w:rPr>
          <w:rFonts w:cstheme="minorHAnsi"/>
          <w:sz w:val="24"/>
          <w:szCs w:val="24"/>
        </w:rPr>
        <w:t>.</w:t>
      </w:r>
      <w:r w:rsidR="00417B56">
        <w:rPr>
          <w:rFonts w:cstheme="minorHAnsi"/>
          <w:sz w:val="24"/>
          <w:szCs w:val="24"/>
        </w:rPr>
        <w:t>905,18</w:t>
      </w:r>
      <w:r w:rsidR="001C3F5F" w:rsidRPr="00934BFE">
        <w:rPr>
          <w:rFonts w:cstheme="minorHAnsi"/>
          <w:sz w:val="24"/>
          <w:szCs w:val="24"/>
        </w:rPr>
        <w:t xml:space="preserve"> </w:t>
      </w:r>
      <w:r w:rsidRPr="00934BFE">
        <w:rPr>
          <w:rFonts w:cstheme="minorHAnsi"/>
          <w:sz w:val="24"/>
          <w:szCs w:val="24"/>
        </w:rPr>
        <w:t xml:space="preserve">milijuna kuna i </w:t>
      </w:r>
      <w:r w:rsidR="00F52B18">
        <w:rPr>
          <w:rFonts w:cstheme="minorHAnsi"/>
          <w:sz w:val="24"/>
          <w:szCs w:val="24"/>
        </w:rPr>
        <w:t>porasla</w:t>
      </w:r>
      <w:r w:rsidR="009E6AB6">
        <w:rPr>
          <w:rFonts w:cstheme="minorHAnsi"/>
          <w:sz w:val="24"/>
          <w:szCs w:val="24"/>
        </w:rPr>
        <w:t xml:space="preserve"> </w:t>
      </w:r>
      <w:r w:rsidRPr="00934BFE">
        <w:rPr>
          <w:rFonts w:cstheme="minorHAnsi"/>
          <w:sz w:val="24"/>
          <w:szCs w:val="24"/>
        </w:rPr>
        <w:t xml:space="preserve">je za </w:t>
      </w:r>
      <w:r w:rsidR="00417B56">
        <w:rPr>
          <w:rFonts w:cstheme="minorHAnsi"/>
          <w:sz w:val="24"/>
          <w:szCs w:val="24"/>
        </w:rPr>
        <w:t>5,53 posto</w:t>
      </w:r>
      <w:r w:rsidRPr="00934BFE">
        <w:rPr>
          <w:rFonts w:cstheme="minorHAnsi"/>
          <w:sz w:val="24"/>
          <w:szCs w:val="24"/>
        </w:rPr>
        <w:t xml:space="preserve"> u odnosu na početak godine.</w:t>
      </w:r>
      <w:r w:rsidR="007F3D20">
        <w:rPr>
          <w:rFonts w:cstheme="minorHAnsi"/>
          <w:sz w:val="24"/>
          <w:szCs w:val="24"/>
        </w:rPr>
        <w:t xml:space="preserve"> Razlozi ovakvog trenda </w:t>
      </w:r>
      <w:r w:rsidR="005B5C42">
        <w:rPr>
          <w:rFonts w:cstheme="minorHAnsi"/>
          <w:sz w:val="24"/>
          <w:szCs w:val="24"/>
        </w:rPr>
        <w:t>daju</w:t>
      </w:r>
      <w:r w:rsidR="007F3D20">
        <w:rPr>
          <w:rFonts w:cstheme="minorHAnsi"/>
          <w:sz w:val="24"/>
          <w:szCs w:val="24"/>
        </w:rPr>
        <w:t xml:space="preserve"> se u opisu financijskog poslovanja HBOR-a.</w:t>
      </w:r>
    </w:p>
    <w:p w:rsidR="007162FD" w:rsidRDefault="007162FD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4BFE" w:rsidRP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4BFE">
        <w:rPr>
          <w:rFonts w:cstheme="minorHAnsi"/>
          <w:sz w:val="24"/>
          <w:szCs w:val="24"/>
        </w:rPr>
        <w:t xml:space="preserve">U strukturi imovine najveće učešće odnosi se na kreditno poslovanje matičnog društva te neto krediti čine </w:t>
      </w:r>
      <w:r w:rsidR="00D3254D">
        <w:rPr>
          <w:rFonts w:cstheme="minorHAnsi"/>
          <w:sz w:val="24"/>
          <w:szCs w:val="24"/>
        </w:rPr>
        <w:t xml:space="preserve">78,71 posto </w:t>
      </w:r>
      <w:r w:rsidRPr="00934BFE">
        <w:rPr>
          <w:rFonts w:cstheme="minorHAnsi"/>
          <w:sz w:val="24"/>
          <w:szCs w:val="24"/>
        </w:rPr>
        <w:t>ukupne imovine.</w:t>
      </w:r>
    </w:p>
    <w:p w:rsid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4BFE" w:rsidRDefault="00934BFE" w:rsidP="001C6D63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 w:rsidRPr="00647585">
        <w:rPr>
          <w:rFonts w:eastAsia="Times New Roman" w:cs="Calibri"/>
          <w:spacing w:val="-3"/>
          <w:sz w:val="24"/>
          <w:szCs w:val="24"/>
          <w:lang w:eastAsia="hr-HR"/>
        </w:rPr>
        <w:t>Ukupne obveze i glavnica na dan 3</w:t>
      </w:r>
      <w:r>
        <w:rPr>
          <w:rFonts w:eastAsia="Times New Roman" w:cs="Calibri"/>
          <w:spacing w:val="-3"/>
          <w:sz w:val="24"/>
          <w:szCs w:val="24"/>
          <w:lang w:eastAsia="hr-HR"/>
        </w:rPr>
        <w:t>1</w:t>
      </w:r>
      <w:r w:rsidRPr="00647585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9E6AB6">
        <w:rPr>
          <w:rFonts w:eastAsia="Times New Roman" w:cs="Calibri"/>
          <w:spacing w:val="-3"/>
          <w:sz w:val="24"/>
          <w:szCs w:val="24"/>
          <w:lang w:eastAsia="hr-HR"/>
        </w:rPr>
        <w:t>3</w:t>
      </w:r>
      <w:r w:rsidRPr="00647585">
        <w:rPr>
          <w:rFonts w:eastAsia="Times New Roman" w:cs="Calibri"/>
          <w:spacing w:val="-3"/>
          <w:sz w:val="24"/>
          <w:szCs w:val="24"/>
          <w:lang w:eastAsia="hr-HR"/>
        </w:rPr>
        <w:t>.201</w:t>
      </w:r>
      <w:r w:rsidR="00D3254D">
        <w:rPr>
          <w:rFonts w:eastAsia="Times New Roman" w:cs="Calibri"/>
          <w:spacing w:val="-3"/>
          <w:sz w:val="24"/>
          <w:szCs w:val="24"/>
          <w:lang w:eastAsia="hr-HR"/>
        </w:rPr>
        <w:t>7</w:t>
      </w:r>
      <w:r w:rsidRPr="00647585">
        <w:rPr>
          <w:rFonts w:eastAsia="Times New Roman" w:cs="Calibri"/>
          <w:spacing w:val="-3"/>
          <w:sz w:val="24"/>
          <w:szCs w:val="24"/>
          <w:lang w:eastAsia="hr-HR"/>
        </w:rPr>
        <w:t xml:space="preserve">. godine iznose </w:t>
      </w:r>
      <w:r>
        <w:rPr>
          <w:rFonts w:eastAsia="Times New Roman" w:cs="Calibri"/>
          <w:spacing w:val="-3"/>
          <w:sz w:val="24"/>
          <w:szCs w:val="24"/>
          <w:lang w:eastAsia="hr-HR"/>
        </w:rPr>
        <w:t>2</w:t>
      </w:r>
      <w:r w:rsidR="00D3254D">
        <w:rPr>
          <w:rFonts w:eastAsia="Times New Roman" w:cs="Calibri"/>
          <w:spacing w:val="-3"/>
          <w:sz w:val="24"/>
          <w:szCs w:val="24"/>
          <w:lang w:eastAsia="hr-HR"/>
        </w:rPr>
        <w:t>8</w:t>
      </w:r>
      <w:r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D3254D">
        <w:rPr>
          <w:rFonts w:eastAsia="Times New Roman" w:cs="Calibri"/>
          <w:spacing w:val="-3"/>
          <w:sz w:val="24"/>
          <w:szCs w:val="24"/>
          <w:lang w:eastAsia="hr-HR"/>
        </w:rPr>
        <w:t>905,18</w:t>
      </w:r>
      <w:r w:rsidR="001C3F5F">
        <w:rPr>
          <w:rFonts w:eastAsia="Times New Roman" w:cs="Calibri"/>
          <w:spacing w:val="-3"/>
          <w:sz w:val="24"/>
          <w:szCs w:val="24"/>
          <w:lang w:eastAsia="hr-HR"/>
        </w:rPr>
        <w:t xml:space="preserve"> </w:t>
      </w:r>
      <w:r w:rsidRPr="00647585">
        <w:rPr>
          <w:rFonts w:eastAsia="Times New Roman" w:cs="Calibri"/>
          <w:spacing w:val="-3"/>
          <w:sz w:val="24"/>
          <w:szCs w:val="24"/>
          <w:lang w:eastAsia="hr-HR"/>
        </w:rPr>
        <w:t xml:space="preserve">milijuna kuna od čega ukupne obveze iznose </w:t>
      </w:r>
      <w:r>
        <w:rPr>
          <w:rFonts w:eastAsia="Times New Roman" w:cs="Calibri"/>
          <w:spacing w:val="-3"/>
          <w:sz w:val="24"/>
          <w:szCs w:val="24"/>
          <w:lang w:eastAsia="hr-HR"/>
        </w:rPr>
        <w:t>1</w:t>
      </w:r>
      <w:r w:rsidR="00D3254D">
        <w:rPr>
          <w:rFonts w:eastAsia="Times New Roman" w:cs="Calibri"/>
          <w:spacing w:val="-3"/>
          <w:sz w:val="24"/>
          <w:szCs w:val="24"/>
          <w:lang w:eastAsia="hr-HR"/>
        </w:rPr>
        <w:t>8</w:t>
      </w:r>
      <w:r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D3254D">
        <w:rPr>
          <w:rFonts w:eastAsia="Times New Roman" w:cs="Calibri"/>
          <w:spacing w:val="-3"/>
          <w:sz w:val="24"/>
          <w:szCs w:val="24"/>
          <w:lang w:eastAsia="hr-HR"/>
        </w:rPr>
        <w:t>819,92</w:t>
      </w:r>
      <w:r w:rsidRPr="00647585">
        <w:rPr>
          <w:rFonts w:ascii="Calibri" w:eastAsia="Times New Roman" w:hAnsi="Calibri" w:cs="Arial"/>
          <w:bCs/>
          <w:color w:val="000000"/>
          <w:sz w:val="24"/>
          <w:szCs w:val="24"/>
          <w:lang w:eastAsia="hr-HR"/>
        </w:rPr>
        <w:t xml:space="preserve"> </w:t>
      </w:r>
      <w:r w:rsidRPr="00647585">
        <w:rPr>
          <w:rFonts w:eastAsia="Times New Roman" w:cs="Calibri"/>
          <w:spacing w:val="-3"/>
          <w:sz w:val="24"/>
          <w:szCs w:val="24"/>
          <w:lang w:eastAsia="hr-HR"/>
        </w:rPr>
        <w:t>milijuna kuna</w:t>
      </w:r>
      <w:r>
        <w:rPr>
          <w:rFonts w:eastAsia="Times New Roman" w:cs="Calibri"/>
          <w:spacing w:val="-3"/>
          <w:sz w:val="24"/>
          <w:szCs w:val="24"/>
          <w:lang w:eastAsia="hr-HR"/>
        </w:rPr>
        <w:t xml:space="preserve">, </w:t>
      </w:r>
      <w:r w:rsidRPr="00067D16">
        <w:rPr>
          <w:rFonts w:eastAsia="Times New Roman" w:cs="Calibri"/>
          <w:spacing w:val="-3"/>
          <w:sz w:val="24"/>
          <w:szCs w:val="24"/>
          <w:lang w:eastAsia="hr-HR"/>
        </w:rPr>
        <w:t>odnosno 6</w:t>
      </w:r>
      <w:r w:rsidR="00D3254D">
        <w:rPr>
          <w:rFonts w:eastAsia="Times New Roman" w:cs="Calibri"/>
          <w:spacing w:val="-3"/>
          <w:sz w:val="24"/>
          <w:szCs w:val="24"/>
          <w:lang w:eastAsia="hr-HR"/>
        </w:rPr>
        <w:t>5,11 posto</w:t>
      </w:r>
      <w:r w:rsidRPr="00067D16">
        <w:rPr>
          <w:rFonts w:eastAsia="Times New Roman" w:cs="Calibri"/>
          <w:spacing w:val="-3"/>
          <w:sz w:val="24"/>
          <w:szCs w:val="24"/>
          <w:lang w:eastAsia="hr-HR"/>
        </w:rPr>
        <w:t>.</w:t>
      </w:r>
    </w:p>
    <w:p w:rsidR="007162FD" w:rsidRPr="005D5D73" w:rsidRDefault="007162FD" w:rsidP="001C6D63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934BFE" w:rsidRP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4BFE">
        <w:rPr>
          <w:rFonts w:cstheme="minorHAnsi"/>
          <w:sz w:val="24"/>
          <w:szCs w:val="24"/>
        </w:rPr>
        <w:t xml:space="preserve">U ukupnim obvezama i glavnici Grupe najveći dio, tj. </w:t>
      </w:r>
      <w:r w:rsidR="00D3254D">
        <w:rPr>
          <w:rFonts w:cstheme="minorHAnsi"/>
          <w:sz w:val="24"/>
          <w:szCs w:val="24"/>
        </w:rPr>
        <w:t>61,90 posto</w:t>
      </w:r>
      <w:r w:rsidRPr="00934BFE">
        <w:rPr>
          <w:rFonts w:cstheme="minorHAnsi"/>
          <w:sz w:val="24"/>
          <w:szCs w:val="24"/>
        </w:rPr>
        <w:t>, čine obveze po kreditima i obveze za izdane vrijednosne papire matičnog društva.</w:t>
      </w:r>
    </w:p>
    <w:p w:rsid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358AA" w:rsidRDefault="00934BFE">
      <w:pPr>
        <w:tabs>
          <w:tab w:val="left" w:pos="1204"/>
        </w:tabs>
        <w:rPr>
          <w:rFonts w:cstheme="minorHAnsi"/>
          <w:sz w:val="24"/>
          <w:szCs w:val="24"/>
        </w:rPr>
        <w:sectPr w:rsidR="003358AA" w:rsidSect="00811935">
          <w:footerReference w:type="default" r:id="rId15"/>
          <w:footerReference w:type="first" r:id="rId16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934BFE">
        <w:rPr>
          <w:rFonts w:cstheme="minorHAnsi"/>
          <w:sz w:val="24"/>
          <w:szCs w:val="24"/>
        </w:rPr>
        <w:t xml:space="preserve">Ukupna glavnica na konsolidiranoj osnovi na kraju </w:t>
      </w:r>
      <w:r w:rsidR="00A33CBE">
        <w:rPr>
          <w:rFonts w:cstheme="minorHAnsi"/>
          <w:sz w:val="24"/>
          <w:szCs w:val="24"/>
        </w:rPr>
        <w:t>izvještajnog razdoblja</w:t>
      </w:r>
      <w:r w:rsidRPr="00934BFE">
        <w:rPr>
          <w:rFonts w:cstheme="minorHAnsi"/>
          <w:sz w:val="24"/>
          <w:szCs w:val="24"/>
        </w:rPr>
        <w:t xml:space="preserve"> iznosi </w:t>
      </w:r>
      <w:r w:rsidR="00D3254D">
        <w:rPr>
          <w:rFonts w:cstheme="minorHAnsi"/>
          <w:sz w:val="24"/>
          <w:szCs w:val="24"/>
        </w:rPr>
        <w:t>10</w:t>
      </w:r>
      <w:r w:rsidRPr="00934BFE">
        <w:rPr>
          <w:rFonts w:cstheme="minorHAnsi"/>
          <w:sz w:val="24"/>
          <w:szCs w:val="24"/>
        </w:rPr>
        <w:t>.</w:t>
      </w:r>
      <w:r w:rsidR="00D3254D">
        <w:rPr>
          <w:rFonts w:cstheme="minorHAnsi"/>
          <w:sz w:val="24"/>
          <w:szCs w:val="24"/>
        </w:rPr>
        <w:t>085,25</w:t>
      </w:r>
      <w:r w:rsidR="001C3F5F" w:rsidRPr="00934BFE">
        <w:rPr>
          <w:rFonts w:cstheme="minorHAnsi"/>
          <w:sz w:val="24"/>
          <w:szCs w:val="24"/>
        </w:rPr>
        <w:t xml:space="preserve"> </w:t>
      </w:r>
      <w:r w:rsidRPr="00934BFE">
        <w:rPr>
          <w:rFonts w:cstheme="minorHAnsi"/>
          <w:sz w:val="24"/>
          <w:szCs w:val="24"/>
        </w:rPr>
        <w:t>milijuna kuna i čini 3</w:t>
      </w:r>
      <w:r w:rsidR="00D3254D">
        <w:rPr>
          <w:rFonts w:cstheme="minorHAnsi"/>
          <w:sz w:val="24"/>
          <w:szCs w:val="24"/>
        </w:rPr>
        <w:t>4,89 posto</w:t>
      </w:r>
      <w:r w:rsidRPr="00934BFE">
        <w:rPr>
          <w:rFonts w:cstheme="minorHAnsi"/>
          <w:sz w:val="24"/>
          <w:szCs w:val="24"/>
        </w:rPr>
        <w:t xml:space="preserve"> ukupnih obveza i glavnice Grupe.</w:t>
      </w:r>
      <w:r w:rsidR="002A599E">
        <w:rPr>
          <w:rFonts w:cstheme="minorHAnsi"/>
          <w:sz w:val="24"/>
          <w:szCs w:val="24"/>
        </w:rPr>
        <w:t xml:space="preserve"> </w:t>
      </w:r>
    </w:p>
    <w:p w:rsidR="007866A7" w:rsidRPr="00C753C2" w:rsidRDefault="007866A7" w:rsidP="00C23C95">
      <w:pPr>
        <w:tabs>
          <w:tab w:val="left" w:pos="1204"/>
        </w:tabs>
        <w:rPr>
          <w:rFonts w:cstheme="minorHAnsi"/>
          <w:sz w:val="24"/>
          <w:szCs w:val="24"/>
        </w:rPr>
      </w:pPr>
    </w:p>
    <w:p w:rsidR="00FF02C3" w:rsidRDefault="007866A7" w:rsidP="00C23C95">
      <w:pPr>
        <w:spacing w:after="0" w:line="240" w:lineRule="auto"/>
        <w:ind w:left="-284" w:right="-285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DE2D21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5C76D47" wp14:editId="523A4FA4">
            <wp:extent cx="3074670" cy="3097530"/>
            <wp:effectExtent l="0" t="0" r="0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78" cy="310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16A1">
        <w:rPr>
          <w:rFonts w:cstheme="minorHAnsi"/>
          <w:sz w:val="24"/>
          <w:szCs w:val="24"/>
        </w:rPr>
        <w:t xml:space="preserve">   </w:t>
      </w:r>
      <w:r w:rsidR="00DE2D21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32F2EEC0" wp14:editId="55A58FB4">
            <wp:extent cx="3028315" cy="3111235"/>
            <wp:effectExtent l="0" t="0" r="63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940" cy="3144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2C3" w:rsidRDefault="003516A1" w:rsidP="001C6D63">
      <w:pPr>
        <w:spacing w:after="0" w:line="240" w:lineRule="auto"/>
        <w:ind w:left="-284" w:right="-425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 w:rsidRPr="00F11426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</w:t>
      </w:r>
      <w:r w:rsidR="00DE2D21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32381602" wp14:editId="3C3A4240">
            <wp:extent cx="3250054" cy="3179161"/>
            <wp:effectExtent l="0" t="0" r="7620" b="254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639" cy="3185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1426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DE2D21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5B61817A" wp14:editId="27F2212B">
            <wp:extent cx="2895600" cy="3176270"/>
            <wp:effectExtent l="0" t="0" r="0" b="508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7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E01" w:rsidRDefault="00A66E01" w:rsidP="00A66E01">
      <w:pPr>
        <w:spacing w:before="240" w:after="0" w:line="240" w:lineRule="auto"/>
        <w:jc w:val="both"/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</w:pPr>
      <w:r w:rsidRPr="001C6D63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*Financijska imovina po "fair" vrijednosti kroz IDG, Imovina koja se drži do dospijeća, Nekretnine, postrojenja i oprema i nematerijalna imovina, Dugotrajna imovina namijenjena prodaji i Ostala imovina.</w:t>
      </w:r>
    </w:p>
    <w:p w:rsidR="00FF02C3" w:rsidRDefault="00FF02C3" w:rsidP="00801EB8">
      <w:pPr>
        <w:spacing w:after="0" w:line="240" w:lineRule="auto"/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</w:pPr>
    </w:p>
    <w:p w:rsidR="00A66E01" w:rsidRDefault="00A66E01" w:rsidP="00801EB8">
      <w:pPr>
        <w:spacing w:after="0" w:line="240" w:lineRule="auto"/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</w:pPr>
    </w:p>
    <w:p w:rsidR="00A66E01" w:rsidRDefault="00A66E01" w:rsidP="00801EB8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810A4B" w:rsidRDefault="00810A4B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810A4B" w:rsidSect="00C23C95">
          <w:footerReference w:type="first" r:id="rId2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:rsidR="00AE35D1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B37082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ascii="Calibri" w:eastAsia="Times New Roman" w:hAnsi="Calibri" w:cs="Arial"/>
          <w:b/>
          <w:sz w:val="32"/>
          <w:szCs w:val="32"/>
        </w:rPr>
        <w:t>REZULTATI HBOR-a</w:t>
      </w: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2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:rsidR="00BF17D9" w:rsidRDefault="00BF17D9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bookmarkStart w:id="1" w:name="_Toc477261950"/>
      <w:r w:rsidRPr="00C23C95">
        <w:rPr>
          <w:rFonts w:ascii="Calibri" w:hAnsi="Calibri" w:cs="Calibri"/>
          <w:b/>
          <w:bCs/>
          <w:sz w:val="24"/>
          <w:szCs w:val="24"/>
          <w:lang w:eastAsia="x-none"/>
        </w:rPr>
        <w:lastRenderedPageBreak/>
        <w:t>OSVRT NA FINANCIJSKO POSLOVANJE HBOR-a</w:t>
      </w:r>
      <w:bookmarkEnd w:id="1"/>
    </w:p>
    <w:p w:rsidR="003E5F5C" w:rsidRPr="00C23C95" w:rsidRDefault="003E5F5C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:rsidR="00BF17D9" w:rsidRPr="00C23C95" w:rsidRDefault="00BF17D9" w:rsidP="00C23C9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3C95">
        <w:rPr>
          <w:rFonts w:ascii="Calibri" w:hAnsi="Calibri" w:cs="Calibri"/>
          <w:sz w:val="24"/>
          <w:szCs w:val="24"/>
        </w:rPr>
        <w:t>U nastavku se daje pregled i objašnjenja značajnih promjena u financijskom položaju i uspješnosti poslovanja u izvještajnom razdoblju.</w:t>
      </w:r>
    </w:p>
    <w:p w:rsidR="00BF17D9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</w:p>
    <w:p w:rsidR="00BF17D9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C23C95">
        <w:rPr>
          <w:rFonts w:ascii="Calibri" w:hAnsi="Calibri" w:cs="Calibri"/>
          <w:b/>
          <w:spacing w:val="-3"/>
          <w:sz w:val="24"/>
          <w:szCs w:val="24"/>
        </w:rPr>
        <w:t xml:space="preserve">Uspješnost poslovanja </w:t>
      </w:r>
    </w:p>
    <w:p w:rsidR="003E5F5C" w:rsidRPr="00C23C95" w:rsidRDefault="003E5F5C" w:rsidP="00C23C95">
      <w:pPr>
        <w:tabs>
          <w:tab w:val="left" w:pos="-720"/>
        </w:tabs>
        <w:spacing w:after="0" w:line="24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514881">
        <w:rPr>
          <w:rFonts w:cstheme="minorHAnsi"/>
          <w:spacing w:val="-3"/>
          <w:sz w:val="24"/>
          <w:szCs w:val="24"/>
        </w:rPr>
        <w:t xml:space="preserve">U </w:t>
      </w:r>
      <w:r>
        <w:rPr>
          <w:rFonts w:cstheme="minorHAnsi"/>
          <w:spacing w:val="-3"/>
          <w:sz w:val="24"/>
          <w:szCs w:val="24"/>
        </w:rPr>
        <w:t>razdoblju od 1.1. do 31.3.201</w:t>
      </w:r>
      <w:r w:rsidR="00596884">
        <w:rPr>
          <w:rFonts w:cstheme="minorHAnsi"/>
          <w:spacing w:val="-3"/>
          <w:sz w:val="24"/>
          <w:szCs w:val="24"/>
        </w:rPr>
        <w:t>7</w:t>
      </w:r>
      <w:r>
        <w:rPr>
          <w:rFonts w:cstheme="minorHAnsi"/>
          <w:spacing w:val="-3"/>
          <w:sz w:val="24"/>
          <w:szCs w:val="24"/>
        </w:rPr>
        <w:t>.</w:t>
      </w:r>
      <w:r w:rsidRPr="00514881">
        <w:rPr>
          <w:rFonts w:cstheme="minorHAnsi"/>
          <w:spacing w:val="-3"/>
          <w:sz w:val="24"/>
          <w:szCs w:val="24"/>
        </w:rPr>
        <w:t xml:space="preserve"> godin</w:t>
      </w:r>
      <w:r>
        <w:rPr>
          <w:rFonts w:cstheme="minorHAnsi"/>
          <w:spacing w:val="-3"/>
          <w:sz w:val="24"/>
          <w:szCs w:val="24"/>
        </w:rPr>
        <w:t>e</w:t>
      </w:r>
      <w:r w:rsidRPr="00514881">
        <w:rPr>
          <w:rFonts w:cstheme="minorHAnsi"/>
          <w:spacing w:val="-3"/>
          <w:sz w:val="24"/>
          <w:szCs w:val="24"/>
        </w:rPr>
        <w:t xml:space="preserve"> HBOR je ostvario ukupne prihode u iznosu od </w:t>
      </w:r>
      <w:r>
        <w:rPr>
          <w:rFonts w:cstheme="minorHAnsi"/>
          <w:spacing w:val="-3"/>
          <w:sz w:val="24"/>
          <w:szCs w:val="24"/>
        </w:rPr>
        <w:t>2</w:t>
      </w:r>
      <w:r w:rsidR="009E3641">
        <w:rPr>
          <w:rFonts w:cstheme="minorHAnsi"/>
          <w:spacing w:val="-3"/>
          <w:sz w:val="24"/>
          <w:szCs w:val="24"/>
        </w:rPr>
        <w:t>47,39</w:t>
      </w:r>
      <w:r w:rsidRPr="00514881">
        <w:rPr>
          <w:rFonts w:cstheme="minorHAnsi"/>
          <w:spacing w:val="-3"/>
          <w:sz w:val="24"/>
          <w:szCs w:val="24"/>
        </w:rPr>
        <w:t xml:space="preserve"> milijuna kuna, rashode u iznosu od </w:t>
      </w:r>
      <w:r w:rsidR="009E3641">
        <w:rPr>
          <w:rFonts w:cstheme="minorHAnsi"/>
          <w:spacing w:val="-3"/>
          <w:sz w:val="24"/>
          <w:szCs w:val="24"/>
        </w:rPr>
        <w:t>207</w:t>
      </w:r>
      <w:r>
        <w:rPr>
          <w:rFonts w:cstheme="minorHAnsi"/>
          <w:spacing w:val="-3"/>
          <w:sz w:val="24"/>
          <w:szCs w:val="24"/>
        </w:rPr>
        <w:t>,</w:t>
      </w:r>
      <w:r w:rsidR="009E3641">
        <w:rPr>
          <w:rFonts w:cstheme="minorHAnsi"/>
          <w:spacing w:val="-3"/>
          <w:sz w:val="24"/>
          <w:szCs w:val="24"/>
        </w:rPr>
        <w:t xml:space="preserve">14 </w:t>
      </w:r>
      <w:r w:rsidRPr="00514881">
        <w:rPr>
          <w:rFonts w:cstheme="minorHAnsi"/>
          <w:spacing w:val="-3"/>
          <w:sz w:val="24"/>
          <w:szCs w:val="24"/>
        </w:rPr>
        <w:t xml:space="preserve">milijuna kuna i </w:t>
      </w:r>
      <w:r>
        <w:rPr>
          <w:rFonts w:cstheme="minorHAnsi"/>
          <w:spacing w:val="-3"/>
          <w:sz w:val="24"/>
          <w:szCs w:val="24"/>
        </w:rPr>
        <w:t>dobit</w:t>
      </w:r>
      <w:r w:rsidRPr="00514881">
        <w:rPr>
          <w:rFonts w:cstheme="minorHAnsi"/>
          <w:spacing w:val="-3"/>
          <w:sz w:val="24"/>
          <w:szCs w:val="24"/>
        </w:rPr>
        <w:t xml:space="preserve"> u iznosu od </w:t>
      </w:r>
      <w:r w:rsidR="009E3641">
        <w:rPr>
          <w:rFonts w:cstheme="minorHAnsi"/>
          <w:spacing w:val="-3"/>
          <w:sz w:val="24"/>
          <w:szCs w:val="24"/>
        </w:rPr>
        <w:t>40,25</w:t>
      </w:r>
      <w:r w:rsidRPr="00514881">
        <w:rPr>
          <w:rFonts w:cstheme="minorHAnsi"/>
          <w:spacing w:val="-3"/>
          <w:sz w:val="24"/>
          <w:szCs w:val="24"/>
        </w:rPr>
        <w:t xml:space="preserve"> milijuna kuna.</w:t>
      </w:r>
      <w:r>
        <w:rPr>
          <w:rFonts w:cstheme="minorHAnsi"/>
          <w:spacing w:val="-3"/>
          <w:sz w:val="24"/>
          <w:szCs w:val="24"/>
        </w:rPr>
        <w:t xml:space="preserve"> Dobit izvještajnog razdoblja </w:t>
      </w:r>
      <w:r w:rsidR="009E3641">
        <w:rPr>
          <w:rFonts w:cstheme="minorHAnsi"/>
          <w:spacing w:val="-3"/>
          <w:sz w:val="24"/>
          <w:szCs w:val="24"/>
        </w:rPr>
        <w:t xml:space="preserve">manja </w:t>
      </w:r>
      <w:r>
        <w:rPr>
          <w:rFonts w:cstheme="minorHAnsi"/>
          <w:spacing w:val="-3"/>
          <w:sz w:val="24"/>
          <w:szCs w:val="24"/>
        </w:rPr>
        <w:t xml:space="preserve">je za </w:t>
      </w:r>
      <w:r w:rsidR="009E3641">
        <w:rPr>
          <w:rFonts w:cstheme="minorHAnsi"/>
          <w:spacing w:val="-3"/>
          <w:sz w:val="24"/>
          <w:szCs w:val="24"/>
        </w:rPr>
        <w:t xml:space="preserve">12,66 </w:t>
      </w:r>
      <w:r>
        <w:rPr>
          <w:rFonts w:cstheme="minorHAnsi"/>
          <w:spacing w:val="-3"/>
          <w:sz w:val="24"/>
          <w:szCs w:val="24"/>
        </w:rPr>
        <w:t xml:space="preserve">milijuna kuna u odnosu na isto razdoblje prošle godine, odnosno za </w:t>
      </w:r>
      <w:r w:rsidR="009E3641">
        <w:rPr>
          <w:rFonts w:cstheme="minorHAnsi"/>
          <w:spacing w:val="-3"/>
          <w:sz w:val="24"/>
          <w:szCs w:val="24"/>
        </w:rPr>
        <w:t>23,82 posto</w:t>
      </w:r>
      <w:r>
        <w:rPr>
          <w:rFonts w:cstheme="minorHAnsi"/>
          <w:spacing w:val="-3"/>
          <w:sz w:val="24"/>
          <w:szCs w:val="24"/>
        </w:rPr>
        <w:t>.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F17D9" w:rsidRPr="003213D1" w:rsidRDefault="009E364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>Niže</w:t>
      </w:r>
      <w:r w:rsidR="00BF17D9" w:rsidRPr="00F57EB6">
        <w:rPr>
          <w:rFonts w:cstheme="minorHAnsi"/>
          <w:spacing w:val="-3"/>
          <w:sz w:val="24"/>
          <w:szCs w:val="24"/>
        </w:rPr>
        <w:t xml:space="preserve"> ostvarenje dobiti u </w:t>
      </w:r>
      <w:r w:rsidR="00BF17D9">
        <w:rPr>
          <w:rFonts w:cstheme="minorHAnsi"/>
          <w:spacing w:val="-3"/>
          <w:sz w:val="24"/>
          <w:szCs w:val="24"/>
        </w:rPr>
        <w:t>izvještajnom razdoblju</w:t>
      </w:r>
      <w:r w:rsidR="00BF17D9" w:rsidRPr="00F57EB6">
        <w:rPr>
          <w:rFonts w:cstheme="minorHAnsi"/>
          <w:spacing w:val="-3"/>
          <w:sz w:val="24"/>
          <w:szCs w:val="24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u odnosu na isto razdoblje prošle godine </w:t>
      </w:r>
      <w:r w:rsidR="00BF17D9" w:rsidRPr="00F57EB6">
        <w:rPr>
          <w:rFonts w:cstheme="minorHAnsi"/>
          <w:spacing w:val="-3"/>
          <w:sz w:val="24"/>
          <w:szCs w:val="24"/>
        </w:rPr>
        <w:t xml:space="preserve">rezultat je </w:t>
      </w:r>
      <w:r w:rsidR="009B6F97">
        <w:rPr>
          <w:rFonts w:cstheme="minorHAnsi"/>
          <w:spacing w:val="-3"/>
          <w:sz w:val="24"/>
          <w:szCs w:val="24"/>
        </w:rPr>
        <w:t xml:space="preserve">većeg </w:t>
      </w:r>
      <w:r>
        <w:rPr>
          <w:rFonts w:cstheme="minorHAnsi"/>
          <w:spacing w:val="-3"/>
          <w:sz w:val="24"/>
          <w:szCs w:val="24"/>
        </w:rPr>
        <w:t>povećanja</w:t>
      </w:r>
      <w:r w:rsidR="00BF17D9" w:rsidRPr="00F57EB6">
        <w:rPr>
          <w:rFonts w:cstheme="minorHAnsi"/>
          <w:spacing w:val="-3"/>
          <w:sz w:val="24"/>
          <w:szCs w:val="24"/>
        </w:rPr>
        <w:t xml:space="preserve"> rashoda</w:t>
      </w:r>
      <w:r w:rsidR="009B6F97">
        <w:rPr>
          <w:rFonts w:cstheme="minorHAnsi"/>
          <w:spacing w:val="-3"/>
          <w:sz w:val="24"/>
          <w:szCs w:val="24"/>
        </w:rPr>
        <w:t xml:space="preserve">, koji su rasli </w:t>
      </w:r>
      <w:r w:rsidR="00BF17D9" w:rsidRPr="003213D1">
        <w:rPr>
          <w:rFonts w:cstheme="minorHAnsi"/>
          <w:spacing w:val="-3"/>
          <w:sz w:val="24"/>
          <w:szCs w:val="24"/>
        </w:rPr>
        <w:t xml:space="preserve">za </w:t>
      </w:r>
      <w:r>
        <w:rPr>
          <w:rFonts w:cstheme="minorHAnsi"/>
          <w:spacing w:val="-3"/>
          <w:sz w:val="24"/>
          <w:szCs w:val="24"/>
        </w:rPr>
        <w:t>33,81</w:t>
      </w:r>
      <w:r w:rsidR="00BF17D9" w:rsidRPr="003213D1">
        <w:rPr>
          <w:rFonts w:cstheme="minorHAnsi"/>
          <w:spacing w:val="-3"/>
          <w:sz w:val="24"/>
          <w:szCs w:val="24"/>
        </w:rPr>
        <w:t xml:space="preserve"> milijuna kuna</w:t>
      </w:r>
      <w:r w:rsidR="004405CD">
        <w:rPr>
          <w:rFonts w:cstheme="minorHAnsi"/>
          <w:spacing w:val="-3"/>
          <w:sz w:val="24"/>
          <w:szCs w:val="24"/>
        </w:rPr>
        <w:t xml:space="preserve">, u odnosu na prihode, koji </w:t>
      </w:r>
      <w:r w:rsidR="009B6F97">
        <w:rPr>
          <w:rFonts w:cstheme="minorHAnsi"/>
          <w:spacing w:val="-3"/>
          <w:sz w:val="24"/>
          <w:szCs w:val="24"/>
        </w:rPr>
        <w:t xml:space="preserve">su </w:t>
      </w:r>
      <w:r w:rsidR="004405CD">
        <w:rPr>
          <w:rFonts w:cstheme="minorHAnsi"/>
          <w:spacing w:val="-3"/>
          <w:sz w:val="24"/>
          <w:szCs w:val="24"/>
        </w:rPr>
        <w:t>ra</w:t>
      </w:r>
      <w:r w:rsidR="009B6F97">
        <w:rPr>
          <w:rFonts w:cstheme="minorHAnsi"/>
          <w:spacing w:val="-3"/>
          <w:sz w:val="24"/>
          <w:szCs w:val="24"/>
        </w:rPr>
        <w:t xml:space="preserve">sli za 21,15 milijuna kuna, </w:t>
      </w:r>
      <w:r w:rsidR="00BF17D9" w:rsidRPr="003213D1">
        <w:rPr>
          <w:rFonts w:cstheme="minorHAnsi"/>
          <w:spacing w:val="-3"/>
          <w:sz w:val="24"/>
          <w:szCs w:val="24"/>
        </w:rPr>
        <w:t>a u nastavku se daju okolnosti koje su utjecale na ostvarenje financijskog rezultata</w:t>
      </w:r>
      <w:r w:rsidR="00BF17D9" w:rsidRPr="00090F12">
        <w:rPr>
          <w:rFonts w:cstheme="minorHAnsi"/>
          <w:spacing w:val="-3"/>
          <w:sz w:val="24"/>
          <w:szCs w:val="24"/>
        </w:rPr>
        <w:t xml:space="preserve"> u prvom kvartalu 201</w:t>
      </w:r>
      <w:r w:rsidR="004405CD">
        <w:rPr>
          <w:rFonts w:cstheme="minorHAnsi"/>
          <w:spacing w:val="-3"/>
          <w:sz w:val="24"/>
          <w:szCs w:val="24"/>
        </w:rPr>
        <w:t>7</w:t>
      </w:r>
      <w:r w:rsidR="00BF17D9" w:rsidRPr="00090F12">
        <w:rPr>
          <w:rFonts w:cstheme="minorHAnsi"/>
          <w:spacing w:val="-3"/>
          <w:sz w:val="24"/>
          <w:szCs w:val="24"/>
        </w:rPr>
        <w:t>. godine u odnosu na prvi kvartal 201</w:t>
      </w:r>
      <w:r w:rsidR="004405CD">
        <w:rPr>
          <w:rFonts w:cstheme="minorHAnsi"/>
          <w:spacing w:val="-3"/>
          <w:sz w:val="24"/>
          <w:szCs w:val="24"/>
        </w:rPr>
        <w:t>6</w:t>
      </w:r>
      <w:r w:rsidR="00BF17D9" w:rsidRPr="00090F12">
        <w:rPr>
          <w:rFonts w:cstheme="minorHAnsi"/>
          <w:spacing w:val="-3"/>
          <w:sz w:val="24"/>
          <w:szCs w:val="24"/>
        </w:rPr>
        <w:t>. godine</w:t>
      </w:r>
      <w:r w:rsidR="00BF17D9" w:rsidRPr="003213D1">
        <w:rPr>
          <w:rFonts w:cstheme="minorHAnsi"/>
          <w:spacing w:val="-3"/>
          <w:sz w:val="24"/>
          <w:szCs w:val="24"/>
        </w:rPr>
        <w:t>:</w:t>
      </w:r>
    </w:p>
    <w:p w:rsidR="0059334C" w:rsidRPr="00C23C95" w:rsidRDefault="0059334C" w:rsidP="00BF17D9">
      <w:pPr>
        <w:pStyle w:val="ListParagraph"/>
        <w:numPr>
          <w:ilvl w:val="0"/>
          <w:numId w:val="13"/>
        </w:numPr>
        <w:tabs>
          <w:tab w:val="left" w:pos="-720"/>
          <w:tab w:val="left" w:pos="709"/>
        </w:tabs>
        <w:suppressAutoHyphens/>
        <w:ind w:left="709" w:hanging="283"/>
        <w:jc w:val="both"/>
        <w:rPr>
          <w:rFonts w:cstheme="minorHAnsi"/>
          <w:spacing w:val="-3"/>
        </w:rPr>
      </w:pPr>
      <w:r>
        <w:rPr>
          <w:rFonts w:asciiTheme="minorHAnsi" w:hAnsiTheme="minorHAnsi" w:cstheme="minorHAnsi"/>
          <w:bCs/>
          <w:spacing w:val="-3"/>
        </w:rPr>
        <w:t>veće ostvarenje prihoda od kamata za 19,87 milijuna kuna,</w:t>
      </w:r>
    </w:p>
    <w:p w:rsidR="0059334C" w:rsidRDefault="0059334C" w:rsidP="00BF17D9">
      <w:pPr>
        <w:pStyle w:val="ListParagraph"/>
        <w:numPr>
          <w:ilvl w:val="0"/>
          <w:numId w:val="13"/>
        </w:numPr>
        <w:tabs>
          <w:tab w:val="left" w:pos="-720"/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pacing w:val="-3"/>
        </w:rPr>
      </w:pPr>
      <w:r w:rsidRPr="00C23C95">
        <w:rPr>
          <w:rFonts w:asciiTheme="minorHAnsi" w:hAnsiTheme="minorHAnsi" w:cstheme="minorHAnsi"/>
          <w:spacing w:val="-3"/>
        </w:rPr>
        <w:t>niže ostvarenje rashoda od kamata za 6,45 milijuna kuna</w:t>
      </w:r>
      <w:r>
        <w:rPr>
          <w:rFonts w:asciiTheme="minorHAnsi" w:hAnsiTheme="minorHAnsi" w:cstheme="minorHAnsi"/>
          <w:spacing w:val="-3"/>
        </w:rPr>
        <w:t>,</w:t>
      </w:r>
    </w:p>
    <w:p w:rsidR="0059334C" w:rsidRPr="0059334C" w:rsidRDefault="0059334C" w:rsidP="00BF17D9">
      <w:pPr>
        <w:pStyle w:val="ListParagraph"/>
        <w:numPr>
          <w:ilvl w:val="0"/>
          <w:numId w:val="13"/>
        </w:numPr>
        <w:tabs>
          <w:tab w:val="left" w:pos="-720"/>
          <w:tab w:val="left" w:pos="709"/>
        </w:tabs>
        <w:suppressAutoHyphens/>
        <w:ind w:left="709" w:hanging="283"/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niže ostvarenje neto rashoda od financijskih aktivnosti za 10,95 milijuna kuna,</w:t>
      </w:r>
    </w:p>
    <w:p w:rsidR="00BF17D9" w:rsidRPr="001D4A98" w:rsidRDefault="0059334C" w:rsidP="00BF17D9">
      <w:pPr>
        <w:pStyle w:val="ListParagraph"/>
        <w:numPr>
          <w:ilvl w:val="0"/>
          <w:numId w:val="13"/>
        </w:numPr>
        <w:tabs>
          <w:tab w:val="left" w:pos="-720"/>
          <w:tab w:val="left" w:pos="709"/>
        </w:tabs>
        <w:suppressAutoHyphens/>
        <w:ind w:left="709" w:hanging="283"/>
        <w:jc w:val="both"/>
        <w:rPr>
          <w:rFonts w:cstheme="minorHAnsi"/>
          <w:spacing w:val="-3"/>
        </w:rPr>
      </w:pPr>
      <w:r>
        <w:rPr>
          <w:rFonts w:asciiTheme="minorHAnsi" w:hAnsiTheme="minorHAnsi" w:cstheme="minorHAnsi"/>
          <w:bCs/>
          <w:spacing w:val="-3"/>
        </w:rPr>
        <w:t xml:space="preserve">veće </w:t>
      </w:r>
      <w:r w:rsidR="00BF17D9" w:rsidRPr="001D4A98">
        <w:rPr>
          <w:rFonts w:asciiTheme="minorHAnsi" w:hAnsiTheme="minorHAnsi" w:cstheme="minorHAnsi"/>
          <w:bCs/>
          <w:spacing w:val="-3"/>
        </w:rPr>
        <w:t xml:space="preserve">ostvarenje gubitaka od umanjenja vrijednosti i rezerviranja za </w:t>
      </w:r>
      <w:r>
        <w:rPr>
          <w:rFonts w:asciiTheme="minorHAnsi" w:hAnsiTheme="minorHAnsi" w:cstheme="minorHAnsi"/>
          <w:bCs/>
          <w:spacing w:val="-3"/>
        </w:rPr>
        <w:t>55,12</w:t>
      </w:r>
      <w:r w:rsidR="00BF17D9" w:rsidRPr="001D4A98">
        <w:rPr>
          <w:rFonts w:asciiTheme="minorHAnsi" w:hAnsiTheme="minorHAnsi" w:cstheme="minorHAnsi"/>
          <w:bCs/>
          <w:spacing w:val="-3"/>
        </w:rPr>
        <w:t xml:space="preserve"> milijuna kuna</w:t>
      </w:r>
      <w:r w:rsidR="00BF17D9">
        <w:rPr>
          <w:rFonts w:asciiTheme="minorHAnsi" w:hAnsiTheme="minorHAnsi" w:cstheme="minorHAnsi"/>
          <w:bCs/>
          <w:spacing w:val="-3"/>
        </w:rPr>
        <w:t>,</w:t>
      </w:r>
      <w:r w:rsidR="00BF17D9" w:rsidRPr="001D4A98">
        <w:rPr>
          <w:rFonts w:asciiTheme="minorHAnsi" w:hAnsiTheme="minorHAnsi" w:cstheme="minorHAnsi"/>
          <w:bCs/>
          <w:spacing w:val="-3"/>
        </w:rPr>
        <w:t xml:space="preserve"> </w:t>
      </w:r>
    </w:p>
    <w:p w:rsidR="00BF17D9" w:rsidRPr="003213D1" w:rsidRDefault="00BF17D9" w:rsidP="00C23C95">
      <w:pPr>
        <w:pStyle w:val="ListParagraph"/>
        <w:numPr>
          <w:ilvl w:val="0"/>
          <w:numId w:val="13"/>
        </w:numPr>
        <w:tabs>
          <w:tab w:val="left" w:pos="-720"/>
          <w:tab w:val="left" w:pos="709"/>
        </w:tabs>
        <w:suppressAutoHyphens/>
        <w:ind w:left="709" w:hanging="283"/>
        <w:jc w:val="both"/>
        <w:rPr>
          <w:rFonts w:cstheme="minorHAnsi"/>
          <w:spacing w:val="-3"/>
        </w:rPr>
      </w:pPr>
      <w:r w:rsidRPr="00F11426">
        <w:rPr>
          <w:rFonts w:asciiTheme="minorHAnsi" w:hAnsiTheme="minorHAnsi" w:cstheme="minorHAnsi"/>
          <w:spacing w:val="-3"/>
        </w:rPr>
        <w:t xml:space="preserve">niže ostvarenje </w:t>
      </w:r>
      <w:r w:rsidR="007D3F76">
        <w:rPr>
          <w:rFonts w:asciiTheme="minorHAnsi" w:hAnsiTheme="minorHAnsi" w:cstheme="minorHAnsi"/>
          <w:bCs/>
          <w:spacing w:val="-3"/>
        </w:rPr>
        <w:t xml:space="preserve">operativnih troškova za 4,05 </w:t>
      </w:r>
      <w:r w:rsidRPr="00F11426">
        <w:rPr>
          <w:rFonts w:asciiTheme="minorHAnsi" w:hAnsiTheme="minorHAnsi" w:cstheme="minorHAnsi"/>
          <w:spacing w:val="-3"/>
        </w:rPr>
        <w:t>milijuna kuna</w:t>
      </w:r>
      <w:r w:rsidR="007D3F76">
        <w:rPr>
          <w:rFonts w:asciiTheme="minorHAnsi" w:hAnsiTheme="minorHAnsi" w:cstheme="minorHAnsi"/>
          <w:spacing w:val="-3"/>
        </w:rPr>
        <w:t>.</w:t>
      </w:r>
    </w:p>
    <w:p w:rsidR="007D3F76" w:rsidRDefault="007D3F76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090F12">
        <w:rPr>
          <w:rFonts w:cstheme="minorHAnsi"/>
          <w:spacing w:val="-3"/>
          <w:sz w:val="24"/>
          <w:szCs w:val="24"/>
        </w:rPr>
        <w:t>Detaljniji opis trendova daje se kod svake kategorije zasebno u nastavku.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DF01CC" w:rsidP="00C23C95">
      <w:pPr>
        <w:tabs>
          <w:tab w:val="left" w:pos="-720"/>
        </w:tabs>
        <w:suppressAutoHyphens/>
        <w:spacing w:after="0" w:line="240" w:lineRule="auto"/>
        <w:ind w:left="-284" w:right="-426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3276F157" wp14:editId="71B0C668">
            <wp:extent cx="2999740" cy="276606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62" cy="2787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17D9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           </w:t>
      </w:r>
      <w:r w:rsidR="00DE2D21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0AD62FA5" wp14:editId="489E9BB3">
            <wp:extent cx="2825087" cy="2773017"/>
            <wp:effectExtent l="0" t="0" r="0" b="889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34" cy="277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B336B" w:rsidRPr="00F24D36" w:rsidRDefault="00BB336B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BB336B" w:rsidRPr="00F24D36" w:rsidSect="00F24D36">
          <w:footerReference w:type="default" r:id="rId25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ind w:left="-142" w:right="-285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ind w:left="-426" w:right="-285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    </w:t>
      </w:r>
      <w:r w:rsidR="00DF01CC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589E50DF" wp14:editId="6D3A3CC3">
            <wp:extent cx="2901183" cy="28194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83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            </w:t>
      </w:r>
      <w:r w:rsidR="005B58C5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2D907AA2" wp14:editId="7F854CBB">
            <wp:extent cx="2800350" cy="286637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44" cy="2902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            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Neto prihodi od kamata</w:t>
      </w:r>
    </w:p>
    <w:p w:rsidR="00BF17D9" w:rsidRPr="00CA37C8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514881">
        <w:rPr>
          <w:rFonts w:cstheme="minorHAnsi"/>
          <w:spacing w:val="-3"/>
          <w:sz w:val="24"/>
          <w:szCs w:val="24"/>
        </w:rPr>
        <w:t xml:space="preserve">Neto kamatni prihodi ostvareni su u iznosu od </w:t>
      </w:r>
      <w:r>
        <w:rPr>
          <w:rFonts w:cstheme="minorHAnsi"/>
          <w:spacing w:val="-3"/>
          <w:sz w:val="24"/>
          <w:szCs w:val="24"/>
        </w:rPr>
        <w:t>1</w:t>
      </w:r>
      <w:r w:rsidR="00A1635C">
        <w:rPr>
          <w:rFonts w:cstheme="minorHAnsi"/>
          <w:spacing w:val="-3"/>
          <w:sz w:val="24"/>
          <w:szCs w:val="24"/>
        </w:rPr>
        <w:t>30,39</w:t>
      </w:r>
      <w:r w:rsidRPr="00514881">
        <w:rPr>
          <w:rFonts w:cstheme="minorHAnsi"/>
          <w:spacing w:val="-3"/>
          <w:sz w:val="24"/>
          <w:szCs w:val="24"/>
        </w:rPr>
        <w:t xml:space="preserve"> milijuna kuna i u odnosu na ostvarenje </w:t>
      </w:r>
      <w:r>
        <w:rPr>
          <w:rFonts w:cstheme="minorHAnsi"/>
          <w:spacing w:val="-3"/>
          <w:sz w:val="24"/>
          <w:szCs w:val="24"/>
        </w:rPr>
        <w:t xml:space="preserve">istog izvještajnog razdoblja </w:t>
      </w:r>
      <w:r w:rsidRPr="00514881">
        <w:rPr>
          <w:rFonts w:cstheme="minorHAnsi"/>
          <w:spacing w:val="-3"/>
          <w:sz w:val="24"/>
          <w:szCs w:val="24"/>
        </w:rPr>
        <w:t xml:space="preserve">prethodne izvještajne godine </w:t>
      </w:r>
      <w:r>
        <w:rPr>
          <w:rFonts w:cstheme="minorHAnsi"/>
          <w:spacing w:val="-3"/>
          <w:sz w:val="24"/>
          <w:szCs w:val="24"/>
        </w:rPr>
        <w:t xml:space="preserve">porasli </w:t>
      </w:r>
      <w:r w:rsidRPr="00514881">
        <w:rPr>
          <w:rFonts w:cstheme="minorHAnsi"/>
          <w:spacing w:val="-3"/>
          <w:sz w:val="24"/>
          <w:szCs w:val="24"/>
        </w:rPr>
        <w:t xml:space="preserve">su za </w:t>
      </w:r>
      <w:r w:rsidR="00A1635C">
        <w:rPr>
          <w:rFonts w:cstheme="minorHAnsi"/>
          <w:spacing w:val="-3"/>
          <w:sz w:val="24"/>
          <w:szCs w:val="24"/>
        </w:rPr>
        <w:t>25,38 posto</w:t>
      </w:r>
      <w:r w:rsidRPr="00514881">
        <w:rPr>
          <w:rFonts w:cstheme="minorHAnsi"/>
          <w:spacing w:val="-3"/>
          <w:sz w:val="24"/>
          <w:szCs w:val="24"/>
        </w:rPr>
        <w:t xml:space="preserve">. </w:t>
      </w:r>
    </w:p>
    <w:p w:rsidR="00BF17D9" w:rsidRPr="00514881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F17D9" w:rsidRDefault="00BF17D9" w:rsidP="00C23C95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</w:rPr>
      </w:pPr>
      <w:r w:rsidRPr="00514881">
        <w:rPr>
          <w:rFonts w:cstheme="minorHAnsi"/>
          <w:spacing w:val="-3"/>
          <w:sz w:val="24"/>
          <w:szCs w:val="24"/>
        </w:rPr>
        <w:t xml:space="preserve">Prihodi od kamata ostvareni su u iznosu od </w:t>
      </w:r>
      <w:r>
        <w:rPr>
          <w:rFonts w:cstheme="minorHAnsi"/>
          <w:spacing w:val="-3"/>
          <w:sz w:val="24"/>
          <w:szCs w:val="24"/>
        </w:rPr>
        <w:t>2</w:t>
      </w:r>
      <w:r w:rsidR="00D850CB">
        <w:rPr>
          <w:rFonts w:cstheme="minorHAnsi"/>
          <w:spacing w:val="-3"/>
          <w:sz w:val="24"/>
          <w:szCs w:val="24"/>
        </w:rPr>
        <w:t>38</w:t>
      </w:r>
      <w:r>
        <w:rPr>
          <w:rFonts w:cstheme="minorHAnsi"/>
          <w:spacing w:val="-3"/>
          <w:sz w:val="24"/>
          <w:szCs w:val="24"/>
        </w:rPr>
        <w:t>,</w:t>
      </w:r>
      <w:r w:rsidR="00D850CB">
        <w:rPr>
          <w:rFonts w:cstheme="minorHAnsi"/>
          <w:spacing w:val="-3"/>
          <w:sz w:val="24"/>
          <w:szCs w:val="24"/>
        </w:rPr>
        <w:t xml:space="preserve">50 </w:t>
      </w:r>
      <w:r w:rsidRPr="00514881">
        <w:rPr>
          <w:rFonts w:cstheme="minorHAnsi"/>
          <w:spacing w:val="-3"/>
          <w:sz w:val="24"/>
          <w:szCs w:val="24"/>
        </w:rPr>
        <w:t xml:space="preserve">milijuna kuna i </w:t>
      </w:r>
      <w:r w:rsidR="00D850CB">
        <w:rPr>
          <w:rFonts w:cstheme="minorHAnsi"/>
          <w:spacing w:val="-3"/>
          <w:sz w:val="24"/>
          <w:szCs w:val="24"/>
        </w:rPr>
        <w:t>viši</w:t>
      </w:r>
      <w:r w:rsidRPr="00514881">
        <w:rPr>
          <w:rFonts w:cstheme="minorHAnsi"/>
          <w:spacing w:val="-3"/>
          <w:sz w:val="24"/>
          <w:szCs w:val="24"/>
        </w:rPr>
        <w:t xml:space="preserve"> su za </w:t>
      </w:r>
      <w:r w:rsidR="00D850CB">
        <w:rPr>
          <w:rFonts w:cstheme="minorHAnsi"/>
          <w:spacing w:val="-3"/>
          <w:sz w:val="24"/>
          <w:szCs w:val="24"/>
        </w:rPr>
        <w:t xml:space="preserve">9,10 posto </w:t>
      </w:r>
      <w:r w:rsidRPr="00514881">
        <w:rPr>
          <w:rFonts w:cstheme="minorHAnsi"/>
          <w:spacing w:val="-3"/>
          <w:sz w:val="24"/>
          <w:szCs w:val="24"/>
        </w:rPr>
        <w:t xml:space="preserve">u odnosu na </w:t>
      </w:r>
      <w:r>
        <w:rPr>
          <w:rFonts w:cstheme="minorHAnsi"/>
          <w:spacing w:val="-3"/>
          <w:sz w:val="24"/>
          <w:szCs w:val="24"/>
        </w:rPr>
        <w:t xml:space="preserve">isto </w:t>
      </w:r>
      <w:r w:rsidRPr="00514881">
        <w:rPr>
          <w:rFonts w:cstheme="minorHAnsi"/>
          <w:spacing w:val="-3"/>
          <w:sz w:val="24"/>
          <w:szCs w:val="24"/>
        </w:rPr>
        <w:t xml:space="preserve"> izvještajn</w:t>
      </w:r>
      <w:r>
        <w:rPr>
          <w:rFonts w:cstheme="minorHAnsi"/>
          <w:spacing w:val="-3"/>
          <w:sz w:val="24"/>
          <w:szCs w:val="24"/>
        </w:rPr>
        <w:t>o razdoblje prethodne godine</w:t>
      </w:r>
      <w:r w:rsidR="00A915C9">
        <w:rPr>
          <w:rFonts w:cstheme="minorHAnsi"/>
          <w:spacing w:val="-3"/>
          <w:sz w:val="24"/>
          <w:szCs w:val="24"/>
        </w:rPr>
        <w:t xml:space="preserve"> uslijed povećanja kreditnih aktivnosti i značajne naplate kamatnih prihoda  po restrukturiranim kreditima</w:t>
      </w:r>
      <w:r w:rsidRPr="00514881">
        <w:rPr>
          <w:rFonts w:cstheme="minorHAnsi"/>
          <w:spacing w:val="-3"/>
          <w:sz w:val="24"/>
          <w:szCs w:val="24"/>
        </w:rPr>
        <w:t xml:space="preserve">. 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F937F0" w:rsidRPr="00647CCE" w:rsidRDefault="00BF17D9" w:rsidP="00F937F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 w:rsidRPr="0026752C">
        <w:rPr>
          <w:rFonts w:cstheme="minorHAnsi"/>
          <w:spacing w:val="-3"/>
          <w:sz w:val="24"/>
          <w:szCs w:val="24"/>
        </w:rPr>
        <w:t>Rashodi od kamata ostvareni su u iznosu od 1</w:t>
      </w:r>
      <w:r w:rsidR="0026752C">
        <w:rPr>
          <w:rFonts w:cstheme="minorHAnsi"/>
          <w:spacing w:val="-3"/>
          <w:sz w:val="24"/>
          <w:szCs w:val="24"/>
        </w:rPr>
        <w:t>08,11</w:t>
      </w:r>
      <w:r w:rsidRPr="0026752C">
        <w:rPr>
          <w:rFonts w:cstheme="minorHAnsi"/>
          <w:spacing w:val="-3"/>
          <w:sz w:val="24"/>
          <w:szCs w:val="24"/>
        </w:rPr>
        <w:t xml:space="preserve"> milijuna kuna i niži su za</w:t>
      </w:r>
      <w:r w:rsidR="00F937F0">
        <w:rPr>
          <w:rFonts w:cstheme="minorHAnsi"/>
          <w:spacing w:val="-3"/>
          <w:sz w:val="24"/>
          <w:szCs w:val="24"/>
        </w:rPr>
        <w:t xml:space="preserve"> </w:t>
      </w:r>
      <w:r w:rsidRPr="0026752C">
        <w:rPr>
          <w:rFonts w:cstheme="minorHAnsi"/>
          <w:spacing w:val="-3"/>
          <w:sz w:val="24"/>
          <w:szCs w:val="24"/>
        </w:rPr>
        <w:t>5</w:t>
      </w:r>
      <w:r w:rsidR="00F937F0">
        <w:rPr>
          <w:rFonts w:cstheme="minorHAnsi"/>
          <w:spacing w:val="-3"/>
          <w:sz w:val="24"/>
          <w:szCs w:val="24"/>
        </w:rPr>
        <w:t xml:space="preserve">,67 posto </w:t>
      </w:r>
      <w:r w:rsidRPr="0026752C">
        <w:rPr>
          <w:rFonts w:cstheme="minorHAnsi"/>
          <w:spacing w:val="-3"/>
          <w:sz w:val="24"/>
          <w:szCs w:val="24"/>
        </w:rPr>
        <w:t>u odnosu na isto izvještajno razdoblje prethodne godine</w:t>
      </w:r>
      <w:r w:rsidR="00F937F0">
        <w:rPr>
          <w:rFonts w:cstheme="minorHAnsi"/>
          <w:spacing w:val="-3"/>
          <w:sz w:val="24"/>
          <w:szCs w:val="24"/>
        </w:rPr>
        <w:t xml:space="preserve"> na što je na</w:t>
      </w:r>
      <w:r w:rsidR="00F937F0">
        <w:rPr>
          <w:rFonts w:eastAsia="Times New Roman" w:cs="Arial"/>
          <w:sz w:val="24"/>
          <w:szCs w:val="24"/>
          <w:lang w:eastAsia="hr-HR"/>
        </w:rPr>
        <w:t>jznačajnije utjecala aprecijacija kune u odnosu na EUR u prvom kvartalu 2017. godine.</w:t>
      </w:r>
      <w:r w:rsidR="00F937F0" w:rsidRPr="00647CCE">
        <w:rPr>
          <w:rFonts w:eastAsia="Times New Roman" w:cs="Arial"/>
          <w:sz w:val="24"/>
          <w:szCs w:val="24"/>
          <w:lang w:eastAsia="hr-HR"/>
        </w:rPr>
        <w:t xml:space="preserve"> </w:t>
      </w:r>
    </w:p>
    <w:p w:rsidR="00BF17D9" w:rsidRDefault="00BF17D9" w:rsidP="00C23C95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</w:rPr>
      </w:pPr>
      <w:r w:rsidRPr="0026752C">
        <w:rPr>
          <w:rFonts w:cstheme="minorHAnsi"/>
          <w:spacing w:val="-3"/>
          <w:sz w:val="24"/>
          <w:szCs w:val="24"/>
        </w:rPr>
        <w:t xml:space="preserve"> </w:t>
      </w:r>
    </w:p>
    <w:p w:rsidR="00BF17D9" w:rsidRDefault="00F937F0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</w:rPr>
      </w:pPr>
      <w:r>
        <w:rPr>
          <w:rFonts w:cstheme="minorHAnsi"/>
          <w:spacing w:val="-3"/>
          <w:sz w:val="24"/>
          <w:szCs w:val="24"/>
        </w:rPr>
        <w:t>Sukladno navedenim trendovima, n</w:t>
      </w:r>
      <w:r w:rsidR="00BF17D9" w:rsidRPr="00EB3A33">
        <w:rPr>
          <w:rFonts w:cstheme="minorHAnsi"/>
          <w:spacing w:val="-3"/>
          <w:sz w:val="24"/>
          <w:szCs w:val="24"/>
        </w:rPr>
        <w:t xml:space="preserve">eto kamatna marža </w:t>
      </w:r>
      <w:r>
        <w:rPr>
          <w:rFonts w:cstheme="minorHAnsi"/>
          <w:spacing w:val="-3"/>
          <w:sz w:val="24"/>
          <w:szCs w:val="24"/>
        </w:rPr>
        <w:t xml:space="preserve">povećana je </w:t>
      </w:r>
      <w:r w:rsidR="00BF17D9" w:rsidRPr="00EB3A33">
        <w:rPr>
          <w:rFonts w:cstheme="minorHAnsi"/>
          <w:spacing w:val="-3"/>
          <w:sz w:val="24"/>
          <w:szCs w:val="24"/>
        </w:rPr>
        <w:t xml:space="preserve">u odnosu na </w:t>
      </w:r>
      <w:r w:rsidR="00BF17D9">
        <w:rPr>
          <w:rFonts w:cstheme="minorHAnsi"/>
          <w:spacing w:val="-3"/>
          <w:sz w:val="24"/>
          <w:szCs w:val="24"/>
        </w:rPr>
        <w:t xml:space="preserve">isto izvještajno razdoblje </w:t>
      </w:r>
      <w:r w:rsidR="00BF17D9" w:rsidRPr="00EB3A33">
        <w:rPr>
          <w:rFonts w:cstheme="minorHAnsi"/>
          <w:spacing w:val="-3"/>
          <w:sz w:val="24"/>
          <w:szCs w:val="24"/>
        </w:rPr>
        <w:t>prethodn</w:t>
      </w:r>
      <w:r w:rsidR="00BF17D9">
        <w:rPr>
          <w:rFonts w:cstheme="minorHAnsi"/>
          <w:spacing w:val="-3"/>
          <w:sz w:val="24"/>
          <w:szCs w:val="24"/>
        </w:rPr>
        <w:t>e</w:t>
      </w:r>
      <w:r w:rsidR="00BF17D9" w:rsidRPr="00EB3A33">
        <w:rPr>
          <w:rFonts w:cstheme="minorHAnsi"/>
          <w:spacing w:val="-3"/>
          <w:sz w:val="24"/>
          <w:szCs w:val="24"/>
        </w:rPr>
        <w:t xml:space="preserve"> godin</w:t>
      </w:r>
      <w:r w:rsidR="00BF17D9">
        <w:rPr>
          <w:rFonts w:cstheme="minorHAnsi"/>
          <w:spacing w:val="-3"/>
          <w:sz w:val="24"/>
          <w:szCs w:val="24"/>
        </w:rPr>
        <w:t>e</w:t>
      </w:r>
      <w:r w:rsidR="00BF17D9" w:rsidRPr="00EB3A33">
        <w:rPr>
          <w:rFonts w:cstheme="minorHAnsi"/>
          <w:spacing w:val="-3"/>
          <w:sz w:val="24"/>
          <w:szCs w:val="24"/>
        </w:rPr>
        <w:t xml:space="preserve"> i iznosi 1,</w:t>
      </w:r>
      <w:r>
        <w:rPr>
          <w:rFonts w:cstheme="minorHAnsi"/>
          <w:spacing w:val="-3"/>
          <w:sz w:val="24"/>
          <w:szCs w:val="24"/>
        </w:rPr>
        <w:t>85 posto, dok je u istom razdoblju prethodne godine iznosila 1,62 posto</w:t>
      </w:r>
      <w:r w:rsidR="00BF17D9" w:rsidRPr="00EB3A33">
        <w:rPr>
          <w:rFonts w:cstheme="minorHAnsi"/>
          <w:spacing w:val="-3"/>
        </w:rPr>
        <w:t>.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</w:rPr>
      </w:pPr>
    </w:p>
    <w:p w:rsidR="00BF17D9" w:rsidRPr="00EB3A33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</w:rPr>
        <w:sectPr w:rsidR="00BF17D9" w:rsidRPr="00EB3A33" w:rsidSect="00F24D36">
          <w:footerReference w:type="default" r:id="rId28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lastRenderedPageBreak/>
        <w:t>Neto prihod od naknada</w:t>
      </w:r>
    </w:p>
    <w:p w:rsidR="00BF17D9" w:rsidRPr="00CA37C8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Pr="00C23C95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color w:val="000000" w:themeColor="text1"/>
          <w:spacing w:val="-3"/>
          <w:sz w:val="24"/>
          <w:szCs w:val="24"/>
        </w:rPr>
      </w:pPr>
      <w:r w:rsidRPr="00514881">
        <w:rPr>
          <w:rFonts w:cstheme="minorHAnsi"/>
          <w:spacing w:val="-3"/>
          <w:sz w:val="24"/>
          <w:szCs w:val="24"/>
        </w:rPr>
        <w:t xml:space="preserve">Neto prihod od naknada ostvaren je u iznosu od </w:t>
      </w:r>
      <w:r w:rsidR="00685E73">
        <w:rPr>
          <w:rFonts w:cstheme="minorHAnsi"/>
          <w:spacing w:val="-3"/>
          <w:sz w:val="24"/>
          <w:szCs w:val="24"/>
        </w:rPr>
        <w:t>5</w:t>
      </w:r>
      <w:r>
        <w:rPr>
          <w:rFonts w:cstheme="minorHAnsi"/>
          <w:spacing w:val="-3"/>
          <w:sz w:val="24"/>
          <w:szCs w:val="24"/>
        </w:rPr>
        <w:t>,9</w:t>
      </w:r>
      <w:r w:rsidR="00685E73">
        <w:rPr>
          <w:rFonts w:cstheme="minorHAnsi"/>
          <w:spacing w:val="-3"/>
          <w:sz w:val="24"/>
          <w:szCs w:val="24"/>
        </w:rPr>
        <w:t>6</w:t>
      </w:r>
      <w:r w:rsidRPr="00514881">
        <w:rPr>
          <w:rFonts w:cstheme="minorHAnsi"/>
          <w:spacing w:val="-3"/>
          <w:sz w:val="24"/>
          <w:szCs w:val="24"/>
        </w:rPr>
        <w:t xml:space="preserve"> milijuna kuna i viši je za </w:t>
      </w:r>
      <w:r w:rsidR="00685E73">
        <w:rPr>
          <w:rFonts w:cstheme="minorHAnsi"/>
          <w:spacing w:val="-3"/>
          <w:sz w:val="24"/>
          <w:szCs w:val="24"/>
        </w:rPr>
        <w:t xml:space="preserve">23,21 posto </w:t>
      </w:r>
      <w:r w:rsidRPr="00514881">
        <w:rPr>
          <w:rFonts w:cstheme="minorHAnsi"/>
          <w:spacing w:val="-3"/>
          <w:sz w:val="24"/>
          <w:szCs w:val="24"/>
        </w:rPr>
        <w:t xml:space="preserve">u odnosu na </w:t>
      </w:r>
      <w:r>
        <w:rPr>
          <w:rFonts w:cstheme="minorHAnsi"/>
          <w:spacing w:val="-3"/>
          <w:sz w:val="24"/>
          <w:szCs w:val="24"/>
        </w:rPr>
        <w:t>isto razdoblje prethodne godine</w:t>
      </w:r>
      <w:r w:rsidRPr="00514881">
        <w:rPr>
          <w:rFonts w:cstheme="minorHAnsi"/>
          <w:spacing w:val="-3"/>
          <w:sz w:val="24"/>
          <w:szCs w:val="24"/>
        </w:rPr>
        <w:t xml:space="preserve"> uslijed povećanja prihoda od naknada po garantnom </w:t>
      </w:r>
      <w:r w:rsidRPr="00E415F5">
        <w:rPr>
          <w:rFonts w:cstheme="minorHAnsi"/>
          <w:spacing w:val="-3"/>
          <w:sz w:val="24"/>
          <w:szCs w:val="24"/>
        </w:rPr>
        <w:t xml:space="preserve">poslovanju zbog većeg obima izdanih garancija. 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BF17D9" w:rsidRPr="006E19D4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>Neto prihodi/(rashodi) od financijskih aktivnosti</w:t>
      </w:r>
    </w:p>
    <w:p w:rsidR="00BF17D9" w:rsidRPr="00CA37C8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Neto prihode/(rashode) od financijskih aktivnosti čine neto tečajne razlike po glavnici potraživanja i obveza, neto prihodi ili troškovi nastali temeljem ugovora o kreditu s ugrađenom „call opcijom”, dobitak/(gubitak) od vrijednosnog usklađenja imovine koja se iskazuje po „fair“ vrijednosti kroz </w:t>
      </w:r>
      <w:r>
        <w:rPr>
          <w:rFonts w:cstheme="minorHAnsi"/>
          <w:spacing w:val="-3"/>
          <w:sz w:val="24"/>
          <w:szCs w:val="24"/>
        </w:rPr>
        <w:t>izvještaj o dobiti i gubitku</w:t>
      </w:r>
      <w:r w:rsidRPr="00704716">
        <w:rPr>
          <w:rFonts w:cstheme="minorHAnsi"/>
          <w:spacing w:val="-3"/>
          <w:sz w:val="24"/>
          <w:szCs w:val="24"/>
        </w:rPr>
        <w:t xml:space="preserve"> te realizirani dobitak/(gubitak) od imovine raspoložive za prodaju. 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F17D9" w:rsidRPr="00704716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U izvještajnom razdoblju ostvareni su neto </w:t>
      </w:r>
      <w:r>
        <w:rPr>
          <w:rFonts w:cstheme="minorHAnsi"/>
          <w:spacing w:val="-3"/>
          <w:sz w:val="24"/>
          <w:szCs w:val="24"/>
        </w:rPr>
        <w:t>rashodi</w:t>
      </w:r>
      <w:r w:rsidRPr="00704716">
        <w:rPr>
          <w:rFonts w:cstheme="minorHAnsi"/>
          <w:spacing w:val="-3"/>
          <w:sz w:val="24"/>
          <w:szCs w:val="24"/>
        </w:rPr>
        <w:t xml:space="preserve"> od financijskih aktivnosti u iznosu od </w:t>
      </w:r>
      <w:r w:rsidR="00685E73">
        <w:rPr>
          <w:rFonts w:cstheme="minorHAnsi"/>
          <w:spacing w:val="-3"/>
          <w:sz w:val="24"/>
          <w:szCs w:val="24"/>
        </w:rPr>
        <w:t>3,09</w:t>
      </w:r>
      <w:r w:rsidRPr="00704716">
        <w:rPr>
          <w:rFonts w:cstheme="minorHAnsi"/>
          <w:spacing w:val="-3"/>
          <w:sz w:val="24"/>
          <w:szCs w:val="24"/>
        </w:rPr>
        <w:t xml:space="preserve"> milijuna kuna, dok su u </w:t>
      </w:r>
      <w:r>
        <w:rPr>
          <w:rFonts w:cstheme="minorHAnsi"/>
          <w:spacing w:val="-3"/>
          <w:sz w:val="24"/>
          <w:szCs w:val="24"/>
        </w:rPr>
        <w:t>istom razdoblju prethodne godine</w:t>
      </w:r>
      <w:r w:rsidRPr="00704716">
        <w:rPr>
          <w:rFonts w:cstheme="minorHAnsi"/>
          <w:spacing w:val="-3"/>
          <w:sz w:val="24"/>
          <w:szCs w:val="24"/>
        </w:rPr>
        <w:t xml:space="preserve"> ostvareni neto </w:t>
      </w:r>
      <w:r w:rsidR="00685E73">
        <w:rPr>
          <w:rFonts w:cstheme="minorHAnsi"/>
          <w:spacing w:val="-3"/>
          <w:sz w:val="24"/>
          <w:szCs w:val="24"/>
        </w:rPr>
        <w:t>rashodi</w:t>
      </w:r>
      <w:r w:rsidRPr="00704716">
        <w:rPr>
          <w:rFonts w:cstheme="minorHAnsi"/>
          <w:spacing w:val="-3"/>
          <w:sz w:val="24"/>
          <w:szCs w:val="24"/>
        </w:rPr>
        <w:t xml:space="preserve"> u iznosu od </w:t>
      </w:r>
      <w:r w:rsidR="00685E73">
        <w:rPr>
          <w:rFonts w:cstheme="minorHAnsi"/>
          <w:spacing w:val="-3"/>
          <w:sz w:val="24"/>
          <w:szCs w:val="24"/>
        </w:rPr>
        <w:t>14,04</w:t>
      </w:r>
      <w:r w:rsidRPr="00704716">
        <w:rPr>
          <w:rFonts w:cstheme="minorHAnsi"/>
          <w:spacing w:val="-3"/>
          <w:sz w:val="24"/>
          <w:szCs w:val="24"/>
        </w:rPr>
        <w:t xml:space="preserve"> milijuna kuna. 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>Pregled kretanja tečaja kune u odnosu na tečaj eura i dolara: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F17D9" w:rsidRDefault="002B1A0D" w:rsidP="00BF17D9">
      <w:pPr>
        <w:tabs>
          <w:tab w:val="left" w:pos="-720"/>
          <w:tab w:val="left" w:pos="4820"/>
        </w:tabs>
        <w:suppressAutoHyphens/>
        <w:spacing w:after="0" w:line="240" w:lineRule="auto"/>
        <w:ind w:left="-426" w:righ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DE2D21">
        <w:rPr>
          <w:rFonts w:cstheme="minorHAnsi"/>
          <w:noProof/>
          <w:spacing w:val="-3"/>
          <w:sz w:val="24"/>
          <w:szCs w:val="24"/>
          <w:lang w:eastAsia="hr-HR"/>
        </w:rPr>
        <w:drawing>
          <wp:inline distT="0" distB="0" distL="0" distR="0" wp14:anchorId="718C1F88" wp14:editId="2756D544">
            <wp:extent cx="3138985" cy="2019705"/>
            <wp:effectExtent l="0" t="0" r="444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49" cy="203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855C93">
        <w:rPr>
          <w:rFonts w:cstheme="minorHAnsi"/>
          <w:noProof/>
          <w:spacing w:val="-3"/>
          <w:sz w:val="24"/>
          <w:szCs w:val="24"/>
          <w:lang w:eastAsia="hr-HR"/>
        </w:rPr>
        <w:drawing>
          <wp:inline distT="0" distB="0" distL="0" distR="0" wp14:anchorId="0BAFB4FD" wp14:editId="4095AAF1">
            <wp:extent cx="2975212" cy="1973889"/>
            <wp:effectExtent l="0" t="0" r="0" b="762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59" cy="1988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:rsidR="00BF17D9" w:rsidRPr="001C6D63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color w:val="7F7F7F" w:themeColor="text1" w:themeTint="80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Pr="001C6D63">
        <w:rPr>
          <w:rFonts w:cstheme="minorHAnsi"/>
          <w:color w:val="7F7F7F" w:themeColor="text1" w:themeTint="80"/>
          <w:spacing w:val="-3"/>
          <w:sz w:val="24"/>
          <w:szCs w:val="24"/>
        </w:rPr>
        <w:t>Napomena:</w:t>
      </w:r>
    </w:p>
    <w:p w:rsidR="00BF17D9" w:rsidRPr="00DA641F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color w:val="7F7F7F" w:themeColor="text1" w:themeTint="80"/>
          <w:spacing w:val="-3"/>
          <w:sz w:val="24"/>
          <w:szCs w:val="24"/>
        </w:rPr>
      </w:pPr>
      <w:r>
        <w:rPr>
          <w:rFonts w:cstheme="minorHAnsi"/>
          <w:color w:val="7F7F7F" w:themeColor="text1" w:themeTint="80"/>
          <w:spacing w:val="-3"/>
          <w:sz w:val="24"/>
          <w:szCs w:val="24"/>
        </w:rPr>
        <w:t xml:space="preserve">  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A</w:t>
      </w:r>
      <w:r w:rsidRPr="00F11426">
        <w:rPr>
          <w:rFonts w:cstheme="minorHAnsi"/>
          <w:color w:val="7F7F7F" w:themeColor="text1" w:themeTint="80"/>
          <w:spacing w:val="-3"/>
          <w:sz w:val="24"/>
          <w:szCs w:val="24"/>
          <w:vertAlign w:val="subscript"/>
        </w:rPr>
        <w:t>1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 xml:space="preserve"> = aprecijacija kune 31.3.</w:t>
      </w:r>
      <w:r w:rsidR="002B1A0D"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201</w:t>
      </w:r>
      <w:r w:rsidR="002B1A0D">
        <w:rPr>
          <w:rFonts w:cstheme="minorHAnsi"/>
          <w:color w:val="7F7F7F" w:themeColor="text1" w:themeTint="80"/>
          <w:spacing w:val="-3"/>
          <w:sz w:val="24"/>
          <w:szCs w:val="24"/>
        </w:rPr>
        <w:t>7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./31.12.</w:t>
      </w:r>
      <w:r w:rsidR="002B1A0D"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201</w:t>
      </w:r>
      <w:r w:rsidR="002B1A0D">
        <w:rPr>
          <w:rFonts w:cstheme="minorHAnsi"/>
          <w:color w:val="7F7F7F" w:themeColor="text1" w:themeTint="80"/>
          <w:spacing w:val="-3"/>
          <w:sz w:val="24"/>
          <w:szCs w:val="24"/>
        </w:rPr>
        <w:t>6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.</w:t>
      </w:r>
      <w:r>
        <w:rPr>
          <w:rFonts w:cstheme="minorHAnsi"/>
          <w:color w:val="7F7F7F" w:themeColor="text1" w:themeTint="80"/>
          <w:spacing w:val="-3"/>
          <w:sz w:val="24"/>
          <w:szCs w:val="24"/>
        </w:rPr>
        <w:tab/>
        <w:t xml:space="preserve">   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A</w:t>
      </w:r>
      <w:r w:rsidRPr="00F11426">
        <w:rPr>
          <w:rFonts w:cstheme="minorHAnsi"/>
          <w:color w:val="7F7F7F" w:themeColor="text1" w:themeTint="80"/>
          <w:spacing w:val="-3"/>
          <w:sz w:val="24"/>
          <w:szCs w:val="24"/>
          <w:vertAlign w:val="subscript"/>
        </w:rPr>
        <w:t>1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 xml:space="preserve"> = aprecijacija kune 31.3.</w:t>
      </w:r>
      <w:r w:rsidR="00DE2D21"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201</w:t>
      </w:r>
      <w:r w:rsidR="00DE2D21">
        <w:rPr>
          <w:rFonts w:cstheme="minorHAnsi"/>
          <w:color w:val="7F7F7F" w:themeColor="text1" w:themeTint="80"/>
          <w:spacing w:val="-3"/>
          <w:sz w:val="24"/>
          <w:szCs w:val="24"/>
        </w:rPr>
        <w:t>7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./31.12.201</w:t>
      </w:r>
      <w:r w:rsidR="00DE2D21">
        <w:rPr>
          <w:rFonts w:cstheme="minorHAnsi"/>
          <w:color w:val="7F7F7F" w:themeColor="text1" w:themeTint="80"/>
          <w:spacing w:val="-3"/>
          <w:sz w:val="24"/>
          <w:szCs w:val="24"/>
        </w:rPr>
        <w:t>6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.</w:t>
      </w:r>
    </w:p>
    <w:p w:rsidR="00BF17D9" w:rsidRPr="001C6D63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color w:val="7F7F7F" w:themeColor="text1" w:themeTint="80"/>
          <w:spacing w:val="-3"/>
          <w:sz w:val="24"/>
          <w:szCs w:val="24"/>
        </w:rPr>
      </w:pPr>
      <w:r>
        <w:rPr>
          <w:rFonts w:cstheme="minorHAnsi"/>
          <w:color w:val="7F7F7F" w:themeColor="text1" w:themeTint="80"/>
          <w:spacing w:val="-3"/>
          <w:sz w:val="24"/>
          <w:szCs w:val="24"/>
        </w:rPr>
        <w:t xml:space="preserve">  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A</w:t>
      </w:r>
      <w:r w:rsidRPr="00F11426">
        <w:rPr>
          <w:rFonts w:cstheme="minorHAnsi"/>
          <w:color w:val="7F7F7F" w:themeColor="text1" w:themeTint="80"/>
          <w:spacing w:val="-3"/>
          <w:sz w:val="24"/>
          <w:szCs w:val="24"/>
          <w:vertAlign w:val="subscript"/>
        </w:rPr>
        <w:t>2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 xml:space="preserve"> = aprecijacija kune 31.3.</w:t>
      </w:r>
      <w:r w:rsidR="002B1A0D"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201</w:t>
      </w:r>
      <w:r w:rsidR="002B1A0D">
        <w:rPr>
          <w:rFonts w:cstheme="minorHAnsi"/>
          <w:color w:val="7F7F7F" w:themeColor="text1" w:themeTint="80"/>
          <w:spacing w:val="-3"/>
          <w:sz w:val="24"/>
          <w:szCs w:val="24"/>
        </w:rPr>
        <w:t>7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./31.3.</w:t>
      </w:r>
      <w:r w:rsidR="002B1A0D"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201</w:t>
      </w:r>
      <w:r w:rsidR="002B1A0D">
        <w:rPr>
          <w:rFonts w:cstheme="minorHAnsi"/>
          <w:color w:val="7F7F7F" w:themeColor="text1" w:themeTint="80"/>
          <w:spacing w:val="-3"/>
          <w:sz w:val="24"/>
          <w:szCs w:val="24"/>
        </w:rPr>
        <w:t>6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.</w:t>
      </w:r>
      <w:r w:rsidRPr="001C6D63">
        <w:rPr>
          <w:rFonts w:cstheme="minorHAnsi"/>
          <w:color w:val="7F7F7F" w:themeColor="text1" w:themeTint="80"/>
          <w:spacing w:val="-3"/>
          <w:sz w:val="24"/>
          <w:szCs w:val="24"/>
        </w:rPr>
        <w:tab/>
      </w:r>
      <w:r>
        <w:rPr>
          <w:rFonts w:cstheme="minorHAnsi"/>
          <w:color w:val="7F7F7F" w:themeColor="text1" w:themeTint="80"/>
          <w:spacing w:val="-3"/>
          <w:sz w:val="24"/>
          <w:szCs w:val="24"/>
        </w:rPr>
        <w:t xml:space="preserve">   </w:t>
      </w:r>
      <w:r w:rsidR="003C5F0E">
        <w:rPr>
          <w:rFonts w:cstheme="minorHAnsi"/>
          <w:color w:val="7F7F7F" w:themeColor="text1" w:themeTint="80"/>
          <w:spacing w:val="-3"/>
          <w:sz w:val="24"/>
          <w:szCs w:val="24"/>
        </w:rPr>
        <w:t>D</w:t>
      </w:r>
      <w:r w:rsidR="003C5F0E" w:rsidRPr="00F11426">
        <w:rPr>
          <w:rFonts w:cstheme="minorHAnsi"/>
          <w:color w:val="7F7F7F" w:themeColor="text1" w:themeTint="80"/>
          <w:spacing w:val="-3"/>
          <w:sz w:val="24"/>
          <w:szCs w:val="24"/>
          <w:vertAlign w:val="subscript"/>
        </w:rPr>
        <w:t>2</w:t>
      </w:r>
      <w:r w:rsidR="003C5F0E"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 xml:space="preserve"> 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 xml:space="preserve">= </w:t>
      </w:r>
      <w:r w:rsidR="00D94BE1">
        <w:rPr>
          <w:rFonts w:cstheme="minorHAnsi"/>
          <w:color w:val="7F7F7F" w:themeColor="text1" w:themeTint="80"/>
          <w:spacing w:val="-3"/>
          <w:sz w:val="24"/>
          <w:szCs w:val="24"/>
        </w:rPr>
        <w:t>depr</w:t>
      </w:r>
      <w:r w:rsidR="00D94BE1"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 xml:space="preserve">ecijacija 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kune 31.3.</w:t>
      </w:r>
      <w:r w:rsidR="00DE2D21"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201</w:t>
      </w:r>
      <w:r w:rsidR="00DE2D21">
        <w:rPr>
          <w:rFonts w:cstheme="minorHAnsi"/>
          <w:color w:val="7F7F7F" w:themeColor="text1" w:themeTint="80"/>
          <w:spacing w:val="-3"/>
          <w:sz w:val="24"/>
          <w:szCs w:val="24"/>
        </w:rPr>
        <w:t>7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./31.3.</w:t>
      </w:r>
      <w:r w:rsidR="00DE2D21"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201</w:t>
      </w:r>
      <w:r w:rsidR="00DE2D21">
        <w:rPr>
          <w:rFonts w:cstheme="minorHAnsi"/>
          <w:color w:val="7F7F7F" w:themeColor="text1" w:themeTint="80"/>
          <w:spacing w:val="-3"/>
          <w:sz w:val="24"/>
          <w:szCs w:val="24"/>
        </w:rPr>
        <w:t>6</w:t>
      </w:r>
      <w:r w:rsidRPr="00DA641F">
        <w:rPr>
          <w:rFonts w:cstheme="minorHAnsi"/>
          <w:color w:val="7F7F7F" w:themeColor="text1" w:themeTint="80"/>
          <w:spacing w:val="-3"/>
          <w:sz w:val="24"/>
          <w:szCs w:val="24"/>
        </w:rPr>
        <w:t>.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Sredstva i izvore sredstava koji su izraženi u stranim sredstvima plaćanja ili su izraženi s valutnom klauzulom, HBOR preračunava u kunsku protuvrijednost po tečaju koji je važeći kod Hrvatske narodne banke na izvještajni dan. 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F17D9" w:rsidRPr="00704716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>Prihodi i rashodi u stranim sredstvima plaćanja preračunavaju se po tečaju na dan transakcije. Ostvareni prihodi i rashodi nastali preračunavanjem po tečaju iskazuju se u Izvještaju o dobiti i gubitku te ostaloj sveobuhvatnoj dobiti u neto iznosu.</w:t>
      </w:r>
    </w:p>
    <w:p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  <w:sectPr w:rsidR="00BF17D9">
          <w:footerReference w:type="default" r:id="rId3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z w:val="24"/>
          <w:szCs w:val="24"/>
          <w:lang w:eastAsia="hr-HR"/>
        </w:rPr>
        <w:lastRenderedPageBreak/>
        <w:t>Operativni troškovi</w:t>
      </w:r>
    </w:p>
    <w:p w:rsidR="00BF17D9" w:rsidRPr="00E7412A" w:rsidRDefault="00BF17D9" w:rsidP="00BF17D9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Operativni troškovi obuhvaćaju opće i administrativne troškove te ostale troškove poslovanja, a ostvareni su u iznosu od </w:t>
      </w:r>
      <w:r>
        <w:rPr>
          <w:rFonts w:cstheme="minorHAnsi"/>
          <w:spacing w:val="-3"/>
          <w:sz w:val="24"/>
          <w:szCs w:val="24"/>
        </w:rPr>
        <w:t>3</w:t>
      </w:r>
      <w:r w:rsidR="00AB02E4">
        <w:rPr>
          <w:rFonts w:cstheme="minorHAnsi"/>
          <w:spacing w:val="-3"/>
          <w:sz w:val="24"/>
          <w:szCs w:val="24"/>
        </w:rPr>
        <w:t>5</w:t>
      </w:r>
      <w:r>
        <w:rPr>
          <w:rFonts w:cstheme="minorHAnsi"/>
          <w:spacing w:val="-3"/>
          <w:sz w:val="24"/>
          <w:szCs w:val="24"/>
        </w:rPr>
        <w:t>,</w:t>
      </w:r>
      <w:r w:rsidR="00AB02E4">
        <w:rPr>
          <w:rFonts w:cstheme="minorHAnsi"/>
          <w:spacing w:val="-3"/>
          <w:sz w:val="24"/>
          <w:szCs w:val="24"/>
        </w:rPr>
        <w:t xml:space="preserve">49 </w:t>
      </w:r>
      <w:r w:rsidRPr="00704716">
        <w:rPr>
          <w:rFonts w:cstheme="minorHAnsi"/>
          <w:spacing w:val="-3"/>
          <w:sz w:val="24"/>
          <w:szCs w:val="24"/>
        </w:rPr>
        <w:t>milijuna kuna te su</w:t>
      </w:r>
      <w:r>
        <w:rPr>
          <w:rFonts w:cstheme="minorHAnsi"/>
          <w:spacing w:val="-3"/>
          <w:sz w:val="24"/>
          <w:szCs w:val="24"/>
        </w:rPr>
        <w:t xml:space="preserve"> za </w:t>
      </w:r>
      <w:r w:rsidR="00A3128E">
        <w:rPr>
          <w:rFonts w:cstheme="minorHAnsi"/>
          <w:spacing w:val="-3"/>
          <w:sz w:val="24"/>
          <w:szCs w:val="24"/>
        </w:rPr>
        <w:t>10,13 posto niži</w:t>
      </w:r>
      <w:r>
        <w:rPr>
          <w:rFonts w:cstheme="minorHAnsi"/>
          <w:spacing w:val="-3"/>
          <w:sz w:val="24"/>
          <w:szCs w:val="24"/>
        </w:rPr>
        <w:t xml:space="preserve"> </w:t>
      </w:r>
      <w:r w:rsidRPr="00704716">
        <w:rPr>
          <w:rFonts w:cstheme="minorHAnsi"/>
          <w:spacing w:val="-3"/>
          <w:sz w:val="24"/>
          <w:szCs w:val="24"/>
        </w:rPr>
        <w:t xml:space="preserve">u odnosu na prethodnu godinu. 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A3128E" w:rsidRDefault="00BF17D9" w:rsidP="00A3128E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Na iskazani trend najviše je utjecala stavka ostalih </w:t>
      </w:r>
      <w:r w:rsidR="00A3128E">
        <w:rPr>
          <w:rFonts w:cstheme="minorHAnsi"/>
          <w:spacing w:val="-3"/>
          <w:sz w:val="24"/>
          <w:szCs w:val="24"/>
        </w:rPr>
        <w:t>troškova sa smanjenjem</w:t>
      </w:r>
      <w:r>
        <w:rPr>
          <w:rFonts w:cstheme="minorHAnsi"/>
          <w:spacing w:val="-3"/>
          <w:sz w:val="24"/>
          <w:szCs w:val="24"/>
        </w:rPr>
        <w:t xml:space="preserve"> od 6,</w:t>
      </w:r>
      <w:r w:rsidR="00A3128E">
        <w:rPr>
          <w:rFonts w:cstheme="minorHAnsi"/>
          <w:spacing w:val="-3"/>
          <w:sz w:val="24"/>
          <w:szCs w:val="24"/>
        </w:rPr>
        <w:t>60</w:t>
      </w:r>
      <w:r>
        <w:rPr>
          <w:rFonts w:cstheme="minorHAnsi"/>
          <w:spacing w:val="-3"/>
          <w:sz w:val="24"/>
          <w:szCs w:val="24"/>
        </w:rPr>
        <w:t xml:space="preserve"> milijuna kuna u odnosu na isto razdoblje prethodne godine. </w:t>
      </w:r>
    </w:p>
    <w:p w:rsidR="00A3128E" w:rsidRPr="00A0631F" w:rsidRDefault="00A3128E" w:rsidP="00A3128E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cstheme="minorHAnsi"/>
          <w:spacing w:val="-3"/>
          <w:sz w:val="24"/>
          <w:szCs w:val="24"/>
        </w:rPr>
        <w:t>Smanjenje</w:t>
      </w:r>
      <w:r w:rsidRPr="00A0631F">
        <w:rPr>
          <w:rFonts w:cstheme="minorHAnsi"/>
          <w:spacing w:val="-3"/>
          <w:sz w:val="24"/>
          <w:szCs w:val="24"/>
        </w:rPr>
        <w:t xml:space="preserve"> ove stavke </w:t>
      </w:r>
      <w:r>
        <w:rPr>
          <w:rFonts w:cstheme="minorHAnsi"/>
          <w:spacing w:val="-3"/>
          <w:sz w:val="24"/>
          <w:szCs w:val="24"/>
        </w:rPr>
        <w:t>rezultat je jednokratnog poslovnog događaja u prvom kvartalu 2016. godine, odnosno reobračuna</w:t>
      </w:r>
      <w:r w:rsidRPr="00A0631F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>uslijed preuzimanja dijela jednog plasmana od strane drugog dužnika što je rezultiralo rashodima u visini od 5,88 milijuna kuna</w:t>
      </w:r>
      <w:r>
        <w:rPr>
          <w:rFonts w:ascii="Calibri" w:eastAsia="Times New Roman" w:hAnsi="Calibri" w:cs="Arial"/>
          <w:sz w:val="24"/>
          <w:szCs w:val="24"/>
          <w:lang w:eastAsia="hr-HR"/>
        </w:rPr>
        <w:t>.</w:t>
      </w:r>
    </w:p>
    <w:p w:rsidR="00A3128E" w:rsidRDefault="00A3128E" w:rsidP="00A3128E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A3128E" w:rsidRPr="00A0631F" w:rsidRDefault="00A3128E" w:rsidP="00A3128E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A0631F">
        <w:rPr>
          <w:rFonts w:ascii="Calibri" w:eastAsia="Times New Roman" w:hAnsi="Calibri" w:cs="Arial"/>
          <w:sz w:val="24"/>
          <w:szCs w:val="24"/>
          <w:lang w:eastAsia="hr-HR"/>
        </w:rPr>
        <w:t>Bez naveden</w:t>
      </w:r>
      <w:r>
        <w:rPr>
          <w:rFonts w:ascii="Calibri" w:eastAsia="Times New Roman" w:hAnsi="Calibri" w:cs="Arial"/>
          <w:sz w:val="24"/>
          <w:szCs w:val="24"/>
          <w:lang w:eastAsia="hr-HR"/>
        </w:rPr>
        <w:t>og</w:t>
      </w:r>
      <w:r w:rsidRPr="00A0631F">
        <w:rPr>
          <w:rFonts w:ascii="Calibri" w:eastAsia="Times New Roman" w:hAnsi="Calibri" w:cs="Arial"/>
          <w:sz w:val="24"/>
          <w:szCs w:val="24"/>
          <w:lang w:eastAsia="hr-HR"/>
        </w:rPr>
        <w:t xml:space="preserve"> jednokratn</w:t>
      </w:r>
      <w:r>
        <w:rPr>
          <w:rFonts w:ascii="Calibri" w:eastAsia="Times New Roman" w:hAnsi="Calibri" w:cs="Arial"/>
          <w:sz w:val="24"/>
          <w:szCs w:val="24"/>
          <w:lang w:eastAsia="hr-HR"/>
        </w:rPr>
        <w:t>og</w:t>
      </w:r>
      <w:r w:rsidRPr="00A0631F">
        <w:rPr>
          <w:rFonts w:ascii="Calibri" w:eastAsia="Times New Roman" w:hAnsi="Calibri" w:cs="Arial"/>
          <w:sz w:val="24"/>
          <w:szCs w:val="24"/>
          <w:lang w:eastAsia="hr-HR"/>
        </w:rPr>
        <w:t xml:space="preserve"> utjecaja na </w:t>
      </w:r>
      <w:r>
        <w:rPr>
          <w:rFonts w:ascii="Calibri" w:eastAsia="Times New Roman" w:hAnsi="Calibri" w:cs="Arial"/>
          <w:sz w:val="24"/>
          <w:szCs w:val="24"/>
          <w:lang w:eastAsia="hr-HR"/>
        </w:rPr>
        <w:t>smanjenje</w:t>
      </w:r>
      <w:r w:rsidRPr="00A0631F">
        <w:rPr>
          <w:rFonts w:ascii="Calibri" w:eastAsia="Times New Roman" w:hAnsi="Calibri" w:cs="Arial"/>
          <w:sz w:val="24"/>
          <w:szCs w:val="24"/>
          <w:lang w:eastAsia="hr-HR"/>
        </w:rPr>
        <w:t xml:space="preserve"> troškova u izvještajnom razdoblju, operativni</w:t>
      </w: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 troškovi u prvom kvartalu 2017. godine bi bilježili rast od 7,73 posto </w:t>
      </w:r>
      <w:r w:rsidRPr="00A0631F">
        <w:rPr>
          <w:rFonts w:ascii="Calibri" w:eastAsia="Times New Roman" w:hAnsi="Calibri" w:cs="Arial"/>
          <w:sz w:val="24"/>
          <w:szCs w:val="24"/>
          <w:lang w:eastAsia="hr-HR"/>
        </w:rPr>
        <w:t>u odnosu na isto izvještajno razdoblje prethodne godine.</w:t>
      </w:r>
    </w:p>
    <w:p w:rsidR="00A3128E" w:rsidRDefault="00A3128E" w:rsidP="00A3128E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F17D9" w:rsidRDefault="00BF17D9" w:rsidP="00A3128E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Ukupan broj zaposlenih na </w:t>
      </w:r>
      <w:r>
        <w:rPr>
          <w:rFonts w:cstheme="minorHAnsi"/>
          <w:spacing w:val="-3"/>
          <w:sz w:val="24"/>
          <w:szCs w:val="24"/>
        </w:rPr>
        <w:t>dan 31.3.201</w:t>
      </w:r>
      <w:r w:rsidR="00AB4317">
        <w:rPr>
          <w:rFonts w:cstheme="minorHAnsi"/>
          <w:spacing w:val="-3"/>
          <w:sz w:val="24"/>
          <w:szCs w:val="24"/>
        </w:rPr>
        <w:t>7</w:t>
      </w:r>
      <w:r>
        <w:rPr>
          <w:rFonts w:cstheme="minorHAnsi"/>
          <w:spacing w:val="-3"/>
          <w:sz w:val="24"/>
          <w:szCs w:val="24"/>
        </w:rPr>
        <w:t xml:space="preserve">. </w:t>
      </w:r>
      <w:r w:rsidRPr="00704716">
        <w:rPr>
          <w:rFonts w:cstheme="minorHAnsi"/>
          <w:spacing w:val="-3"/>
          <w:sz w:val="24"/>
          <w:szCs w:val="24"/>
        </w:rPr>
        <w:t>godine je 3</w:t>
      </w:r>
      <w:r w:rsidR="0089170B">
        <w:rPr>
          <w:rFonts w:cstheme="minorHAnsi"/>
          <w:spacing w:val="-3"/>
          <w:sz w:val="24"/>
          <w:szCs w:val="24"/>
        </w:rPr>
        <w:t>60</w:t>
      </w:r>
      <w:r w:rsidRPr="00704716">
        <w:rPr>
          <w:rFonts w:cstheme="minorHAnsi"/>
          <w:spacing w:val="-3"/>
          <w:sz w:val="24"/>
          <w:szCs w:val="24"/>
        </w:rPr>
        <w:t xml:space="preserve">, dok je na </w:t>
      </w:r>
      <w:r>
        <w:rPr>
          <w:rFonts w:cstheme="minorHAnsi"/>
          <w:spacing w:val="-3"/>
          <w:sz w:val="24"/>
          <w:szCs w:val="24"/>
        </w:rPr>
        <w:t>dan 31.3.201</w:t>
      </w:r>
      <w:r w:rsidR="00AB4317">
        <w:rPr>
          <w:rFonts w:cstheme="minorHAnsi"/>
          <w:spacing w:val="-3"/>
          <w:sz w:val="24"/>
          <w:szCs w:val="24"/>
        </w:rPr>
        <w:t>6</w:t>
      </w:r>
      <w:r>
        <w:rPr>
          <w:rFonts w:cstheme="minorHAnsi"/>
          <w:spacing w:val="-3"/>
          <w:sz w:val="24"/>
          <w:szCs w:val="24"/>
        </w:rPr>
        <w:t>.</w:t>
      </w:r>
      <w:r w:rsidRPr="00704716">
        <w:rPr>
          <w:rFonts w:cstheme="minorHAnsi"/>
          <w:spacing w:val="-3"/>
          <w:sz w:val="24"/>
          <w:szCs w:val="24"/>
        </w:rPr>
        <w:t xml:space="preserve"> godine HBOR zapošljavao </w:t>
      </w:r>
      <w:r w:rsidR="0089170B">
        <w:rPr>
          <w:rFonts w:cstheme="minorHAnsi"/>
          <w:spacing w:val="-3"/>
          <w:sz w:val="24"/>
          <w:szCs w:val="24"/>
        </w:rPr>
        <w:t>346</w:t>
      </w:r>
      <w:r w:rsidRPr="00704716">
        <w:rPr>
          <w:rFonts w:cstheme="minorHAnsi"/>
          <w:spacing w:val="-3"/>
          <w:sz w:val="24"/>
          <w:szCs w:val="24"/>
        </w:rPr>
        <w:t xml:space="preserve"> radnika.</w:t>
      </w:r>
      <w:r>
        <w:rPr>
          <w:rFonts w:cstheme="minorHAnsi"/>
          <w:spacing w:val="-3"/>
          <w:sz w:val="24"/>
          <w:szCs w:val="24"/>
        </w:rPr>
        <w:t xml:space="preserve"> </w:t>
      </w:r>
    </w:p>
    <w:p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Gubitak od umanjenja </w:t>
      </w: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>vrijednosti</w:t>
      </w: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i rezerviranja</w:t>
      </w: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 </w:t>
      </w:r>
    </w:p>
    <w:p w:rsidR="00BF17D9" w:rsidRPr="00CA37C8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</w:p>
    <w:p w:rsidR="00BF17D9" w:rsidRPr="00704716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HBOR sukladno propisima i općim aktima utvrđuje iznos gubitka od umanjenja vrijednosti i rezerviranja i održava na razini koju smatra dovoljnom za pokriće mogućih budućih rizika. </w:t>
      </w:r>
    </w:p>
    <w:p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3358AA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3358AA" w:rsidSect="007B5D75">
          <w:footerReference w:type="default" r:id="rId32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  <w:r w:rsidRPr="00B5610A">
        <w:rPr>
          <w:rFonts w:cstheme="minorHAnsi"/>
          <w:spacing w:val="-3"/>
          <w:sz w:val="24"/>
          <w:szCs w:val="24"/>
        </w:rPr>
        <w:t xml:space="preserve">U izvještajnom razdoblju ostvaren je neto trošak od umanjenja vrijednosti plasmana u visini od </w:t>
      </w:r>
      <w:r w:rsidR="00A3128E">
        <w:rPr>
          <w:rFonts w:cstheme="minorHAnsi"/>
          <w:spacing w:val="-3"/>
          <w:sz w:val="24"/>
          <w:szCs w:val="24"/>
        </w:rPr>
        <w:t>59,57</w:t>
      </w:r>
      <w:r w:rsidRPr="00B5610A">
        <w:rPr>
          <w:rFonts w:cstheme="minorHAnsi"/>
          <w:spacing w:val="-3"/>
          <w:sz w:val="24"/>
          <w:szCs w:val="24"/>
        </w:rPr>
        <w:t xml:space="preserve"> milijuna kun</w:t>
      </w:r>
      <w:r w:rsidR="00366BCB">
        <w:rPr>
          <w:rFonts w:cstheme="minorHAnsi"/>
          <w:spacing w:val="-3"/>
          <w:sz w:val="24"/>
          <w:szCs w:val="24"/>
        </w:rPr>
        <w:t>a.</w:t>
      </w:r>
    </w:p>
    <w:p w:rsidR="00BF17D9" w:rsidRPr="00BD6436" w:rsidRDefault="00BF17D9" w:rsidP="00BF17D9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BD6436">
        <w:rPr>
          <w:rFonts w:cstheme="minorHAnsi"/>
          <w:spacing w:val="-3"/>
          <w:sz w:val="24"/>
          <w:szCs w:val="24"/>
        </w:rPr>
        <w:lastRenderedPageBreak/>
        <w:t>U nastavku se daje pregled kvalitete portfelja:</w:t>
      </w:r>
    </w:p>
    <w:p w:rsidR="005B58C5" w:rsidRPr="00D028B6" w:rsidRDefault="005B58C5" w:rsidP="00BF17D9">
      <w:pPr>
        <w:tabs>
          <w:tab w:val="left" w:pos="-720"/>
        </w:tabs>
        <w:suppressAutoHyphens/>
        <w:spacing w:after="0" w:line="240" w:lineRule="auto"/>
        <w:jc w:val="both"/>
      </w:pPr>
    </w:p>
    <w:p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DB4852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45825635" wp14:editId="713DE15A">
            <wp:extent cx="2871470" cy="3133725"/>
            <wp:effectExtent l="0" t="0" r="508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17D9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59302C7C" wp14:editId="0B7B0174">
            <wp:extent cx="2871470" cy="3133725"/>
            <wp:effectExtent l="0" t="0" r="508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17D9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</w:t>
      </w:r>
    </w:p>
    <w:p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tbl>
      <w:tblPr>
        <w:tblW w:w="9923" w:type="dxa"/>
        <w:tblInd w:w="-176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62"/>
        <w:gridCol w:w="1897"/>
        <w:gridCol w:w="1512"/>
        <w:gridCol w:w="1793"/>
        <w:gridCol w:w="1559"/>
      </w:tblGrid>
      <w:tr w:rsidR="00BF17D9" w:rsidRPr="00847B23" w:rsidTr="0048362C">
        <w:trPr>
          <w:trHeight w:val="267"/>
        </w:trPr>
        <w:tc>
          <w:tcPr>
            <w:tcW w:w="3162" w:type="dxa"/>
            <w:shd w:val="clear" w:color="auto" w:fill="auto"/>
            <w:vAlign w:val="center"/>
            <w:hideMark/>
          </w:tcPr>
          <w:p w:rsidR="00BF17D9" w:rsidRPr="00847B23" w:rsidRDefault="00BF17D9" w:rsidP="0041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  <w:hideMark/>
          </w:tcPr>
          <w:p w:rsidR="00BF17D9" w:rsidRPr="00847B23" w:rsidRDefault="00BF17D9" w:rsidP="00417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E60B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31.12.201</w:t>
            </w:r>
            <w:r w:rsidR="0048362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</w:t>
            </w:r>
            <w:r w:rsidRPr="00EE60B0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3352" w:type="dxa"/>
            <w:gridSpan w:val="2"/>
            <w:shd w:val="clear" w:color="auto" w:fill="auto"/>
            <w:vAlign w:val="center"/>
            <w:hideMark/>
          </w:tcPr>
          <w:p w:rsidR="00BF17D9" w:rsidRPr="00847B23" w:rsidRDefault="00BF17D9" w:rsidP="00417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.201</w:t>
            </w:r>
            <w:r w:rsidR="0048362C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</w:t>
            </w: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</w:p>
        </w:tc>
      </w:tr>
      <w:tr w:rsidR="00BF17D9" w:rsidRPr="00847B23" w:rsidTr="0048362C">
        <w:trPr>
          <w:trHeight w:val="873"/>
        </w:trPr>
        <w:tc>
          <w:tcPr>
            <w:tcW w:w="3162" w:type="dxa"/>
            <w:shd w:val="clear" w:color="auto" w:fill="auto"/>
            <w:vAlign w:val="center"/>
            <w:hideMark/>
          </w:tcPr>
          <w:p w:rsidR="00BF17D9" w:rsidRPr="00847B23" w:rsidRDefault="00BF17D9" w:rsidP="00417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BF17D9" w:rsidRPr="00847B23" w:rsidRDefault="00BF17D9" w:rsidP="00417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 milijunima kuna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BF17D9" w:rsidRPr="00847B23" w:rsidRDefault="00BF17D9" w:rsidP="00417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Struktura</w:t>
            </w:r>
          </w:p>
          <w:p w:rsidR="00BF17D9" w:rsidRPr="00847B23" w:rsidRDefault="00BF17D9" w:rsidP="00417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(</w:t>
            </w:r>
            <w:r w:rsidR="00B7101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posto</w:t>
            </w: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)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BF17D9" w:rsidRPr="00847B23" w:rsidRDefault="00BF17D9" w:rsidP="00417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 milijunima kuna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17D9" w:rsidRPr="00847B23" w:rsidRDefault="00BF17D9" w:rsidP="00417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Struktura</w:t>
            </w:r>
          </w:p>
          <w:p w:rsidR="00BF17D9" w:rsidRPr="00847B23" w:rsidRDefault="00BF17D9" w:rsidP="00417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(</w:t>
            </w:r>
            <w:r w:rsidR="00B7101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posto</w:t>
            </w: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)</w:t>
            </w:r>
          </w:p>
        </w:tc>
      </w:tr>
      <w:tr w:rsidR="0048362C" w:rsidRPr="00847B23" w:rsidTr="00C23C95">
        <w:trPr>
          <w:trHeight w:val="411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Ukupni bruto portfelj</w:t>
            </w:r>
          </w:p>
        </w:tc>
        <w:tc>
          <w:tcPr>
            <w:tcW w:w="189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E0BC7">
              <w:rPr>
                <w:b/>
                <w:bCs/>
                <w:color w:val="000000"/>
              </w:rPr>
              <w:t>36.481,</w:t>
            </w: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E0BC7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847B23" w:rsidRDefault="005B58C5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38.091,67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114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100</w:t>
            </w:r>
          </w:p>
        </w:tc>
      </w:tr>
      <w:tr w:rsidR="0048362C" w:rsidRPr="00847B23" w:rsidTr="00C23C95">
        <w:trPr>
          <w:trHeight w:val="246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Od čega:</w:t>
            </w:r>
          </w:p>
        </w:tc>
        <w:tc>
          <w:tcPr>
            <w:tcW w:w="189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F11426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362C" w:rsidRPr="00F11426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48362C" w:rsidRPr="00847B23" w:rsidTr="00C23C95">
        <w:trPr>
          <w:trHeight w:val="246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- financijske institucije</w:t>
            </w:r>
          </w:p>
        </w:tc>
        <w:tc>
          <w:tcPr>
            <w:tcW w:w="189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B7103C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E0BC7">
              <w:rPr>
                <w:color w:val="000000"/>
              </w:rPr>
              <w:t>15.888,5</w:t>
            </w:r>
            <w:r>
              <w:rPr>
                <w:color w:val="000000"/>
              </w:rPr>
              <w:t>0</w:t>
            </w: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B7103C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color w:val="000000"/>
              </w:rPr>
              <w:t>43,55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D94C54" w:rsidRDefault="005B58C5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17.732,00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62C" w:rsidRPr="00D94C54" w:rsidRDefault="005B58C5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46,55</w:t>
            </w:r>
          </w:p>
        </w:tc>
      </w:tr>
      <w:tr w:rsidR="0048362C" w:rsidRPr="00847B23" w:rsidTr="00C23C95">
        <w:trPr>
          <w:trHeight w:val="205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- direktni</w:t>
            </w:r>
          </w:p>
        </w:tc>
        <w:tc>
          <w:tcPr>
            <w:tcW w:w="189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B7103C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E0BC7">
              <w:rPr>
                <w:color w:val="000000"/>
              </w:rPr>
              <w:t>20.593,</w:t>
            </w:r>
            <w:r>
              <w:rPr>
                <w:color w:val="000000"/>
              </w:rPr>
              <w:t>16</w:t>
            </w: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B7103C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color w:val="000000"/>
              </w:rPr>
              <w:t>56,45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D94C54" w:rsidRDefault="005B58C5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20.359,67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62C" w:rsidRPr="00D94C54" w:rsidRDefault="005B58C5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53,45</w:t>
            </w:r>
          </w:p>
        </w:tc>
      </w:tr>
      <w:tr w:rsidR="0048362C" w:rsidRPr="00847B23" w:rsidTr="00C23C95">
        <w:trPr>
          <w:trHeight w:val="205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F11426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8362C" w:rsidRPr="00F11426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48362C" w:rsidRPr="00847B23" w:rsidTr="00C23C95">
        <w:trPr>
          <w:trHeight w:val="375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Ukupno rezerviranja</w:t>
            </w:r>
          </w:p>
        </w:tc>
        <w:tc>
          <w:tcPr>
            <w:tcW w:w="189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E0BC7">
              <w:rPr>
                <w:b/>
                <w:bCs/>
                <w:color w:val="000000"/>
              </w:rPr>
              <w:t>3.</w:t>
            </w:r>
            <w:r>
              <w:rPr>
                <w:b/>
                <w:bCs/>
                <w:color w:val="000000"/>
              </w:rPr>
              <w:t>042,51</w:t>
            </w: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noWrap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E0BC7">
              <w:rPr>
                <w:b/>
                <w:bCs/>
                <w:color w:val="000000"/>
              </w:rPr>
              <w:t>100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847B23" w:rsidRDefault="005B58C5" w:rsidP="00B61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3.090,7</w:t>
            </w:r>
            <w:r w:rsidR="0092441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114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100</w:t>
            </w:r>
            <w:r w:rsidR="00C23C95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,00</w:t>
            </w:r>
          </w:p>
        </w:tc>
      </w:tr>
      <w:tr w:rsidR="0048362C" w:rsidRPr="00847B23" w:rsidTr="00C23C95">
        <w:trPr>
          <w:trHeight w:val="235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color w:val="000000"/>
                <w:lang w:eastAsia="hr-HR"/>
              </w:rPr>
              <w:t>Od čega:</w:t>
            </w:r>
          </w:p>
        </w:tc>
        <w:tc>
          <w:tcPr>
            <w:tcW w:w="189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noWrap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A745A2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8362C" w:rsidRPr="00A745A2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48362C" w:rsidRPr="00847B23" w:rsidTr="00C23C95">
        <w:trPr>
          <w:trHeight w:val="267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color w:val="000000"/>
                <w:lang w:eastAsia="hr-HR"/>
              </w:rPr>
              <w:t>- financijske institucije</w:t>
            </w:r>
          </w:p>
        </w:tc>
        <w:tc>
          <w:tcPr>
            <w:tcW w:w="189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B7103C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E0BC7">
              <w:rPr>
                <w:color w:val="000000"/>
              </w:rPr>
              <w:t>395,</w:t>
            </w:r>
            <w:r>
              <w:rPr>
                <w:color w:val="000000"/>
              </w:rPr>
              <w:t>46</w:t>
            </w: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B7103C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E0BC7">
              <w:rPr>
                <w:color w:val="000000"/>
              </w:rPr>
              <w:t>13</w:t>
            </w:r>
            <w:r>
              <w:rPr>
                <w:color w:val="000000"/>
              </w:rPr>
              <w:t>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A745A2" w:rsidRDefault="005B58C5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372,06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8362C" w:rsidRPr="00A745A2" w:rsidRDefault="005B58C5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12,04</w:t>
            </w:r>
          </w:p>
        </w:tc>
      </w:tr>
      <w:tr w:rsidR="0048362C" w:rsidRPr="00847B23" w:rsidTr="00C23C95">
        <w:trPr>
          <w:trHeight w:val="205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color w:val="000000"/>
                <w:lang w:eastAsia="hr-HR"/>
              </w:rPr>
              <w:t>- direktni</w:t>
            </w:r>
          </w:p>
        </w:tc>
        <w:tc>
          <w:tcPr>
            <w:tcW w:w="189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B7103C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E0BC7">
              <w:rPr>
                <w:color w:val="000000"/>
              </w:rPr>
              <w:t>2.647,</w:t>
            </w:r>
            <w:r>
              <w:rPr>
                <w:color w:val="000000"/>
              </w:rPr>
              <w:t>05</w:t>
            </w: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B7103C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E0BC7">
              <w:rPr>
                <w:color w:val="000000"/>
              </w:rPr>
              <w:t>8</w:t>
            </w:r>
            <w:r>
              <w:rPr>
                <w:color w:val="000000"/>
              </w:rPr>
              <w:t>7,00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A745A2" w:rsidRDefault="005B58C5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2.718,73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8362C" w:rsidRPr="00D94C54" w:rsidRDefault="005B58C5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87,96</w:t>
            </w:r>
          </w:p>
        </w:tc>
      </w:tr>
      <w:tr w:rsidR="0048362C" w:rsidRPr="00847B23" w:rsidTr="00C23C95">
        <w:trPr>
          <w:trHeight w:val="205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9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noWrap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F11426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8362C" w:rsidRPr="00F11426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48362C" w:rsidRPr="00847B23" w:rsidTr="00C23C95">
        <w:trPr>
          <w:trHeight w:val="410"/>
        </w:trPr>
        <w:tc>
          <w:tcPr>
            <w:tcW w:w="3162" w:type="dxa"/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847B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Rezerviranja/bruto portfelj</w:t>
            </w:r>
          </w:p>
        </w:tc>
        <w:tc>
          <w:tcPr>
            <w:tcW w:w="189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</w:rPr>
              <w:t>8,34 posto</w:t>
            </w:r>
          </w:p>
        </w:tc>
        <w:tc>
          <w:tcPr>
            <w:tcW w:w="15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noWrap/>
            <w:vAlign w:val="center"/>
            <w:hideMark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EE0BC7">
              <w:rPr>
                <w:b/>
                <w:bCs/>
                <w:color w:val="000000"/>
              </w:rPr>
              <w:t>-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48362C" w:rsidRPr="00847B23" w:rsidRDefault="005B58C5" w:rsidP="00B611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8,11 posto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8362C" w:rsidRPr="00847B23" w:rsidRDefault="0048362C" w:rsidP="00483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45A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-</w:t>
            </w:r>
          </w:p>
        </w:tc>
      </w:tr>
    </w:tbl>
    <w:p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7E222A" w:rsidRPr="005D5D73" w:rsidRDefault="007E222A" w:rsidP="007667DB">
      <w:pPr>
        <w:spacing w:after="0" w:line="240" w:lineRule="auto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7E8B" w:rsidRPr="00C23C95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C23C95">
        <w:rPr>
          <w:rFonts w:ascii="Calibri" w:hAnsi="Calibri" w:cs="Calibri"/>
          <w:b/>
          <w:spacing w:val="-3"/>
          <w:sz w:val="24"/>
          <w:szCs w:val="24"/>
        </w:rPr>
        <w:lastRenderedPageBreak/>
        <w:t>Značajne promjene u financijskom položaju</w:t>
      </w:r>
    </w:p>
    <w:p w:rsidR="00422588" w:rsidRPr="00CA37C8" w:rsidRDefault="00422588" w:rsidP="003E5F5C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810A4B" w:rsidRPr="00810A4B" w:rsidRDefault="00810A4B" w:rsidP="003E5F5C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810A4B">
        <w:rPr>
          <w:rFonts w:cstheme="minorHAnsi"/>
          <w:spacing w:val="-3"/>
          <w:sz w:val="24"/>
          <w:szCs w:val="24"/>
        </w:rPr>
        <w:t xml:space="preserve">Ukupna imovina </w:t>
      </w:r>
      <w:r w:rsidR="00801EB8">
        <w:rPr>
          <w:rFonts w:cstheme="minorHAnsi"/>
          <w:spacing w:val="-3"/>
          <w:sz w:val="24"/>
          <w:szCs w:val="24"/>
        </w:rPr>
        <w:t xml:space="preserve">HBOR-a </w:t>
      </w:r>
      <w:r w:rsidRPr="00810A4B">
        <w:rPr>
          <w:rFonts w:cstheme="minorHAnsi"/>
          <w:spacing w:val="-3"/>
          <w:sz w:val="24"/>
          <w:szCs w:val="24"/>
        </w:rPr>
        <w:t>na dan 31.</w:t>
      </w:r>
      <w:r w:rsidR="005654E7">
        <w:rPr>
          <w:rFonts w:cstheme="minorHAnsi"/>
          <w:spacing w:val="-3"/>
          <w:sz w:val="24"/>
          <w:szCs w:val="24"/>
        </w:rPr>
        <w:t>3</w:t>
      </w:r>
      <w:r w:rsidRPr="00810A4B">
        <w:rPr>
          <w:rFonts w:cstheme="minorHAnsi"/>
          <w:spacing w:val="-3"/>
          <w:sz w:val="24"/>
          <w:szCs w:val="24"/>
        </w:rPr>
        <w:t>.201</w:t>
      </w:r>
      <w:r w:rsidR="00A3128E">
        <w:rPr>
          <w:rFonts w:cstheme="minorHAnsi"/>
          <w:spacing w:val="-3"/>
          <w:sz w:val="24"/>
          <w:szCs w:val="24"/>
        </w:rPr>
        <w:t>7</w:t>
      </w:r>
      <w:r w:rsidRPr="00810A4B">
        <w:rPr>
          <w:rFonts w:cstheme="minorHAnsi"/>
          <w:spacing w:val="-3"/>
          <w:sz w:val="24"/>
          <w:szCs w:val="24"/>
        </w:rPr>
        <w:t>. godine iznosi 2</w:t>
      </w:r>
      <w:r w:rsidR="00DB38B6">
        <w:rPr>
          <w:rFonts w:cstheme="minorHAnsi"/>
          <w:spacing w:val="-3"/>
          <w:sz w:val="24"/>
          <w:szCs w:val="24"/>
        </w:rPr>
        <w:t>8</w:t>
      </w:r>
      <w:r w:rsidRPr="00810A4B">
        <w:rPr>
          <w:rFonts w:cstheme="minorHAnsi"/>
          <w:spacing w:val="-3"/>
          <w:sz w:val="24"/>
          <w:szCs w:val="24"/>
        </w:rPr>
        <w:t>.</w:t>
      </w:r>
      <w:r w:rsidR="00DB38B6">
        <w:rPr>
          <w:rFonts w:cstheme="minorHAnsi"/>
          <w:spacing w:val="-3"/>
          <w:sz w:val="24"/>
          <w:szCs w:val="24"/>
        </w:rPr>
        <w:t>888,92</w:t>
      </w:r>
      <w:r w:rsidRPr="00810A4B">
        <w:rPr>
          <w:rFonts w:cstheme="minorHAnsi"/>
          <w:spacing w:val="-3"/>
          <w:sz w:val="24"/>
          <w:szCs w:val="24"/>
        </w:rPr>
        <w:t xml:space="preserve"> milijuna kuna te je u odnosu na početak godine </w:t>
      </w:r>
      <w:r w:rsidR="005654E7">
        <w:rPr>
          <w:rFonts w:cstheme="minorHAnsi"/>
          <w:spacing w:val="-3"/>
          <w:sz w:val="24"/>
          <w:szCs w:val="24"/>
        </w:rPr>
        <w:t>porasla</w:t>
      </w:r>
      <w:r w:rsidRPr="00810A4B">
        <w:rPr>
          <w:rFonts w:cstheme="minorHAnsi"/>
          <w:spacing w:val="-3"/>
          <w:sz w:val="24"/>
          <w:szCs w:val="24"/>
        </w:rPr>
        <w:t xml:space="preserve"> za </w:t>
      </w:r>
      <w:r w:rsidR="00A969CE">
        <w:rPr>
          <w:rFonts w:cstheme="minorHAnsi"/>
          <w:spacing w:val="-3"/>
          <w:sz w:val="24"/>
          <w:szCs w:val="24"/>
        </w:rPr>
        <w:t xml:space="preserve">5,53 </w:t>
      </w:r>
      <w:r w:rsidR="001014AC">
        <w:rPr>
          <w:rFonts w:cstheme="minorHAnsi"/>
          <w:spacing w:val="-3"/>
          <w:sz w:val="24"/>
          <w:szCs w:val="24"/>
        </w:rPr>
        <w:t>posto</w:t>
      </w:r>
      <w:r w:rsidRPr="00810A4B">
        <w:rPr>
          <w:rFonts w:cstheme="minorHAnsi"/>
          <w:spacing w:val="-3"/>
          <w:sz w:val="24"/>
          <w:szCs w:val="24"/>
        </w:rPr>
        <w:t xml:space="preserve">. </w:t>
      </w:r>
      <w:r w:rsidR="00187D89">
        <w:rPr>
          <w:rFonts w:cstheme="minorHAnsi"/>
          <w:spacing w:val="-3"/>
          <w:sz w:val="24"/>
          <w:szCs w:val="24"/>
        </w:rPr>
        <w:t>Povećanje</w:t>
      </w:r>
      <w:r w:rsidRPr="00810A4B">
        <w:rPr>
          <w:rFonts w:cstheme="minorHAnsi"/>
          <w:spacing w:val="-3"/>
          <w:sz w:val="24"/>
          <w:szCs w:val="24"/>
        </w:rPr>
        <w:t xml:space="preserve"> imovine najvećim je dijelom rezultat </w:t>
      </w:r>
      <w:r w:rsidR="00187D89">
        <w:rPr>
          <w:rFonts w:cstheme="minorHAnsi"/>
          <w:spacing w:val="-3"/>
          <w:sz w:val="24"/>
          <w:szCs w:val="24"/>
        </w:rPr>
        <w:t>pov</w:t>
      </w:r>
      <w:r w:rsidR="001C1FDF">
        <w:rPr>
          <w:rFonts w:cstheme="minorHAnsi"/>
          <w:spacing w:val="-3"/>
          <w:sz w:val="24"/>
          <w:szCs w:val="24"/>
        </w:rPr>
        <w:t>ećanja novčanih sredstava</w:t>
      </w:r>
      <w:r w:rsidR="00F23B41">
        <w:rPr>
          <w:rFonts w:cstheme="minorHAnsi"/>
          <w:spacing w:val="-3"/>
          <w:sz w:val="24"/>
          <w:szCs w:val="24"/>
        </w:rPr>
        <w:t>.</w:t>
      </w:r>
      <w:r w:rsidR="00F23B41" w:rsidRPr="00810A4B" w:rsidDel="00F23B41">
        <w:rPr>
          <w:rFonts w:cstheme="minorHAnsi"/>
          <w:spacing w:val="-3"/>
          <w:sz w:val="24"/>
          <w:szCs w:val="24"/>
        </w:rPr>
        <w:t xml:space="preserve"> </w:t>
      </w:r>
    </w:p>
    <w:p w:rsidR="00422588" w:rsidRDefault="00422588" w:rsidP="00075515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C21778" w:rsidRPr="00CA37C8" w:rsidRDefault="00C21778" w:rsidP="00075515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422588" w:rsidRDefault="007E222A" w:rsidP="00075515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Novčana sredstva i depoziti kod drugih </w:t>
      </w:r>
      <w:r w:rsidRPr="000746B4">
        <w:rPr>
          <w:rFonts w:eastAsia="Times New Roman" w:cs="Calibri"/>
          <w:b/>
          <w:i/>
          <w:sz w:val="24"/>
          <w:szCs w:val="24"/>
          <w:lang w:eastAsia="hr-HR"/>
        </w:rPr>
        <w:t xml:space="preserve">banaka </w:t>
      </w:r>
    </w:p>
    <w:p w:rsidR="007667DB" w:rsidRPr="00075515" w:rsidRDefault="007667DB" w:rsidP="00602844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:rsidR="008646D7" w:rsidRPr="00810A4B" w:rsidRDefault="00810A4B" w:rsidP="00602844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 w:rsidRPr="00810A4B">
        <w:rPr>
          <w:rFonts w:cstheme="minorHAnsi"/>
          <w:sz w:val="24"/>
          <w:szCs w:val="24"/>
        </w:rPr>
        <w:t xml:space="preserve">Stanje novčanih sredstava i depozita kod drugih banaka na </w:t>
      </w:r>
      <w:r w:rsidR="00187D89">
        <w:rPr>
          <w:rFonts w:cstheme="minorHAnsi"/>
          <w:sz w:val="24"/>
          <w:szCs w:val="24"/>
        </w:rPr>
        <w:t>dan 31.3.</w:t>
      </w:r>
      <w:r w:rsidRPr="00810A4B">
        <w:rPr>
          <w:rFonts w:cstheme="minorHAnsi"/>
          <w:sz w:val="24"/>
          <w:szCs w:val="24"/>
        </w:rPr>
        <w:t>201</w:t>
      </w:r>
      <w:r w:rsidR="00DB38B6">
        <w:rPr>
          <w:rFonts w:cstheme="minorHAnsi"/>
          <w:sz w:val="24"/>
          <w:szCs w:val="24"/>
        </w:rPr>
        <w:t>7</w:t>
      </w:r>
      <w:r w:rsidRPr="00810A4B">
        <w:rPr>
          <w:rFonts w:cstheme="minorHAnsi"/>
          <w:sz w:val="24"/>
          <w:szCs w:val="24"/>
        </w:rPr>
        <w:t xml:space="preserve">. godine iznosi </w:t>
      </w:r>
      <w:r w:rsidR="00DB38B6">
        <w:rPr>
          <w:rFonts w:cstheme="minorHAnsi"/>
          <w:sz w:val="24"/>
          <w:szCs w:val="24"/>
        </w:rPr>
        <w:t>2.610</w:t>
      </w:r>
      <w:r w:rsidR="00A45F18">
        <w:rPr>
          <w:rFonts w:cstheme="minorHAnsi"/>
          <w:sz w:val="24"/>
          <w:szCs w:val="24"/>
        </w:rPr>
        <w:t>,</w:t>
      </w:r>
      <w:r w:rsidR="00DB38B6">
        <w:rPr>
          <w:rFonts w:cstheme="minorHAnsi"/>
          <w:sz w:val="24"/>
          <w:szCs w:val="24"/>
        </w:rPr>
        <w:t xml:space="preserve">27 </w:t>
      </w:r>
      <w:r w:rsidRPr="00810A4B">
        <w:rPr>
          <w:rFonts w:cstheme="minorHAnsi"/>
          <w:sz w:val="24"/>
          <w:szCs w:val="24"/>
        </w:rPr>
        <w:t xml:space="preserve">milijuna kuna i čini </w:t>
      </w:r>
      <w:r w:rsidR="00BE2A95">
        <w:rPr>
          <w:rFonts w:cstheme="minorHAnsi"/>
          <w:sz w:val="24"/>
          <w:szCs w:val="24"/>
        </w:rPr>
        <w:t>9</w:t>
      </w:r>
      <w:r w:rsidR="001014AC">
        <w:rPr>
          <w:rFonts w:cstheme="minorHAnsi"/>
          <w:sz w:val="24"/>
          <w:szCs w:val="24"/>
        </w:rPr>
        <w:t>,04 posto</w:t>
      </w:r>
      <w:r w:rsidRPr="00810A4B">
        <w:rPr>
          <w:rFonts w:cstheme="minorHAnsi"/>
          <w:sz w:val="24"/>
          <w:szCs w:val="24"/>
        </w:rPr>
        <w:t xml:space="preserve"> ukupne imovine te bilježi </w:t>
      </w:r>
      <w:r w:rsidR="00187D89">
        <w:rPr>
          <w:rFonts w:cstheme="minorHAnsi"/>
          <w:sz w:val="24"/>
          <w:szCs w:val="24"/>
        </w:rPr>
        <w:t>povećanje</w:t>
      </w:r>
      <w:r w:rsidRPr="00810A4B">
        <w:rPr>
          <w:rFonts w:cstheme="minorHAnsi"/>
          <w:sz w:val="24"/>
          <w:szCs w:val="24"/>
        </w:rPr>
        <w:t xml:space="preserve"> od </w:t>
      </w:r>
      <w:r w:rsidR="00BE2A95">
        <w:rPr>
          <w:rFonts w:cstheme="minorHAnsi"/>
          <w:sz w:val="24"/>
          <w:szCs w:val="24"/>
        </w:rPr>
        <w:t xml:space="preserve">407,28 posto </w:t>
      </w:r>
      <w:r w:rsidRPr="00810A4B">
        <w:rPr>
          <w:rFonts w:cstheme="minorHAnsi"/>
          <w:sz w:val="24"/>
          <w:szCs w:val="24"/>
        </w:rPr>
        <w:t>u odnosu na p</w:t>
      </w:r>
      <w:r w:rsidR="00BE2A95">
        <w:rPr>
          <w:rFonts w:cstheme="minorHAnsi"/>
          <w:sz w:val="24"/>
          <w:szCs w:val="24"/>
        </w:rPr>
        <w:t xml:space="preserve">očetak </w:t>
      </w:r>
      <w:r w:rsidRPr="00810A4B">
        <w:rPr>
          <w:rFonts w:cstheme="minorHAnsi"/>
          <w:sz w:val="24"/>
          <w:szCs w:val="24"/>
        </w:rPr>
        <w:t>godin</w:t>
      </w:r>
      <w:r w:rsidR="00BE2A95">
        <w:rPr>
          <w:rFonts w:cstheme="minorHAnsi"/>
          <w:sz w:val="24"/>
          <w:szCs w:val="24"/>
        </w:rPr>
        <w:t>e</w:t>
      </w:r>
      <w:r w:rsidR="00A45F18">
        <w:rPr>
          <w:rFonts w:cstheme="minorHAnsi"/>
          <w:sz w:val="24"/>
          <w:szCs w:val="24"/>
        </w:rPr>
        <w:t xml:space="preserve"> kao rezultat </w:t>
      </w:r>
      <w:r w:rsidR="00BE2A95">
        <w:rPr>
          <w:rFonts w:cstheme="minorHAnsi"/>
          <w:sz w:val="24"/>
          <w:szCs w:val="24"/>
        </w:rPr>
        <w:t xml:space="preserve">kumulacije sredstava potrebnih za otplatu zaduženja HBOR-a. </w:t>
      </w:r>
    </w:p>
    <w:p w:rsidR="00EF2D35" w:rsidRDefault="00AC5E5D" w:rsidP="00602844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Najznačajniji iznos otplate predstavlja jednokratno dospijeće obveznice HBOR-a izdan</w:t>
      </w:r>
      <w:r w:rsidR="003F2303">
        <w:rPr>
          <w:rFonts w:eastAsia="Times New Roman" w:cs="Calibri"/>
          <w:sz w:val="24"/>
          <w:szCs w:val="24"/>
          <w:lang w:eastAsia="hr-HR"/>
        </w:rPr>
        <w:t>e</w:t>
      </w:r>
      <w:r>
        <w:rPr>
          <w:rFonts w:eastAsia="Times New Roman" w:cs="Calibri"/>
          <w:sz w:val="24"/>
          <w:szCs w:val="24"/>
          <w:lang w:eastAsia="hr-HR"/>
        </w:rPr>
        <w:t xml:space="preserve"> na međunarodnom tržištu u nominalnom iznosu od 250,00 milijuna eura i pripadajuće kamate</w:t>
      </w:r>
      <w:r w:rsidR="003F2303">
        <w:rPr>
          <w:rFonts w:eastAsia="Times New Roman" w:cs="Calibri"/>
          <w:sz w:val="24"/>
          <w:szCs w:val="24"/>
          <w:lang w:eastAsia="hr-HR"/>
        </w:rPr>
        <w:t xml:space="preserve"> od 12,50 milijuna eura</w:t>
      </w:r>
      <w:r>
        <w:rPr>
          <w:rFonts w:eastAsia="Times New Roman" w:cs="Calibri"/>
          <w:sz w:val="24"/>
          <w:szCs w:val="24"/>
          <w:lang w:eastAsia="hr-HR"/>
        </w:rPr>
        <w:t>, koja dospijeva dana 14. lipnja 2017. godine.</w:t>
      </w:r>
    </w:p>
    <w:p w:rsidR="00AC5E5D" w:rsidRDefault="00AC5E5D" w:rsidP="00602844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801EB8" w:rsidRPr="00CA37C8" w:rsidRDefault="00801EB8" w:rsidP="00602844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422588" w:rsidRPr="00CA37C8" w:rsidRDefault="007E222A" w:rsidP="006B262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Krediti </w:t>
      </w:r>
      <w:r w:rsidR="00A80C70">
        <w:rPr>
          <w:rFonts w:eastAsia="Times New Roman" w:cs="Calibri"/>
          <w:b/>
          <w:i/>
          <w:sz w:val="24"/>
          <w:szCs w:val="24"/>
          <w:lang w:eastAsia="hr-HR"/>
        </w:rPr>
        <w:t>financijskim institucijama</w:t>
      </w:r>
      <w:r w:rsidR="00A80C70"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 </w:t>
      </w: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>i ostalim korisnicima</w:t>
      </w:r>
      <w:r>
        <w:rPr>
          <w:rFonts w:eastAsia="Times New Roman" w:cs="Calibri"/>
          <w:b/>
          <w:i/>
          <w:sz w:val="24"/>
          <w:szCs w:val="24"/>
          <w:lang w:eastAsia="hr-HR"/>
        </w:rPr>
        <w:t xml:space="preserve"> </w:t>
      </w:r>
    </w:p>
    <w:p w:rsidR="00B57DFA" w:rsidRDefault="00B57DFA" w:rsidP="00FF28FF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810A4B" w:rsidRPr="00810A4B" w:rsidRDefault="00BE2841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>U</w:t>
      </w:r>
      <w:r w:rsidR="00810A4B" w:rsidRPr="00810A4B">
        <w:rPr>
          <w:rFonts w:cstheme="minorHAnsi"/>
          <w:spacing w:val="-3"/>
          <w:sz w:val="24"/>
          <w:szCs w:val="24"/>
        </w:rPr>
        <w:t xml:space="preserve">kupni neto </w:t>
      </w:r>
      <w:r w:rsidR="00961DA1" w:rsidRPr="00810A4B">
        <w:rPr>
          <w:rFonts w:cstheme="minorHAnsi"/>
          <w:spacing w:val="-3"/>
          <w:sz w:val="24"/>
          <w:szCs w:val="24"/>
        </w:rPr>
        <w:t>krediti</w:t>
      </w:r>
      <w:r w:rsidR="00961DA1">
        <w:rPr>
          <w:rFonts w:cstheme="minorHAnsi"/>
          <w:spacing w:val="-3"/>
          <w:sz w:val="24"/>
          <w:szCs w:val="24"/>
        </w:rPr>
        <w:t xml:space="preserve"> </w:t>
      </w:r>
      <w:r w:rsidR="00810A4B" w:rsidRPr="00810A4B">
        <w:rPr>
          <w:rFonts w:cstheme="minorHAnsi"/>
          <w:spacing w:val="-3"/>
          <w:sz w:val="24"/>
          <w:szCs w:val="24"/>
        </w:rPr>
        <w:t xml:space="preserve"> na </w:t>
      </w:r>
      <w:r w:rsidR="00187D89">
        <w:rPr>
          <w:rFonts w:cstheme="minorHAnsi"/>
          <w:spacing w:val="-3"/>
          <w:sz w:val="24"/>
          <w:szCs w:val="24"/>
        </w:rPr>
        <w:t>dan 31.3.</w:t>
      </w:r>
      <w:r w:rsidR="00810A4B" w:rsidRPr="00810A4B">
        <w:rPr>
          <w:rFonts w:cstheme="minorHAnsi"/>
          <w:spacing w:val="-3"/>
          <w:sz w:val="24"/>
          <w:szCs w:val="24"/>
        </w:rPr>
        <w:t>201</w:t>
      </w:r>
      <w:r w:rsidR="003F2303">
        <w:rPr>
          <w:rFonts w:cstheme="minorHAnsi"/>
          <w:spacing w:val="-3"/>
          <w:sz w:val="24"/>
          <w:szCs w:val="24"/>
        </w:rPr>
        <w:t>7</w:t>
      </w:r>
      <w:r w:rsidR="00810A4B" w:rsidRPr="00810A4B">
        <w:rPr>
          <w:rFonts w:cstheme="minorHAnsi"/>
          <w:spacing w:val="-3"/>
          <w:sz w:val="24"/>
          <w:szCs w:val="24"/>
        </w:rPr>
        <w:t>. godine iznose 2</w:t>
      </w:r>
      <w:r w:rsidR="003F2303">
        <w:rPr>
          <w:rFonts w:cstheme="minorHAnsi"/>
          <w:spacing w:val="-3"/>
          <w:sz w:val="24"/>
          <w:szCs w:val="24"/>
        </w:rPr>
        <w:t>2</w:t>
      </w:r>
      <w:r w:rsidR="00810A4B" w:rsidRPr="00810A4B">
        <w:rPr>
          <w:rFonts w:cstheme="minorHAnsi"/>
          <w:spacing w:val="-3"/>
          <w:sz w:val="24"/>
          <w:szCs w:val="24"/>
        </w:rPr>
        <w:t>.</w:t>
      </w:r>
      <w:r w:rsidR="00961DA1">
        <w:rPr>
          <w:rFonts w:cstheme="minorHAnsi"/>
          <w:spacing w:val="-3"/>
          <w:sz w:val="24"/>
          <w:szCs w:val="24"/>
        </w:rPr>
        <w:t>7</w:t>
      </w:r>
      <w:r w:rsidR="003F2303">
        <w:rPr>
          <w:rFonts w:cstheme="minorHAnsi"/>
          <w:spacing w:val="-3"/>
          <w:sz w:val="24"/>
          <w:szCs w:val="24"/>
        </w:rPr>
        <w:t>50</w:t>
      </w:r>
      <w:r w:rsidR="00961DA1">
        <w:rPr>
          <w:rFonts w:cstheme="minorHAnsi"/>
          <w:spacing w:val="-3"/>
          <w:sz w:val="24"/>
          <w:szCs w:val="24"/>
        </w:rPr>
        <w:t>,</w:t>
      </w:r>
      <w:r w:rsidR="003F2303">
        <w:rPr>
          <w:rFonts w:cstheme="minorHAnsi"/>
          <w:spacing w:val="-3"/>
          <w:sz w:val="24"/>
          <w:szCs w:val="24"/>
        </w:rPr>
        <w:t>17</w:t>
      </w:r>
      <w:r w:rsidR="00810A4B" w:rsidRPr="00810A4B">
        <w:rPr>
          <w:rFonts w:cstheme="minorHAnsi"/>
          <w:spacing w:val="-3"/>
          <w:sz w:val="24"/>
          <w:szCs w:val="24"/>
        </w:rPr>
        <w:t xml:space="preserve"> milijuna kuna i čine </w:t>
      </w:r>
      <w:r w:rsidR="003F2303">
        <w:rPr>
          <w:rFonts w:cstheme="minorHAnsi"/>
          <w:spacing w:val="-3"/>
          <w:sz w:val="24"/>
          <w:szCs w:val="24"/>
        </w:rPr>
        <w:t>78,75 posto</w:t>
      </w:r>
      <w:r w:rsidR="00810A4B" w:rsidRPr="00810A4B">
        <w:rPr>
          <w:rFonts w:cstheme="minorHAnsi"/>
          <w:spacing w:val="-3"/>
          <w:sz w:val="24"/>
          <w:szCs w:val="24"/>
        </w:rPr>
        <w:t xml:space="preserve"> ukupne </w:t>
      </w:r>
      <w:r w:rsidR="00A5639F">
        <w:rPr>
          <w:rFonts w:cstheme="minorHAnsi"/>
          <w:spacing w:val="-3"/>
          <w:sz w:val="24"/>
          <w:szCs w:val="24"/>
        </w:rPr>
        <w:t>imovin</w:t>
      </w:r>
      <w:r w:rsidR="00A5639F" w:rsidRPr="00810A4B">
        <w:rPr>
          <w:rFonts w:cstheme="minorHAnsi"/>
          <w:spacing w:val="-3"/>
          <w:sz w:val="24"/>
          <w:szCs w:val="24"/>
        </w:rPr>
        <w:t>e</w:t>
      </w:r>
      <w:r w:rsidR="00157AA7">
        <w:rPr>
          <w:rFonts w:cstheme="minorHAnsi"/>
          <w:spacing w:val="-3"/>
          <w:sz w:val="24"/>
          <w:szCs w:val="24"/>
        </w:rPr>
        <w:t xml:space="preserve"> te su smanjeni za 2,78 posto u odnosu na početak godine</w:t>
      </w:r>
      <w:r w:rsidR="00810A4B" w:rsidRPr="00810A4B">
        <w:rPr>
          <w:rFonts w:cstheme="minorHAnsi"/>
          <w:spacing w:val="-3"/>
          <w:sz w:val="24"/>
          <w:szCs w:val="24"/>
        </w:rPr>
        <w:t xml:space="preserve">. </w:t>
      </w:r>
    </w:p>
    <w:p w:rsidR="00810A4B" w:rsidRDefault="00810A4B" w:rsidP="00810A4B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B70257" w:rsidRDefault="00810A4B" w:rsidP="00157AA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 w:rsidRPr="00810A4B">
        <w:rPr>
          <w:rFonts w:cstheme="minorHAnsi"/>
          <w:spacing w:val="-3"/>
          <w:sz w:val="24"/>
          <w:szCs w:val="24"/>
        </w:rPr>
        <w:t>Ukupni bruto krediti iskazani su u iznosu od 2</w:t>
      </w:r>
      <w:r w:rsidR="003F2303">
        <w:rPr>
          <w:rFonts w:cstheme="minorHAnsi"/>
          <w:spacing w:val="-3"/>
          <w:sz w:val="24"/>
          <w:szCs w:val="24"/>
        </w:rPr>
        <w:t>5</w:t>
      </w:r>
      <w:r w:rsidRPr="00810A4B">
        <w:rPr>
          <w:rFonts w:cstheme="minorHAnsi"/>
          <w:spacing w:val="-3"/>
          <w:sz w:val="24"/>
          <w:szCs w:val="24"/>
        </w:rPr>
        <w:t>.</w:t>
      </w:r>
      <w:r w:rsidR="003F2303">
        <w:rPr>
          <w:rFonts w:cstheme="minorHAnsi"/>
          <w:spacing w:val="-3"/>
          <w:sz w:val="24"/>
          <w:szCs w:val="24"/>
        </w:rPr>
        <w:t>729</w:t>
      </w:r>
      <w:r w:rsidR="00324D27">
        <w:rPr>
          <w:rFonts w:cstheme="minorHAnsi"/>
          <w:spacing w:val="-3"/>
          <w:sz w:val="24"/>
          <w:szCs w:val="24"/>
        </w:rPr>
        <w:t>,</w:t>
      </w:r>
      <w:r w:rsidR="003F2303">
        <w:rPr>
          <w:rFonts w:cstheme="minorHAnsi"/>
          <w:spacing w:val="-3"/>
          <w:sz w:val="24"/>
          <w:szCs w:val="24"/>
        </w:rPr>
        <w:t xml:space="preserve">69 </w:t>
      </w:r>
      <w:r w:rsidRPr="00810A4B">
        <w:rPr>
          <w:rFonts w:cstheme="minorHAnsi"/>
          <w:spacing w:val="-3"/>
          <w:sz w:val="24"/>
          <w:szCs w:val="24"/>
        </w:rPr>
        <w:t>milijuna kuna i bilježe</w:t>
      </w:r>
      <w:r w:rsidR="00157AA7">
        <w:rPr>
          <w:rFonts w:cstheme="minorHAnsi"/>
          <w:spacing w:val="-3"/>
          <w:sz w:val="24"/>
          <w:szCs w:val="24"/>
        </w:rPr>
        <w:t xml:space="preserve"> smanjenje od 2,33 posto u odnosu na početak godine</w:t>
      </w:r>
      <w:r w:rsidRPr="00810A4B">
        <w:rPr>
          <w:rFonts w:cstheme="minorHAnsi"/>
          <w:spacing w:val="-3"/>
          <w:sz w:val="24"/>
          <w:szCs w:val="24"/>
        </w:rPr>
        <w:t>.</w:t>
      </w:r>
      <w:r w:rsidR="00157AA7">
        <w:rPr>
          <w:rFonts w:eastAsia="Times New Roman" w:cs="Calibri"/>
          <w:sz w:val="24"/>
          <w:szCs w:val="24"/>
          <w:lang w:eastAsia="hr-HR"/>
        </w:rPr>
        <w:t xml:space="preserve"> Bruto krediti ostalim korisnicima ostvareni su na razini prethodne godine dok su bruto krediti financijskim institucijama smanjeni za </w:t>
      </w:r>
      <w:r w:rsidR="00EA5E7A">
        <w:rPr>
          <w:rFonts w:eastAsia="Times New Roman" w:cs="Calibri"/>
          <w:sz w:val="24"/>
          <w:szCs w:val="24"/>
          <w:lang w:eastAsia="hr-HR"/>
        </w:rPr>
        <w:t>4,58 posto,</w:t>
      </w:r>
    </w:p>
    <w:p w:rsidR="009A0571" w:rsidRPr="00C23C95" w:rsidRDefault="009A0571" w:rsidP="009A0571">
      <w:pPr>
        <w:spacing w:after="0" w:line="240" w:lineRule="auto"/>
        <w:jc w:val="both"/>
        <w:rPr>
          <w:rFonts w:eastAsia="Times New Roman" w:cs="Calibri"/>
          <w:sz w:val="24"/>
          <w:szCs w:val="24"/>
          <w:highlight w:val="yellow"/>
          <w:lang w:eastAsia="hr-HR"/>
        </w:rPr>
      </w:pPr>
    </w:p>
    <w:p w:rsidR="00A43BF0" w:rsidRDefault="003E5F5C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C23C95">
        <w:rPr>
          <w:rFonts w:cstheme="minorHAnsi"/>
          <w:spacing w:val="-3"/>
          <w:sz w:val="24"/>
          <w:szCs w:val="24"/>
        </w:rPr>
        <w:t>Zadržavanje bruto</w:t>
      </w:r>
      <w:r w:rsidR="00623C82" w:rsidRPr="00555F2D">
        <w:rPr>
          <w:rFonts w:cstheme="minorHAnsi"/>
          <w:spacing w:val="-3"/>
          <w:sz w:val="24"/>
          <w:szCs w:val="24"/>
        </w:rPr>
        <w:t xml:space="preserve"> </w:t>
      </w:r>
      <w:r w:rsidRPr="00C23C95">
        <w:rPr>
          <w:rFonts w:cstheme="minorHAnsi"/>
          <w:spacing w:val="-3"/>
          <w:sz w:val="24"/>
          <w:szCs w:val="24"/>
        </w:rPr>
        <w:t>kredita</w:t>
      </w:r>
      <w:r w:rsidR="00623C82" w:rsidRPr="00555F2D">
        <w:rPr>
          <w:rFonts w:cstheme="minorHAnsi"/>
          <w:spacing w:val="-3"/>
          <w:sz w:val="24"/>
          <w:szCs w:val="24"/>
        </w:rPr>
        <w:t xml:space="preserve"> ostalim korisnicima </w:t>
      </w:r>
      <w:r w:rsidRPr="00C23C95">
        <w:rPr>
          <w:rFonts w:cstheme="minorHAnsi"/>
          <w:spacing w:val="-3"/>
          <w:sz w:val="24"/>
          <w:szCs w:val="24"/>
        </w:rPr>
        <w:t>na razini s početka godine te smanjenje bruto kredita financijskim institucijama</w:t>
      </w:r>
      <w:r w:rsidR="00AB1A3C" w:rsidRPr="00C23C95">
        <w:rPr>
          <w:rFonts w:cstheme="minorHAnsi"/>
          <w:spacing w:val="-3"/>
          <w:sz w:val="24"/>
          <w:szCs w:val="24"/>
        </w:rPr>
        <w:t xml:space="preserve"> </w:t>
      </w:r>
      <w:r w:rsidR="00555F2D">
        <w:rPr>
          <w:rFonts w:cstheme="minorHAnsi"/>
          <w:spacing w:val="-3"/>
          <w:sz w:val="24"/>
          <w:szCs w:val="24"/>
        </w:rPr>
        <w:t>r</w:t>
      </w:r>
      <w:r w:rsidR="00AB1A3C" w:rsidRPr="00C23C95">
        <w:rPr>
          <w:rFonts w:cstheme="minorHAnsi"/>
          <w:spacing w:val="-3"/>
          <w:sz w:val="24"/>
          <w:szCs w:val="24"/>
        </w:rPr>
        <w:t xml:space="preserve">ezultat </w:t>
      </w:r>
      <w:r w:rsidR="00555F2D">
        <w:rPr>
          <w:rFonts w:cstheme="minorHAnsi"/>
          <w:spacing w:val="-3"/>
          <w:sz w:val="24"/>
          <w:szCs w:val="24"/>
        </w:rPr>
        <w:t>je značajnog</w:t>
      </w:r>
      <w:r w:rsidR="00AB1A3C" w:rsidRPr="00C23C95">
        <w:rPr>
          <w:rFonts w:cstheme="minorHAnsi"/>
          <w:spacing w:val="-3"/>
          <w:sz w:val="24"/>
          <w:szCs w:val="24"/>
        </w:rPr>
        <w:t xml:space="preserve"> iznosa prijevremenih naplata kredita, kao i </w:t>
      </w:r>
      <w:r w:rsidR="00CB54BF" w:rsidRPr="00555F2D">
        <w:rPr>
          <w:rFonts w:cstheme="minorHAnsi"/>
          <w:spacing w:val="-3"/>
          <w:sz w:val="24"/>
          <w:szCs w:val="24"/>
        </w:rPr>
        <w:t>prerasporeda rezerve likvidnosti</w:t>
      </w:r>
      <w:r w:rsidR="008D4255" w:rsidRPr="00555F2D">
        <w:rPr>
          <w:rFonts w:cstheme="minorHAnsi"/>
          <w:spacing w:val="-3"/>
          <w:sz w:val="24"/>
          <w:szCs w:val="24"/>
        </w:rPr>
        <w:t xml:space="preserve"> </w:t>
      </w:r>
      <w:r w:rsidR="00A43BF0" w:rsidRPr="00555F2D">
        <w:rPr>
          <w:rFonts w:cstheme="minorHAnsi"/>
          <w:spacing w:val="-3"/>
          <w:sz w:val="24"/>
          <w:szCs w:val="24"/>
        </w:rPr>
        <w:t>u druge financijske instrumente</w:t>
      </w:r>
      <w:r w:rsidR="008D4255" w:rsidRPr="00555F2D">
        <w:rPr>
          <w:rFonts w:cstheme="minorHAnsi"/>
          <w:spacing w:val="-3"/>
          <w:sz w:val="24"/>
          <w:szCs w:val="24"/>
        </w:rPr>
        <w:t>.</w:t>
      </w:r>
    </w:p>
    <w:p w:rsidR="008047C6" w:rsidRDefault="008047C6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AE785D" w:rsidRDefault="00AE785D">
      <w:pPr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422588" w:rsidRDefault="007E222A">
      <w:pPr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Imovina raspoloživa za prodaju</w:t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</w:p>
    <w:p w:rsidR="00C05CD0" w:rsidRPr="000746B4" w:rsidRDefault="00C05CD0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</w:p>
    <w:p w:rsidR="003358AA" w:rsidRDefault="00810A4B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3358AA" w:rsidSect="00F601D0">
          <w:footerReference w:type="default" r:id="rId3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0A4B">
        <w:rPr>
          <w:rFonts w:cstheme="minorHAnsi"/>
          <w:spacing w:val="-3"/>
          <w:sz w:val="24"/>
          <w:szCs w:val="24"/>
        </w:rPr>
        <w:t>Sredstva u okviru imovine raspoložive za prodaju čine najvećim dijelom sredstva rezerve likvidnosti</w:t>
      </w:r>
      <w:r w:rsidR="007162FD">
        <w:rPr>
          <w:rFonts w:cstheme="minorHAnsi"/>
          <w:spacing w:val="-3"/>
          <w:sz w:val="24"/>
          <w:szCs w:val="24"/>
        </w:rPr>
        <w:t xml:space="preserve"> slijedom čega</w:t>
      </w:r>
      <w:r w:rsidRPr="00810A4B">
        <w:rPr>
          <w:rFonts w:cstheme="minorHAnsi"/>
          <w:spacing w:val="-3"/>
          <w:sz w:val="24"/>
          <w:szCs w:val="24"/>
        </w:rPr>
        <w:t xml:space="preserve"> imovinu raspoloživu za prodaju čine prvenstveno dužnički</w:t>
      </w:r>
      <w:r w:rsidR="00A80C70">
        <w:rPr>
          <w:rFonts w:cstheme="minorHAnsi"/>
          <w:spacing w:val="-3"/>
          <w:sz w:val="24"/>
          <w:szCs w:val="24"/>
        </w:rPr>
        <w:t xml:space="preserve"> </w:t>
      </w:r>
      <w:r w:rsidR="007162FD">
        <w:rPr>
          <w:rFonts w:cstheme="minorHAnsi"/>
          <w:spacing w:val="-3"/>
          <w:sz w:val="24"/>
          <w:szCs w:val="24"/>
        </w:rPr>
        <w:t xml:space="preserve">vrijednosni papiri </w:t>
      </w:r>
      <w:r w:rsidR="00A80C70">
        <w:rPr>
          <w:rFonts w:cstheme="minorHAnsi"/>
          <w:spacing w:val="-3"/>
          <w:sz w:val="24"/>
          <w:szCs w:val="24"/>
        </w:rPr>
        <w:t>i</w:t>
      </w:r>
      <w:r w:rsidRPr="00810A4B">
        <w:rPr>
          <w:rFonts w:cstheme="minorHAnsi"/>
          <w:spacing w:val="-3"/>
          <w:sz w:val="24"/>
          <w:szCs w:val="24"/>
        </w:rPr>
        <w:t xml:space="preserve"> manjim dijelom</w:t>
      </w:r>
      <w:r w:rsidR="00A80C70">
        <w:rPr>
          <w:rFonts w:cstheme="minorHAnsi"/>
          <w:spacing w:val="-3"/>
          <w:sz w:val="24"/>
          <w:szCs w:val="24"/>
        </w:rPr>
        <w:t xml:space="preserve"> ulaganja u investicijske fondove i</w:t>
      </w:r>
      <w:r w:rsidRPr="00810A4B">
        <w:rPr>
          <w:rFonts w:cstheme="minorHAnsi"/>
          <w:spacing w:val="-3"/>
          <w:sz w:val="24"/>
          <w:szCs w:val="24"/>
        </w:rPr>
        <w:t xml:space="preserve"> vlasnički vrijednosni papiri. </w:t>
      </w:r>
    </w:p>
    <w:p w:rsidR="00786303" w:rsidRDefault="00786303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786303" w:rsidSect="003358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0A4B" w:rsidRPr="00810A4B" w:rsidRDefault="00810A4B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810A4B">
        <w:rPr>
          <w:rFonts w:cstheme="minorHAnsi"/>
          <w:spacing w:val="-3"/>
          <w:sz w:val="24"/>
          <w:szCs w:val="24"/>
        </w:rPr>
        <w:lastRenderedPageBreak/>
        <w:t xml:space="preserve">Ova stavka je iskazana u iznosu od </w:t>
      </w:r>
      <w:r w:rsidR="00CB54BF">
        <w:rPr>
          <w:rFonts w:cstheme="minorHAnsi"/>
          <w:spacing w:val="-3"/>
          <w:sz w:val="24"/>
          <w:szCs w:val="24"/>
        </w:rPr>
        <w:t>3</w:t>
      </w:r>
      <w:r w:rsidRPr="00810A4B">
        <w:rPr>
          <w:rFonts w:cstheme="minorHAnsi"/>
          <w:spacing w:val="-3"/>
          <w:sz w:val="24"/>
          <w:szCs w:val="24"/>
        </w:rPr>
        <w:t>.</w:t>
      </w:r>
      <w:r w:rsidR="009B3E8B">
        <w:rPr>
          <w:rFonts w:cstheme="minorHAnsi"/>
          <w:spacing w:val="-3"/>
          <w:sz w:val="24"/>
          <w:szCs w:val="24"/>
        </w:rPr>
        <w:t>412</w:t>
      </w:r>
      <w:r w:rsidR="00CB54BF">
        <w:rPr>
          <w:rFonts w:cstheme="minorHAnsi"/>
          <w:spacing w:val="-3"/>
          <w:sz w:val="24"/>
          <w:szCs w:val="24"/>
        </w:rPr>
        <w:t>,</w:t>
      </w:r>
      <w:r w:rsidR="009B3E8B">
        <w:rPr>
          <w:rFonts w:cstheme="minorHAnsi"/>
          <w:spacing w:val="-3"/>
          <w:sz w:val="24"/>
          <w:szCs w:val="24"/>
        </w:rPr>
        <w:t xml:space="preserve">80 </w:t>
      </w:r>
      <w:r w:rsidRPr="00810A4B">
        <w:rPr>
          <w:rFonts w:cstheme="minorHAnsi"/>
          <w:spacing w:val="-3"/>
          <w:sz w:val="24"/>
          <w:szCs w:val="24"/>
        </w:rPr>
        <w:t xml:space="preserve">milijuna kuna i bilježi rast od </w:t>
      </w:r>
      <w:r w:rsidR="009B3E8B">
        <w:rPr>
          <w:rFonts w:cstheme="minorHAnsi"/>
          <w:spacing w:val="-3"/>
          <w:sz w:val="24"/>
          <w:szCs w:val="24"/>
        </w:rPr>
        <w:t xml:space="preserve">2,07 posto </w:t>
      </w:r>
      <w:r w:rsidRPr="00810A4B">
        <w:rPr>
          <w:rFonts w:cstheme="minorHAnsi"/>
          <w:spacing w:val="-3"/>
          <w:sz w:val="24"/>
          <w:szCs w:val="24"/>
        </w:rPr>
        <w:t>u odnosu na početak godine</w:t>
      </w:r>
      <w:r w:rsidR="00783AEC">
        <w:rPr>
          <w:rFonts w:cstheme="minorHAnsi"/>
          <w:spacing w:val="-3"/>
          <w:sz w:val="24"/>
          <w:szCs w:val="24"/>
        </w:rPr>
        <w:t xml:space="preserve"> zbog</w:t>
      </w:r>
      <w:r w:rsidRPr="00810A4B">
        <w:rPr>
          <w:rFonts w:cstheme="minorHAnsi"/>
          <w:spacing w:val="-3"/>
          <w:sz w:val="24"/>
          <w:szCs w:val="24"/>
        </w:rPr>
        <w:t xml:space="preserve"> ulaganja raspoloživih sredstava </w:t>
      </w:r>
      <w:r w:rsidR="00C31F69">
        <w:rPr>
          <w:rFonts w:cstheme="minorHAnsi"/>
          <w:spacing w:val="-3"/>
          <w:sz w:val="24"/>
          <w:szCs w:val="24"/>
        </w:rPr>
        <w:t xml:space="preserve">u izvještajnom razdoblju </w:t>
      </w:r>
      <w:r w:rsidRPr="00810A4B">
        <w:rPr>
          <w:rFonts w:cstheme="minorHAnsi"/>
          <w:spacing w:val="-3"/>
          <w:sz w:val="24"/>
          <w:szCs w:val="24"/>
        </w:rPr>
        <w:t>u trezorske zapise</w:t>
      </w:r>
      <w:r w:rsidR="007429C3">
        <w:rPr>
          <w:rFonts w:cstheme="minorHAnsi"/>
          <w:spacing w:val="-3"/>
          <w:sz w:val="24"/>
          <w:szCs w:val="24"/>
        </w:rPr>
        <w:t xml:space="preserve"> Ministarstva financija</w:t>
      </w:r>
      <w:r w:rsidR="00597DCD">
        <w:rPr>
          <w:rFonts w:cstheme="minorHAnsi"/>
          <w:spacing w:val="-3"/>
          <w:sz w:val="24"/>
          <w:szCs w:val="24"/>
        </w:rPr>
        <w:t xml:space="preserve"> i</w:t>
      </w:r>
      <w:r w:rsidRPr="00810A4B">
        <w:rPr>
          <w:rFonts w:cstheme="minorHAnsi"/>
          <w:spacing w:val="-3"/>
          <w:sz w:val="24"/>
          <w:szCs w:val="24"/>
        </w:rPr>
        <w:t xml:space="preserve"> </w:t>
      </w:r>
      <w:r w:rsidR="00EE66A6" w:rsidRPr="00810A4B">
        <w:rPr>
          <w:rFonts w:cstheme="minorHAnsi"/>
          <w:spacing w:val="-3"/>
          <w:sz w:val="24"/>
          <w:szCs w:val="24"/>
        </w:rPr>
        <w:t>obveznice</w:t>
      </w:r>
      <w:r w:rsidR="00EE66A6">
        <w:rPr>
          <w:rFonts w:cstheme="minorHAnsi"/>
          <w:spacing w:val="-3"/>
          <w:sz w:val="24"/>
          <w:szCs w:val="24"/>
        </w:rPr>
        <w:t xml:space="preserve"> Republike Hrvatske </w:t>
      </w:r>
      <w:r w:rsidRPr="00810A4B">
        <w:rPr>
          <w:rFonts w:cstheme="minorHAnsi"/>
          <w:spacing w:val="-3"/>
          <w:sz w:val="24"/>
          <w:szCs w:val="24"/>
        </w:rPr>
        <w:t xml:space="preserve">kao </w:t>
      </w:r>
      <w:r w:rsidR="00EE66A6">
        <w:rPr>
          <w:rFonts w:cstheme="minorHAnsi"/>
          <w:spacing w:val="-3"/>
          <w:sz w:val="24"/>
          <w:szCs w:val="24"/>
        </w:rPr>
        <w:t xml:space="preserve">dio </w:t>
      </w:r>
      <w:r w:rsidRPr="00810A4B">
        <w:rPr>
          <w:rFonts w:cstheme="minorHAnsi"/>
          <w:spacing w:val="-3"/>
          <w:sz w:val="24"/>
          <w:szCs w:val="24"/>
        </w:rPr>
        <w:t>instrumenata rezerve likvidnosti.</w:t>
      </w:r>
    </w:p>
    <w:p w:rsidR="007B7548" w:rsidRDefault="007B7548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7429C3" w:rsidRDefault="007429C3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810A4B">
        <w:rPr>
          <w:rFonts w:cstheme="minorHAnsi"/>
          <w:spacing w:val="-3"/>
          <w:sz w:val="24"/>
          <w:szCs w:val="24"/>
        </w:rPr>
        <w:t xml:space="preserve">U </w:t>
      </w:r>
      <w:r w:rsidR="00EE66A6">
        <w:rPr>
          <w:rFonts w:cstheme="minorHAnsi"/>
          <w:spacing w:val="-3"/>
          <w:sz w:val="24"/>
          <w:szCs w:val="24"/>
        </w:rPr>
        <w:t>izvještajnom razdoblju</w:t>
      </w:r>
      <w:r w:rsidRPr="00810A4B">
        <w:rPr>
          <w:rFonts w:cstheme="minorHAnsi"/>
          <w:spacing w:val="-3"/>
          <w:sz w:val="24"/>
          <w:szCs w:val="24"/>
        </w:rPr>
        <w:t xml:space="preserve"> obavljeno je ulaganje u </w:t>
      </w:r>
      <w:r w:rsidR="00A66E01">
        <w:rPr>
          <w:rFonts w:cstheme="minorHAnsi"/>
          <w:spacing w:val="-3"/>
          <w:sz w:val="24"/>
          <w:szCs w:val="24"/>
        </w:rPr>
        <w:t>sljedeće instrumente imovine raspoložive za prodaju:</w:t>
      </w:r>
    </w:p>
    <w:p w:rsidR="00A66E01" w:rsidRPr="00810A4B" w:rsidRDefault="00A66E0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tbl>
      <w:tblPr>
        <w:tblW w:w="8857" w:type="dxa"/>
        <w:tblInd w:w="113" w:type="dxa"/>
        <w:tblLook w:val="04A0" w:firstRow="1" w:lastRow="0" w:firstColumn="1" w:lastColumn="0" w:noHBand="0" w:noVBand="1"/>
      </w:tblPr>
      <w:tblGrid>
        <w:gridCol w:w="6643"/>
        <w:gridCol w:w="2214"/>
      </w:tblGrid>
      <w:tr w:rsidR="00A66E01" w:rsidRPr="00A66E01" w:rsidTr="001C6D63">
        <w:trPr>
          <w:trHeight w:val="289"/>
        </w:trPr>
        <w:tc>
          <w:tcPr>
            <w:tcW w:w="6643" w:type="dxa"/>
            <w:tcBorders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A66E01" w:rsidRPr="00A66E01" w:rsidRDefault="00A66E01" w:rsidP="00A66E01">
            <w:pPr>
              <w:spacing w:after="0" w:line="240" w:lineRule="auto"/>
              <w:ind w:firstLineChars="100" w:firstLine="24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14" w:type="dxa"/>
            <w:tcBorders>
              <w:bottom w:val="single" w:sz="12" w:space="0" w:color="7F7F7F" w:themeColor="text1" w:themeTint="80"/>
            </w:tcBorders>
            <w:shd w:val="clear" w:color="auto" w:fill="auto"/>
            <w:noWrap/>
            <w:vAlign w:val="bottom"/>
          </w:tcPr>
          <w:p w:rsidR="00A66E01" w:rsidRPr="00A66E01" w:rsidRDefault="00A66E01" w:rsidP="00A66E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 milijunima kuna</w:t>
            </w:r>
          </w:p>
        </w:tc>
      </w:tr>
      <w:tr w:rsidR="00A66E01" w:rsidRPr="00A66E01" w:rsidTr="001C6D63">
        <w:trPr>
          <w:trHeight w:val="275"/>
        </w:trPr>
        <w:tc>
          <w:tcPr>
            <w:tcW w:w="664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A66E01" w:rsidRPr="00A66E01" w:rsidRDefault="00A66E01" w:rsidP="00A6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66E01">
              <w:rPr>
                <w:rFonts w:ascii="Calibri" w:eastAsia="Times New Roman" w:hAnsi="Calibri" w:cs="Times New Roman"/>
                <w:color w:val="000000"/>
                <w:lang w:eastAsia="hr-HR"/>
              </w:rPr>
              <w:t>Trezorski zapisi Ministarstva financija</w:t>
            </w:r>
          </w:p>
        </w:tc>
        <w:tc>
          <w:tcPr>
            <w:tcW w:w="22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A66E01" w:rsidRPr="001C6D63" w:rsidRDefault="00C31F69" w:rsidP="001637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657,00</w:t>
            </w:r>
          </w:p>
        </w:tc>
      </w:tr>
      <w:tr w:rsidR="00A66E01" w:rsidRPr="00A66E01" w:rsidTr="001C6D63">
        <w:trPr>
          <w:trHeight w:val="275"/>
        </w:trPr>
        <w:tc>
          <w:tcPr>
            <w:tcW w:w="664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A66E01" w:rsidRPr="00A66E01" w:rsidRDefault="00A66E01" w:rsidP="00A66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66E0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Obveznice Republike Hrvatske </w:t>
            </w:r>
          </w:p>
        </w:tc>
        <w:tc>
          <w:tcPr>
            <w:tcW w:w="22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A66E01" w:rsidRPr="001C6D63" w:rsidRDefault="00C31F69" w:rsidP="00A66E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hr-HR"/>
              </w:rPr>
              <w:t>79,67</w:t>
            </w:r>
          </w:p>
        </w:tc>
      </w:tr>
      <w:tr w:rsidR="00A66E01" w:rsidRPr="00A66E01" w:rsidTr="001C6D63">
        <w:trPr>
          <w:trHeight w:val="275"/>
        </w:trPr>
        <w:tc>
          <w:tcPr>
            <w:tcW w:w="664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A66E01" w:rsidRPr="001C6D63" w:rsidRDefault="00A66E01" w:rsidP="00A66E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C6D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 Ukupno</w:t>
            </w:r>
          </w:p>
        </w:tc>
        <w:tc>
          <w:tcPr>
            <w:tcW w:w="22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:rsidR="00A66E01" w:rsidRPr="00A66E01" w:rsidRDefault="00EE66A6" w:rsidP="00A66E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</w:t>
            </w:r>
            <w:r w:rsidR="00C31F6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36,67</w:t>
            </w:r>
          </w:p>
        </w:tc>
      </w:tr>
    </w:tbl>
    <w:p w:rsidR="001D613D" w:rsidRDefault="001D613D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1D613D" w:rsidRDefault="001D613D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E52BAC" w:rsidRDefault="00E52BAC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A66E01" w:rsidRDefault="00A66E01" w:rsidP="00810A4B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A66E01" w:rsidRDefault="00744109" w:rsidP="00F11426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drawing>
          <wp:inline distT="0" distB="0" distL="0" distR="0" wp14:anchorId="7663D734" wp14:editId="6DBF3AC8">
            <wp:extent cx="3000375" cy="2761924"/>
            <wp:effectExtent l="0" t="0" r="0" b="63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418" cy="2768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2BAC">
        <w:rPr>
          <w:rFonts w:cstheme="minorHAnsi"/>
          <w:spacing w:val="-3"/>
          <w:sz w:val="24"/>
          <w:szCs w:val="24"/>
        </w:rPr>
        <w:t xml:space="preserve">             </w:t>
      </w:r>
      <w:r>
        <w:rPr>
          <w:rFonts w:cstheme="minorHAnsi"/>
          <w:noProof/>
          <w:spacing w:val="-3"/>
          <w:sz w:val="24"/>
          <w:szCs w:val="24"/>
          <w:lang w:eastAsia="hr-HR"/>
        </w:rPr>
        <w:drawing>
          <wp:inline distT="0" distB="0" distL="0" distR="0" wp14:anchorId="7F0457B4" wp14:editId="5625CF97">
            <wp:extent cx="2924175" cy="2761615"/>
            <wp:effectExtent l="0" t="0" r="9525" b="63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2" cy="2768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BCC" w:rsidRDefault="00C41BCC" w:rsidP="001C6D63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</w:pPr>
    </w:p>
    <w:p w:rsidR="00C41BCC" w:rsidRDefault="00C41BCC" w:rsidP="001C6D63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</w:pPr>
    </w:p>
    <w:p w:rsidR="00C41BCC" w:rsidRDefault="00C41BCC" w:rsidP="001C6D63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</w:pPr>
    </w:p>
    <w:p w:rsidR="00C41BCC" w:rsidRDefault="00C41BCC" w:rsidP="001C6D63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  <w:sectPr w:rsidR="00C41BCC">
          <w:footerReference w:type="default" r:id="rId3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222A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6E19D4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lastRenderedPageBreak/>
        <w:t>Ukupne obveze</w:t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</w:p>
    <w:p w:rsidR="00422588" w:rsidRPr="006E19D4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810A4B" w:rsidRPr="00C6286A" w:rsidRDefault="00810A4B" w:rsidP="00602844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C6286A">
        <w:rPr>
          <w:rFonts w:cstheme="minorHAnsi"/>
          <w:spacing w:val="-3"/>
          <w:sz w:val="24"/>
          <w:szCs w:val="24"/>
        </w:rPr>
        <w:t xml:space="preserve">Stanje ukupnih obveza na </w:t>
      </w:r>
      <w:r w:rsidR="00582992">
        <w:rPr>
          <w:rFonts w:cstheme="minorHAnsi"/>
          <w:spacing w:val="-3"/>
          <w:sz w:val="24"/>
          <w:szCs w:val="24"/>
        </w:rPr>
        <w:t>dan 31.3.201</w:t>
      </w:r>
      <w:r w:rsidR="00C31F69">
        <w:rPr>
          <w:rFonts w:cstheme="minorHAnsi"/>
          <w:spacing w:val="-3"/>
          <w:sz w:val="24"/>
          <w:szCs w:val="24"/>
        </w:rPr>
        <w:t>7</w:t>
      </w:r>
      <w:r w:rsidR="00582992">
        <w:rPr>
          <w:rFonts w:cstheme="minorHAnsi"/>
          <w:spacing w:val="-3"/>
          <w:sz w:val="24"/>
          <w:szCs w:val="24"/>
        </w:rPr>
        <w:t>.</w:t>
      </w:r>
      <w:r w:rsidRPr="00C6286A">
        <w:rPr>
          <w:rFonts w:cstheme="minorHAnsi"/>
          <w:spacing w:val="-3"/>
          <w:sz w:val="24"/>
          <w:szCs w:val="24"/>
        </w:rPr>
        <w:t xml:space="preserve"> godine iznosi 1</w:t>
      </w:r>
      <w:r w:rsidR="00C31F69">
        <w:rPr>
          <w:rFonts w:cstheme="minorHAnsi"/>
          <w:spacing w:val="-3"/>
          <w:sz w:val="24"/>
          <w:szCs w:val="24"/>
        </w:rPr>
        <w:t>8</w:t>
      </w:r>
      <w:r w:rsidRPr="00C6286A">
        <w:rPr>
          <w:rFonts w:cstheme="minorHAnsi"/>
          <w:spacing w:val="-3"/>
          <w:sz w:val="24"/>
          <w:szCs w:val="24"/>
        </w:rPr>
        <w:t>.</w:t>
      </w:r>
      <w:r w:rsidR="00C31F69">
        <w:rPr>
          <w:rFonts w:cstheme="minorHAnsi"/>
          <w:spacing w:val="-3"/>
          <w:sz w:val="24"/>
          <w:szCs w:val="24"/>
        </w:rPr>
        <w:t>809,54</w:t>
      </w:r>
      <w:r w:rsidRPr="00C6286A">
        <w:rPr>
          <w:rFonts w:cstheme="minorHAnsi"/>
          <w:spacing w:val="-3"/>
          <w:sz w:val="24"/>
          <w:szCs w:val="24"/>
        </w:rPr>
        <w:t xml:space="preserve"> milijuna kuna i čini 6</w:t>
      </w:r>
      <w:r w:rsidR="00C31F69">
        <w:rPr>
          <w:rFonts w:cstheme="minorHAnsi"/>
          <w:spacing w:val="-3"/>
          <w:sz w:val="24"/>
          <w:szCs w:val="24"/>
        </w:rPr>
        <w:t>5,11 posto</w:t>
      </w:r>
      <w:r w:rsidRPr="00C6286A">
        <w:rPr>
          <w:rFonts w:cstheme="minorHAnsi"/>
          <w:spacing w:val="-3"/>
          <w:sz w:val="24"/>
          <w:szCs w:val="24"/>
        </w:rPr>
        <w:t xml:space="preserve"> ukupnih obveza i glavnice. Najveći iznos ukupnih obveza čine kreditna zaduženja HBOR-a u inozemstvu i obveze po izdanim obveznicama u ukupnom iznosu od 1</w:t>
      </w:r>
      <w:r w:rsidR="00C31F69">
        <w:rPr>
          <w:rFonts w:cstheme="minorHAnsi"/>
          <w:spacing w:val="-3"/>
          <w:sz w:val="24"/>
          <w:szCs w:val="24"/>
        </w:rPr>
        <w:t>7</w:t>
      </w:r>
      <w:r w:rsidRPr="00C6286A">
        <w:rPr>
          <w:rFonts w:cstheme="minorHAnsi"/>
          <w:spacing w:val="-3"/>
          <w:sz w:val="24"/>
          <w:szCs w:val="24"/>
        </w:rPr>
        <w:t>.</w:t>
      </w:r>
      <w:r w:rsidR="00C31F69">
        <w:rPr>
          <w:rFonts w:cstheme="minorHAnsi"/>
          <w:spacing w:val="-3"/>
          <w:sz w:val="24"/>
          <w:szCs w:val="24"/>
        </w:rPr>
        <w:t>891,67</w:t>
      </w:r>
      <w:r w:rsidRPr="00C6286A">
        <w:rPr>
          <w:rFonts w:cstheme="minorHAnsi"/>
          <w:spacing w:val="-3"/>
          <w:sz w:val="24"/>
          <w:szCs w:val="24"/>
        </w:rPr>
        <w:t xml:space="preserve"> milijuna kuna. </w:t>
      </w:r>
    </w:p>
    <w:p w:rsidR="00C6286A" w:rsidRDefault="00C6286A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810A4B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C6286A">
        <w:rPr>
          <w:rFonts w:cstheme="minorHAnsi"/>
          <w:spacing w:val="-3"/>
          <w:sz w:val="24"/>
          <w:szCs w:val="24"/>
        </w:rPr>
        <w:t xml:space="preserve">Obveze po kreditima i izdanim dugoročnim vrijednosnim papirima </w:t>
      </w:r>
      <w:r w:rsidR="001637D9">
        <w:rPr>
          <w:rFonts w:cstheme="minorHAnsi"/>
          <w:spacing w:val="-3"/>
          <w:sz w:val="24"/>
          <w:szCs w:val="24"/>
        </w:rPr>
        <w:t>povećane</w:t>
      </w:r>
      <w:r w:rsidRPr="00C6286A">
        <w:rPr>
          <w:rFonts w:cstheme="minorHAnsi"/>
          <w:spacing w:val="-3"/>
          <w:sz w:val="24"/>
          <w:szCs w:val="24"/>
        </w:rPr>
        <w:t xml:space="preserve"> su u odnosu na početak godine za </w:t>
      </w:r>
      <w:r w:rsidR="00C31F69">
        <w:rPr>
          <w:rFonts w:cstheme="minorHAnsi"/>
          <w:spacing w:val="-3"/>
          <w:sz w:val="24"/>
          <w:szCs w:val="24"/>
        </w:rPr>
        <w:t xml:space="preserve">8,45 posto </w:t>
      </w:r>
      <w:r w:rsidRPr="00C6286A">
        <w:rPr>
          <w:rFonts w:cstheme="minorHAnsi"/>
          <w:spacing w:val="-3"/>
          <w:sz w:val="24"/>
          <w:szCs w:val="24"/>
        </w:rPr>
        <w:t xml:space="preserve">radi </w:t>
      </w:r>
      <w:r w:rsidR="001637D9">
        <w:rPr>
          <w:rFonts w:cstheme="minorHAnsi"/>
          <w:spacing w:val="-3"/>
          <w:sz w:val="24"/>
          <w:szCs w:val="24"/>
        </w:rPr>
        <w:t>povlačenja sredstava z</w:t>
      </w:r>
      <w:r w:rsidRPr="00C6286A">
        <w:rPr>
          <w:rFonts w:cstheme="minorHAnsi"/>
          <w:spacing w:val="-3"/>
          <w:sz w:val="24"/>
          <w:szCs w:val="24"/>
        </w:rPr>
        <w:t>aduženja.</w:t>
      </w:r>
      <w:r w:rsidRPr="00C6286A" w:rsidDel="00246DC5">
        <w:rPr>
          <w:rFonts w:cstheme="minorHAnsi"/>
          <w:spacing w:val="-3"/>
          <w:sz w:val="24"/>
          <w:szCs w:val="24"/>
        </w:rPr>
        <w:t xml:space="preserve"> </w:t>
      </w:r>
    </w:p>
    <w:p w:rsidR="00C41BCC" w:rsidRDefault="00C41BCC" w:rsidP="005D453B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1637D9" w:rsidRPr="00CB75CB" w:rsidRDefault="001637D9" w:rsidP="005D453B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B75CB">
        <w:rPr>
          <w:rFonts w:ascii="Calibri" w:eastAsia="Times New Roman" w:hAnsi="Calibri" w:cs="Calibri"/>
          <w:sz w:val="24"/>
          <w:szCs w:val="24"/>
          <w:lang w:eastAsia="hr-HR"/>
        </w:rPr>
        <w:t xml:space="preserve">U izvještajnom razdoblju, HBOR je dana </w:t>
      </w:r>
      <w:r w:rsidR="00847298" w:rsidRPr="00CB75CB">
        <w:rPr>
          <w:rFonts w:ascii="Calibri" w:eastAsia="Times New Roman" w:hAnsi="Calibri" w:cs="Calibri"/>
          <w:sz w:val="24"/>
          <w:szCs w:val="24"/>
          <w:lang w:eastAsia="hr-HR"/>
        </w:rPr>
        <w:t>24</w:t>
      </w:r>
      <w:r w:rsidRPr="00CB75CB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="00847298" w:rsidRPr="00CB75CB">
        <w:rPr>
          <w:rFonts w:ascii="Calibri" w:eastAsia="Times New Roman" w:hAnsi="Calibri" w:cs="Calibri"/>
          <w:sz w:val="24"/>
          <w:szCs w:val="24"/>
          <w:lang w:eastAsia="hr-HR"/>
        </w:rPr>
        <w:t>ožujka</w:t>
      </w:r>
      <w:r w:rsidRPr="00CB75CB">
        <w:rPr>
          <w:rFonts w:ascii="Calibri" w:eastAsia="Times New Roman" w:hAnsi="Calibri" w:cs="Calibri"/>
          <w:sz w:val="24"/>
          <w:szCs w:val="24"/>
          <w:lang w:eastAsia="hr-HR"/>
        </w:rPr>
        <w:t xml:space="preserve"> 201</w:t>
      </w:r>
      <w:r w:rsidR="00847298" w:rsidRPr="00CB75CB">
        <w:rPr>
          <w:rFonts w:ascii="Calibri" w:eastAsia="Times New Roman" w:hAnsi="Calibri" w:cs="Calibri"/>
          <w:sz w:val="24"/>
          <w:szCs w:val="24"/>
          <w:lang w:eastAsia="hr-HR"/>
        </w:rPr>
        <w:t>7</w:t>
      </w:r>
      <w:r w:rsidRPr="00CB75CB">
        <w:rPr>
          <w:rFonts w:ascii="Calibri" w:eastAsia="Times New Roman" w:hAnsi="Calibri" w:cs="Calibri"/>
          <w:sz w:val="24"/>
          <w:szCs w:val="24"/>
          <w:lang w:eastAsia="hr-HR"/>
        </w:rPr>
        <w:t xml:space="preserve">. godine zaključio ugovor o kreditu s Europskom investicijskom bankom u iznosu od </w:t>
      </w:r>
      <w:r w:rsidR="00E86735" w:rsidRPr="00CB75CB">
        <w:rPr>
          <w:rFonts w:ascii="Calibri" w:eastAsia="Times New Roman" w:hAnsi="Calibri" w:cs="Calibri"/>
          <w:sz w:val="24"/>
          <w:szCs w:val="24"/>
          <w:lang w:eastAsia="hr-HR"/>
        </w:rPr>
        <w:t>44,00</w:t>
      </w:r>
      <w:r w:rsidRPr="00CB75CB">
        <w:rPr>
          <w:rFonts w:ascii="Calibri" w:eastAsia="Times New Roman" w:hAnsi="Calibri" w:cs="Calibri"/>
          <w:sz w:val="24"/>
          <w:szCs w:val="24"/>
          <w:lang w:eastAsia="hr-HR"/>
        </w:rPr>
        <w:t xml:space="preserve"> milijuna eura</w:t>
      </w:r>
      <w:r w:rsidR="00E86735" w:rsidRPr="00CB75CB">
        <w:rPr>
          <w:rFonts w:ascii="Calibri" w:eastAsia="Times New Roman" w:hAnsi="Calibri" w:cs="Calibri"/>
          <w:sz w:val="24"/>
          <w:szCs w:val="24"/>
          <w:lang w:eastAsia="hr-HR"/>
        </w:rPr>
        <w:t xml:space="preserve"> za financiranje </w:t>
      </w:r>
      <w:r w:rsidR="00CB75CB" w:rsidRPr="00C23C95">
        <w:rPr>
          <w:sz w:val="24"/>
          <w:szCs w:val="24"/>
        </w:rPr>
        <w:t>razvojnog turističkog projekta</w:t>
      </w:r>
      <w:r w:rsidRPr="00CB75CB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</w:p>
    <w:p w:rsidR="005D453B" w:rsidRPr="00CB75CB" w:rsidRDefault="005D453B" w:rsidP="005D453B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86735" w:rsidRDefault="00E86735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7E222A" w:rsidRDefault="007E222A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6E19D4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Glavnica </w:t>
      </w:r>
    </w:p>
    <w:p w:rsidR="00422588" w:rsidRPr="006E19D4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:rsidR="00514881" w:rsidRPr="00801EB8" w:rsidRDefault="00514881" w:rsidP="00514881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 w:rsidRPr="00514881">
        <w:rPr>
          <w:rFonts w:eastAsia="Times New Roman" w:cs="Calibri"/>
          <w:spacing w:val="-3"/>
          <w:sz w:val="24"/>
          <w:szCs w:val="24"/>
          <w:lang w:eastAsia="hr-HR"/>
        </w:rPr>
        <w:t xml:space="preserve">Od ukupnog iznosa ukupnih obveza i glavnice na glavnicu se odnosi </w:t>
      </w:r>
      <w:r w:rsidR="00E86735">
        <w:rPr>
          <w:rFonts w:eastAsia="Times New Roman" w:cs="Calibri"/>
          <w:spacing w:val="-3"/>
          <w:sz w:val="24"/>
          <w:szCs w:val="24"/>
          <w:lang w:eastAsia="hr-HR"/>
        </w:rPr>
        <w:t>10</w:t>
      </w:r>
      <w:r w:rsidRPr="00514881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E86735">
        <w:rPr>
          <w:rFonts w:eastAsia="Times New Roman" w:cs="Calibri"/>
          <w:spacing w:val="-3"/>
          <w:sz w:val="24"/>
          <w:szCs w:val="24"/>
          <w:lang w:eastAsia="hr-HR"/>
        </w:rPr>
        <w:t>079,38</w:t>
      </w:r>
      <w:r w:rsidRPr="00514881">
        <w:rPr>
          <w:rFonts w:eastAsia="Times New Roman" w:cs="Calibri"/>
          <w:spacing w:val="-3"/>
          <w:sz w:val="24"/>
          <w:szCs w:val="24"/>
          <w:lang w:eastAsia="hr-HR"/>
        </w:rPr>
        <w:t xml:space="preserve"> milijuna kuna ili 3</w:t>
      </w:r>
      <w:r w:rsidR="00E86735">
        <w:rPr>
          <w:rFonts w:eastAsia="Times New Roman" w:cs="Calibri"/>
          <w:spacing w:val="-3"/>
          <w:sz w:val="24"/>
          <w:szCs w:val="24"/>
          <w:lang w:eastAsia="hr-HR"/>
        </w:rPr>
        <w:t>4,89 posto</w:t>
      </w:r>
      <w:r w:rsidRPr="00704716">
        <w:rPr>
          <w:rFonts w:eastAsia="Times New Roman" w:cs="Calibri"/>
          <w:spacing w:val="-3"/>
          <w:sz w:val="24"/>
          <w:szCs w:val="24"/>
          <w:lang w:eastAsia="hr-HR"/>
        </w:rPr>
        <w:t>.</w:t>
      </w:r>
    </w:p>
    <w:p w:rsidR="00514881" w:rsidRPr="00514881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514881">
        <w:rPr>
          <w:rFonts w:cstheme="minorHAnsi"/>
          <w:spacing w:val="-3"/>
          <w:sz w:val="24"/>
          <w:szCs w:val="24"/>
        </w:rPr>
        <w:t xml:space="preserve">Ukupnu glavnicu HBOR-a čine kapital i garantni fond. </w:t>
      </w:r>
      <w:r w:rsidR="008F69C5">
        <w:rPr>
          <w:rFonts w:cstheme="minorHAnsi"/>
          <w:spacing w:val="-3"/>
          <w:sz w:val="24"/>
          <w:szCs w:val="24"/>
        </w:rPr>
        <w:t>Ka</w:t>
      </w:r>
      <w:r w:rsidRPr="00514881">
        <w:rPr>
          <w:rFonts w:cstheme="minorHAnsi"/>
          <w:spacing w:val="-3"/>
          <w:sz w:val="24"/>
          <w:szCs w:val="24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:rsidR="00514881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:rsidR="002D5848" w:rsidRDefault="001637D9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spacing w:val="-3"/>
          <w:sz w:val="24"/>
          <w:szCs w:val="24"/>
        </w:rPr>
        <w:tab/>
      </w:r>
      <w:r>
        <w:rPr>
          <w:rFonts w:cstheme="minorHAnsi"/>
          <w:noProof/>
          <w:sz w:val="24"/>
          <w:szCs w:val="24"/>
          <w:lang w:eastAsia="hr-HR"/>
        </w:rPr>
        <w:t>Ukupno uplaćeni kapital iz proračuna Republike Hrvatske iznosi 6.5</w:t>
      </w:r>
      <w:r w:rsidR="00E86735">
        <w:rPr>
          <w:rFonts w:cstheme="minorHAnsi"/>
          <w:noProof/>
          <w:sz w:val="24"/>
          <w:szCs w:val="24"/>
          <w:lang w:eastAsia="hr-HR"/>
        </w:rPr>
        <w:t>33</w:t>
      </w:r>
      <w:r>
        <w:rPr>
          <w:rFonts w:cstheme="minorHAnsi"/>
          <w:noProof/>
          <w:sz w:val="24"/>
          <w:szCs w:val="24"/>
          <w:lang w:eastAsia="hr-HR"/>
        </w:rPr>
        <w:t>,</w:t>
      </w:r>
      <w:r w:rsidR="00CB75CB">
        <w:rPr>
          <w:rFonts w:cstheme="minorHAnsi"/>
          <w:noProof/>
          <w:sz w:val="24"/>
          <w:szCs w:val="24"/>
          <w:lang w:eastAsia="hr-HR"/>
        </w:rPr>
        <w:t>0</w:t>
      </w:r>
      <w:r>
        <w:rPr>
          <w:rFonts w:cstheme="minorHAnsi"/>
          <w:noProof/>
          <w:sz w:val="24"/>
          <w:szCs w:val="24"/>
          <w:lang w:eastAsia="hr-HR"/>
        </w:rPr>
        <w:t>0 milijuna kuna te za uplatu do Zakonom o HBOR-u propisanog iznosa od 7.000,0</w:t>
      </w:r>
      <w:r w:rsidR="00CB75CB">
        <w:rPr>
          <w:rFonts w:cstheme="minorHAnsi"/>
          <w:noProof/>
          <w:sz w:val="24"/>
          <w:szCs w:val="24"/>
          <w:lang w:eastAsia="hr-HR"/>
        </w:rPr>
        <w:t>0</w:t>
      </w:r>
      <w:r>
        <w:rPr>
          <w:rFonts w:cstheme="minorHAnsi"/>
          <w:noProof/>
          <w:sz w:val="24"/>
          <w:szCs w:val="24"/>
          <w:lang w:eastAsia="hr-HR"/>
        </w:rPr>
        <w:t xml:space="preserve"> milijuna kuna preostaje </w:t>
      </w:r>
      <w:r w:rsidR="00CB75CB">
        <w:rPr>
          <w:rFonts w:cstheme="minorHAnsi"/>
          <w:noProof/>
          <w:sz w:val="24"/>
          <w:szCs w:val="24"/>
          <w:lang w:eastAsia="hr-HR"/>
        </w:rPr>
        <w:t>467,00</w:t>
      </w:r>
      <w:r>
        <w:rPr>
          <w:rFonts w:cstheme="minorHAnsi"/>
          <w:noProof/>
          <w:sz w:val="24"/>
          <w:szCs w:val="24"/>
          <w:lang w:eastAsia="hr-HR"/>
        </w:rPr>
        <w:t xml:space="preserve"> milijuna kuna.</w:t>
      </w:r>
    </w:p>
    <w:p w:rsidR="00F11426" w:rsidRDefault="00F11426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F11426" w:rsidSect="00F11426">
          <w:footerReference w:type="default" r:id="rId40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:rsidR="00714F1D" w:rsidRDefault="00714F1D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</w:pPr>
    </w:p>
    <w:p w:rsidR="00F11426" w:rsidRDefault="00F11426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</w:pPr>
    </w:p>
    <w:p w:rsidR="007D0E13" w:rsidRDefault="00B865F9" w:rsidP="00F11426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 </w:t>
      </w:r>
      <w:r w:rsidR="00C744B9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017D9ADF" wp14:editId="129390B5">
            <wp:extent cx="3112874" cy="3321566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92" cy="3327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  <w:lang w:eastAsia="hr-HR"/>
        </w:rPr>
        <w:t xml:space="preserve">   </w:t>
      </w:r>
      <w:r w:rsidR="00C744B9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31B64F8F" wp14:editId="0AA7E1A7">
            <wp:extent cx="3068964" cy="3325495"/>
            <wp:effectExtent l="0" t="0" r="0" b="825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17" cy="3329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BCC" w:rsidRDefault="00714F1D" w:rsidP="001C6D63">
      <w:pPr>
        <w:tabs>
          <w:tab w:val="left" w:pos="-720"/>
        </w:tabs>
        <w:suppressAutoHyphens/>
        <w:spacing w:after="0" w:line="240" w:lineRule="auto"/>
        <w:ind w:right="-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B57E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B57ECC">
        <w:rPr>
          <w:rFonts w:cstheme="minorHAnsi"/>
          <w:sz w:val="24"/>
          <w:szCs w:val="24"/>
        </w:rPr>
        <w:t xml:space="preserve"> </w:t>
      </w:r>
    </w:p>
    <w:p w:rsidR="00B57ECC" w:rsidRDefault="00B57ECC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5848" w:rsidRDefault="002D5848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D5848" w:rsidRDefault="00D87260" w:rsidP="00F11426">
      <w:pPr>
        <w:tabs>
          <w:tab w:val="left" w:pos="-720"/>
        </w:tabs>
        <w:suppressAutoHyphens/>
        <w:spacing w:after="0" w:line="240" w:lineRule="auto"/>
        <w:ind w:left="-284" w:right="-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262B011C" wp14:editId="671B806E">
            <wp:extent cx="2871470" cy="3133725"/>
            <wp:effectExtent l="0" t="0" r="508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65F9">
        <w:rPr>
          <w:rFonts w:cstheme="minorHAnsi"/>
          <w:sz w:val="24"/>
          <w:szCs w:val="24"/>
        </w:rPr>
        <w:t xml:space="preserve">   </w:t>
      </w:r>
      <w:r w:rsidR="0076141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94B60EA" wp14:editId="6456089A">
            <wp:extent cx="2865120" cy="31337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65F9">
        <w:rPr>
          <w:rFonts w:cstheme="minorHAnsi"/>
          <w:sz w:val="24"/>
          <w:szCs w:val="24"/>
        </w:rPr>
        <w:t xml:space="preserve">   </w:t>
      </w:r>
    </w:p>
    <w:p w:rsidR="00714F1D" w:rsidRDefault="00714F1D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2D5848" w:rsidRPr="001C6D63" w:rsidRDefault="002D584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</w:pPr>
      <w:r w:rsidRPr="001C6D63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*Ulaganja u ovisna društva, Nekretnine, postrojenja i oprema i nematerijalna imovina, Dugotrajna imovina namijenjena prodaji i Ostala imovina.</w:t>
      </w:r>
    </w:p>
    <w:p w:rsidR="002D5848" w:rsidRDefault="002D5848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:rsidR="00BF7262" w:rsidRDefault="00BF7262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:rsidR="009E53C8" w:rsidRDefault="009E53C8" w:rsidP="00C23C95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sectPr w:rsidR="009E53C8" w:rsidSect="007B5D75">
      <w:footerReference w:type="default" r:id="rId4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75" w:rsidRDefault="00152275" w:rsidP="00AE35D1">
      <w:pPr>
        <w:spacing w:after="0" w:line="240" w:lineRule="auto"/>
      </w:pPr>
      <w:r>
        <w:separator/>
      </w:r>
    </w:p>
  </w:endnote>
  <w:endnote w:type="continuationSeparator" w:id="0">
    <w:p w:rsidR="00152275" w:rsidRDefault="00152275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290697" w:rsidRDefault="00811935">
    <w:pPr>
      <w:pStyle w:val="Footer"/>
      <w:jc w:val="center"/>
      <w:rPr>
        <w:sz w:val="18"/>
        <w:szCs w:val="18"/>
      </w:rPr>
    </w:pPr>
  </w:p>
  <w:p w:rsidR="00811935" w:rsidRPr="000E7285" w:rsidRDefault="00811935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:rsidR="00811935" w:rsidRDefault="00811935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2C64CB" w:rsidRDefault="00811935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Arial"/>
        <w:sz w:val="19"/>
        <w:szCs w:val="19"/>
      </w:rPr>
    </w:pPr>
    <w:r>
      <w:rPr>
        <w:rFonts w:eastAsia="Times New Roman" w:cs="Arial"/>
        <w:sz w:val="19"/>
        <w:szCs w:val="19"/>
      </w:rPr>
      <w:t>1</w:t>
    </w:r>
    <w:r w:rsidR="003358AA">
      <w:rPr>
        <w:rFonts w:eastAsia="Times New Roman" w:cs="Arial"/>
        <w:sz w:val="19"/>
        <w:szCs w:val="19"/>
      </w:rPr>
      <w:t>0</w:t>
    </w:r>
    <w:r w:rsidRPr="000E7285">
      <w:rPr>
        <w:rFonts w:eastAsia="Times New Roman" w:cs="Arial"/>
        <w:sz w:val="19"/>
        <w:szCs w:val="19"/>
      </w:rPr>
      <w:t xml:space="preserve">  Hrvatska banka za obnovu i razvitak</w:t>
    </w:r>
  </w:p>
  <w:p w:rsidR="00811935" w:rsidRDefault="00811935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0E7285" w:rsidRDefault="003358AA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FD4BAE">
      <w:rPr>
        <w:rFonts w:eastAsia="Times New Roman" w:cs="Arial"/>
        <w:sz w:val="19"/>
        <w:szCs w:val="19"/>
      </w:rPr>
      <w:t>1</w:t>
    </w:r>
    <w:r w:rsidR="00811935" w:rsidRPr="000E7285">
      <w:rPr>
        <w:rFonts w:eastAsia="Times New Roman" w:cs="Arial"/>
        <w:sz w:val="19"/>
        <w:szCs w:val="19"/>
      </w:rPr>
      <w:t xml:space="preserve">   Hrvatska banka za obnovu i razvitak</w:t>
    </w:r>
  </w:p>
  <w:p w:rsidR="00811935" w:rsidRDefault="00811935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D0" w:rsidRPr="000E7285" w:rsidRDefault="00F601D0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12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:rsidR="00F601D0" w:rsidRDefault="00F601D0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0E7285" w:rsidRDefault="00811935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3358AA">
      <w:rPr>
        <w:rFonts w:eastAsia="Times New Roman" w:cs="Arial"/>
        <w:sz w:val="19"/>
        <w:szCs w:val="19"/>
      </w:rPr>
      <w:t>3</w:t>
    </w:r>
    <w:r w:rsidRPr="000E7285">
      <w:rPr>
        <w:rFonts w:eastAsia="Times New Roman" w:cs="Arial"/>
        <w:sz w:val="19"/>
        <w:szCs w:val="19"/>
      </w:rPr>
      <w:t xml:space="preserve">  Hrvatska banka za obnovu i razvitak</w:t>
    </w:r>
  </w:p>
  <w:p w:rsidR="00811935" w:rsidRDefault="00811935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0E7285" w:rsidRDefault="00811935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3358AA"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:rsidR="00811935" w:rsidRDefault="00811935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1D0" w:rsidRPr="002C64CB" w:rsidRDefault="00F601D0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Arial"/>
        <w:sz w:val="19"/>
        <w:szCs w:val="19"/>
      </w:rPr>
    </w:pPr>
    <w:r>
      <w:rPr>
        <w:rFonts w:eastAsia="Times New Roman" w:cs="Arial"/>
        <w:sz w:val="19"/>
        <w:szCs w:val="19"/>
      </w:rPr>
      <w:t>15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:rsidR="00F601D0" w:rsidRDefault="00F601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0E7285" w:rsidRDefault="00811935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2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:rsidR="00811935" w:rsidRDefault="00811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290697" w:rsidRDefault="00811935">
    <w:pPr>
      <w:pStyle w:val="Footer"/>
      <w:jc w:val="center"/>
      <w:rPr>
        <w:sz w:val="18"/>
        <w:szCs w:val="18"/>
      </w:rPr>
    </w:pPr>
  </w:p>
  <w:p w:rsidR="00811935" w:rsidRPr="000E7285" w:rsidRDefault="00811935" w:rsidP="00B3708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:rsidR="00811935" w:rsidRDefault="0081193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0E7285" w:rsidRDefault="003358AA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3</w:t>
    </w:r>
    <w:r w:rsidR="00811935" w:rsidRPr="000E7285">
      <w:rPr>
        <w:rFonts w:eastAsia="Times New Roman" w:cs="Arial"/>
        <w:sz w:val="19"/>
        <w:szCs w:val="19"/>
      </w:rPr>
      <w:t xml:space="preserve">  Hrvatska banka za obnovu i razvitak</w:t>
    </w:r>
  </w:p>
  <w:p w:rsidR="00811935" w:rsidRDefault="0081193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0E7285" w:rsidRDefault="003358AA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5</w:t>
    </w:r>
    <w:r w:rsidR="00811935" w:rsidRPr="000E7285">
      <w:rPr>
        <w:rFonts w:eastAsia="Times New Roman" w:cs="Arial"/>
        <w:sz w:val="19"/>
        <w:szCs w:val="19"/>
      </w:rPr>
      <w:t xml:space="preserve"> Hrvatska banka za obnovu i razvitak</w:t>
    </w:r>
  </w:p>
  <w:p w:rsidR="00811935" w:rsidRDefault="0081193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0E7285" w:rsidRDefault="00811935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6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:rsidR="00811935" w:rsidRDefault="0081193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0E7285" w:rsidRDefault="003358AA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7</w:t>
    </w:r>
    <w:r w:rsidR="00811935" w:rsidRPr="000E7285">
      <w:rPr>
        <w:rFonts w:eastAsia="Times New Roman" w:cs="Arial"/>
        <w:sz w:val="19"/>
        <w:szCs w:val="19"/>
      </w:rPr>
      <w:t xml:space="preserve">  Hrvatska banka za obnovu i razvitak</w:t>
    </w:r>
  </w:p>
  <w:p w:rsidR="00811935" w:rsidRDefault="0081193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0E7285" w:rsidRDefault="003358AA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8</w:t>
    </w:r>
    <w:r w:rsidR="00811935" w:rsidRPr="000E7285">
      <w:rPr>
        <w:rFonts w:eastAsia="Times New Roman" w:cs="Arial"/>
        <w:sz w:val="19"/>
        <w:szCs w:val="19"/>
      </w:rPr>
      <w:t xml:space="preserve">   Hrvatska banka za obnovu i razvitak</w:t>
    </w:r>
  </w:p>
  <w:p w:rsidR="00811935" w:rsidRDefault="00811935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35" w:rsidRPr="000E7285" w:rsidRDefault="003358AA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9</w:t>
    </w:r>
    <w:r w:rsidR="00811935" w:rsidRPr="000E7285">
      <w:rPr>
        <w:rFonts w:eastAsia="Times New Roman" w:cs="Arial"/>
        <w:sz w:val="19"/>
        <w:szCs w:val="19"/>
      </w:rPr>
      <w:t xml:space="preserve">   Hrvatska banka za obnovu i razvitak</w:t>
    </w:r>
  </w:p>
  <w:p w:rsidR="00811935" w:rsidRDefault="00811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75" w:rsidRDefault="00152275" w:rsidP="00AE35D1">
      <w:pPr>
        <w:spacing w:after="0" w:line="240" w:lineRule="auto"/>
      </w:pPr>
      <w:r>
        <w:separator/>
      </w:r>
    </w:p>
  </w:footnote>
  <w:footnote w:type="continuationSeparator" w:id="0">
    <w:p w:rsidR="00152275" w:rsidRDefault="00152275" w:rsidP="00AE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1146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8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1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2A"/>
    <w:rsid w:val="00006EF5"/>
    <w:rsid w:val="0001410A"/>
    <w:rsid w:val="00015A3C"/>
    <w:rsid w:val="000241D5"/>
    <w:rsid w:val="000244BE"/>
    <w:rsid w:val="00035E8F"/>
    <w:rsid w:val="00035EEC"/>
    <w:rsid w:val="00041D20"/>
    <w:rsid w:val="0004513C"/>
    <w:rsid w:val="000454B4"/>
    <w:rsid w:val="0005277D"/>
    <w:rsid w:val="000617E0"/>
    <w:rsid w:val="00067D16"/>
    <w:rsid w:val="00072C81"/>
    <w:rsid w:val="000743E9"/>
    <w:rsid w:val="00075515"/>
    <w:rsid w:val="000800B5"/>
    <w:rsid w:val="00085E8C"/>
    <w:rsid w:val="00090260"/>
    <w:rsid w:val="00090F12"/>
    <w:rsid w:val="00093893"/>
    <w:rsid w:val="00094C98"/>
    <w:rsid w:val="000A14D2"/>
    <w:rsid w:val="000A516A"/>
    <w:rsid w:val="000A76E4"/>
    <w:rsid w:val="000A7CE2"/>
    <w:rsid w:val="000B0090"/>
    <w:rsid w:val="000B56CC"/>
    <w:rsid w:val="000B7946"/>
    <w:rsid w:val="000C3336"/>
    <w:rsid w:val="000C7868"/>
    <w:rsid w:val="000E13CC"/>
    <w:rsid w:val="000E3A01"/>
    <w:rsid w:val="000E7285"/>
    <w:rsid w:val="000F7480"/>
    <w:rsid w:val="0010063A"/>
    <w:rsid w:val="001014AC"/>
    <w:rsid w:val="0011293B"/>
    <w:rsid w:val="00113256"/>
    <w:rsid w:val="001230A2"/>
    <w:rsid w:val="00124861"/>
    <w:rsid w:val="001320FF"/>
    <w:rsid w:val="00140D1A"/>
    <w:rsid w:val="00152275"/>
    <w:rsid w:val="00156F4B"/>
    <w:rsid w:val="00157AA7"/>
    <w:rsid w:val="001637D9"/>
    <w:rsid w:val="00165954"/>
    <w:rsid w:val="00166F19"/>
    <w:rsid w:val="00171348"/>
    <w:rsid w:val="00171E49"/>
    <w:rsid w:val="00174B17"/>
    <w:rsid w:val="00174EDE"/>
    <w:rsid w:val="001756A5"/>
    <w:rsid w:val="001771E0"/>
    <w:rsid w:val="0018377C"/>
    <w:rsid w:val="00184C66"/>
    <w:rsid w:val="00187D89"/>
    <w:rsid w:val="00192451"/>
    <w:rsid w:val="0019558E"/>
    <w:rsid w:val="001A05CD"/>
    <w:rsid w:val="001A4847"/>
    <w:rsid w:val="001A60B3"/>
    <w:rsid w:val="001B0B2A"/>
    <w:rsid w:val="001B3C94"/>
    <w:rsid w:val="001C1FDF"/>
    <w:rsid w:val="001C3F5F"/>
    <w:rsid w:val="001C559B"/>
    <w:rsid w:val="001C6D63"/>
    <w:rsid w:val="001C75C2"/>
    <w:rsid w:val="001D2396"/>
    <w:rsid w:val="001D478E"/>
    <w:rsid w:val="001D607A"/>
    <w:rsid w:val="001D613D"/>
    <w:rsid w:val="001E06D4"/>
    <w:rsid w:val="00205E14"/>
    <w:rsid w:val="00207E12"/>
    <w:rsid w:val="002105E8"/>
    <w:rsid w:val="00214D08"/>
    <w:rsid w:val="00221BB0"/>
    <w:rsid w:val="00236FE9"/>
    <w:rsid w:val="00244B32"/>
    <w:rsid w:val="00246384"/>
    <w:rsid w:val="002563D1"/>
    <w:rsid w:val="0026752C"/>
    <w:rsid w:val="00273E6D"/>
    <w:rsid w:val="002754A5"/>
    <w:rsid w:val="0027798B"/>
    <w:rsid w:val="00285B02"/>
    <w:rsid w:val="00290697"/>
    <w:rsid w:val="002A38D0"/>
    <w:rsid w:val="002A599E"/>
    <w:rsid w:val="002B1A0D"/>
    <w:rsid w:val="002B45D9"/>
    <w:rsid w:val="002B6016"/>
    <w:rsid w:val="002B7D68"/>
    <w:rsid w:val="002C64CB"/>
    <w:rsid w:val="002D3BA1"/>
    <w:rsid w:val="002D5848"/>
    <w:rsid w:val="002E269E"/>
    <w:rsid w:val="002F52CD"/>
    <w:rsid w:val="002F66C5"/>
    <w:rsid w:val="0030186D"/>
    <w:rsid w:val="0030575E"/>
    <w:rsid w:val="00310146"/>
    <w:rsid w:val="00317B07"/>
    <w:rsid w:val="003213D1"/>
    <w:rsid w:val="00324D27"/>
    <w:rsid w:val="00331DF5"/>
    <w:rsid w:val="003358AA"/>
    <w:rsid w:val="00347BB2"/>
    <w:rsid w:val="003513FA"/>
    <w:rsid w:val="003516A1"/>
    <w:rsid w:val="003603A1"/>
    <w:rsid w:val="003661CA"/>
    <w:rsid w:val="00366BCB"/>
    <w:rsid w:val="00373D3F"/>
    <w:rsid w:val="0037736C"/>
    <w:rsid w:val="00386C27"/>
    <w:rsid w:val="003A36A8"/>
    <w:rsid w:val="003A411B"/>
    <w:rsid w:val="003B25C7"/>
    <w:rsid w:val="003C5F0E"/>
    <w:rsid w:val="003C7367"/>
    <w:rsid w:val="003D57BB"/>
    <w:rsid w:val="003D583C"/>
    <w:rsid w:val="003E2CC0"/>
    <w:rsid w:val="003E432B"/>
    <w:rsid w:val="003E5F5C"/>
    <w:rsid w:val="003F0B76"/>
    <w:rsid w:val="003F2303"/>
    <w:rsid w:val="00402611"/>
    <w:rsid w:val="004066BD"/>
    <w:rsid w:val="00416F51"/>
    <w:rsid w:val="00417B56"/>
    <w:rsid w:val="00420392"/>
    <w:rsid w:val="00422588"/>
    <w:rsid w:val="00422C5C"/>
    <w:rsid w:val="00425C36"/>
    <w:rsid w:val="00427B54"/>
    <w:rsid w:val="004405CD"/>
    <w:rsid w:val="004447FC"/>
    <w:rsid w:val="0045213B"/>
    <w:rsid w:val="00460613"/>
    <w:rsid w:val="00461505"/>
    <w:rsid w:val="00467093"/>
    <w:rsid w:val="00473488"/>
    <w:rsid w:val="0048362C"/>
    <w:rsid w:val="004A5658"/>
    <w:rsid w:val="004B02BC"/>
    <w:rsid w:val="004B339A"/>
    <w:rsid w:val="004C00E3"/>
    <w:rsid w:val="004C4CAA"/>
    <w:rsid w:val="004C5C55"/>
    <w:rsid w:val="004E082D"/>
    <w:rsid w:val="00502A0A"/>
    <w:rsid w:val="00514881"/>
    <w:rsid w:val="005201C6"/>
    <w:rsid w:val="00520922"/>
    <w:rsid w:val="00520D37"/>
    <w:rsid w:val="00525A6E"/>
    <w:rsid w:val="00527F1B"/>
    <w:rsid w:val="00531C98"/>
    <w:rsid w:val="00544A1D"/>
    <w:rsid w:val="00555F2D"/>
    <w:rsid w:val="00562C3A"/>
    <w:rsid w:val="005654E7"/>
    <w:rsid w:val="00572377"/>
    <w:rsid w:val="00576D51"/>
    <w:rsid w:val="00582992"/>
    <w:rsid w:val="0058795F"/>
    <w:rsid w:val="0059334C"/>
    <w:rsid w:val="00596884"/>
    <w:rsid w:val="00597DCD"/>
    <w:rsid w:val="005A01C0"/>
    <w:rsid w:val="005A190F"/>
    <w:rsid w:val="005A35C6"/>
    <w:rsid w:val="005A6619"/>
    <w:rsid w:val="005A6D6B"/>
    <w:rsid w:val="005B58C5"/>
    <w:rsid w:val="005B5C42"/>
    <w:rsid w:val="005C0CE8"/>
    <w:rsid w:val="005C1D07"/>
    <w:rsid w:val="005D453B"/>
    <w:rsid w:val="005D4C16"/>
    <w:rsid w:val="005D5AFF"/>
    <w:rsid w:val="005D5D73"/>
    <w:rsid w:val="005E0386"/>
    <w:rsid w:val="005E5574"/>
    <w:rsid w:val="005E7AFD"/>
    <w:rsid w:val="005F78AB"/>
    <w:rsid w:val="00601BA3"/>
    <w:rsid w:val="00602844"/>
    <w:rsid w:val="00606B35"/>
    <w:rsid w:val="00621CA0"/>
    <w:rsid w:val="006220D7"/>
    <w:rsid w:val="00623C82"/>
    <w:rsid w:val="00627E2C"/>
    <w:rsid w:val="0063028C"/>
    <w:rsid w:val="00631E61"/>
    <w:rsid w:val="00644E14"/>
    <w:rsid w:val="00645528"/>
    <w:rsid w:val="00645771"/>
    <w:rsid w:val="00647585"/>
    <w:rsid w:val="006549BA"/>
    <w:rsid w:val="00662B68"/>
    <w:rsid w:val="00665728"/>
    <w:rsid w:val="006738F5"/>
    <w:rsid w:val="00677EA0"/>
    <w:rsid w:val="00685E73"/>
    <w:rsid w:val="00692862"/>
    <w:rsid w:val="00695460"/>
    <w:rsid w:val="00696B13"/>
    <w:rsid w:val="006A02FD"/>
    <w:rsid w:val="006A42A6"/>
    <w:rsid w:val="006A55DE"/>
    <w:rsid w:val="006B1B39"/>
    <w:rsid w:val="006B2629"/>
    <w:rsid w:val="006B44F9"/>
    <w:rsid w:val="006B531C"/>
    <w:rsid w:val="006B7572"/>
    <w:rsid w:val="006C6102"/>
    <w:rsid w:val="006C6A89"/>
    <w:rsid w:val="006F535B"/>
    <w:rsid w:val="007004E5"/>
    <w:rsid w:val="00702E48"/>
    <w:rsid w:val="00704716"/>
    <w:rsid w:val="00705185"/>
    <w:rsid w:val="00710AE5"/>
    <w:rsid w:val="00714F1D"/>
    <w:rsid w:val="007162FD"/>
    <w:rsid w:val="00724057"/>
    <w:rsid w:val="0072650F"/>
    <w:rsid w:val="007304E2"/>
    <w:rsid w:val="00733D40"/>
    <w:rsid w:val="007342C2"/>
    <w:rsid w:val="00735B63"/>
    <w:rsid w:val="0073733E"/>
    <w:rsid w:val="0074086A"/>
    <w:rsid w:val="007429C3"/>
    <w:rsid w:val="00744109"/>
    <w:rsid w:val="00755255"/>
    <w:rsid w:val="00761417"/>
    <w:rsid w:val="00765976"/>
    <w:rsid w:val="007667DB"/>
    <w:rsid w:val="00777891"/>
    <w:rsid w:val="00777D96"/>
    <w:rsid w:val="00783A4F"/>
    <w:rsid w:val="00783AEC"/>
    <w:rsid w:val="00786303"/>
    <w:rsid w:val="007866A7"/>
    <w:rsid w:val="007937A8"/>
    <w:rsid w:val="00794772"/>
    <w:rsid w:val="007955CC"/>
    <w:rsid w:val="007A4BD0"/>
    <w:rsid w:val="007B5D75"/>
    <w:rsid w:val="007B5F64"/>
    <w:rsid w:val="007B7548"/>
    <w:rsid w:val="007C2B60"/>
    <w:rsid w:val="007C598D"/>
    <w:rsid w:val="007D0E13"/>
    <w:rsid w:val="007D3F76"/>
    <w:rsid w:val="007D44F0"/>
    <w:rsid w:val="007D690E"/>
    <w:rsid w:val="007D7208"/>
    <w:rsid w:val="007E222A"/>
    <w:rsid w:val="007E582D"/>
    <w:rsid w:val="007F1E67"/>
    <w:rsid w:val="007F3D20"/>
    <w:rsid w:val="007F5394"/>
    <w:rsid w:val="00801EB8"/>
    <w:rsid w:val="008047C6"/>
    <w:rsid w:val="00810A4B"/>
    <w:rsid w:val="00810E4D"/>
    <w:rsid w:val="008117C3"/>
    <w:rsid w:val="00811935"/>
    <w:rsid w:val="00822F9F"/>
    <w:rsid w:val="00833BDB"/>
    <w:rsid w:val="00847298"/>
    <w:rsid w:val="008506C4"/>
    <w:rsid w:val="00855C93"/>
    <w:rsid w:val="00857E8B"/>
    <w:rsid w:val="008646D7"/>
    <w:rsid w:val="00871618"/>
    <w:rsid w:val="00871BFC"/>
    <w:rsid w:val="00872C56"/>
    <w:rsid w:val="008748A6"/>
    <w:rsid w:val="00884FF3"/>
    <w:rsid w:val="0089170B"/>
    <w:rsid w:val="008940CA"/>
    <w:rsid w:val="008A7B17"/>
    <w:rsid w:val="008C2923"/>
    <w:rsid w:val="008C5513"/>
    <w:rsid w:val="008D2B4D"/>
    <w:rsid w:val="008D4255"/>
    <w:rsid w:val="008D71E9"/>
    <w:rsid w:val="008E3305"/>
    <w:rsid w:val="008E662D"/>
    <w:rsid w:val="008F69C5"/>
    <w:rsid w:val="008F7EA3"/>
    <w:rsid w:val="009012D9"/>
    <w:rsid w:val="00903BF3"/>
    <w:rsid w:val="0090429D"/>
    <w:rsid w:val="00910678"/>
    <w:rsid w:val="009106D2"/>
    <w:rsid w:val="00917ABC"/>
    <w:rsid w:val="00922693"/>
    <w:rsid w:val="00924415"/>
    <w:rsid w:val="0092537E"/>
    <w:rsid w:val="00934BFE"/>
    <w:rsid w:val="00943C6F"/>
    <w:rsid w:val="009456C8"/>
    <w:rsid w:val="00961DA1"/>
    <w:rsid w:val="009626AB"/>
    <w:rsid w:val="009636B6"/>
    <w:rsid w:val="00983403"/>
    <w:rsid w:val="00996C02"/>
    <w:rsid w:val="009A0571"/>
    <w:rsid w:val="009A0FF2"/>
    <w:rsid w:val="009A2486"/>
    <w:rsid w:val="009A3270"/>
    <w:rsid w:val="009A6023"/>
    <w:rsid w:val="009B3074"/>
    <w:rsid w:val="009B3E8B"/>
    <w:rsid w:val="009B4285"/>
    <w:rsid w:val="009B53FC"/>
    <w:rsid w:val="009B6F97"/>
    <w:rsid w:val="009C2C42"/>
    <w:rsid w:val="009D08A2"/>
    <w:rsid w:val="009D3DCB"/>
    <w:rsid w:val="009D594D"/>
    <w:rsid w:val="009E3641"/>
    <w:rsid w:val="009E53C8"/>
    <w:rsid w:val="009E60BE"/>
    <w:rsid w:val="009E6A41"/>
    <w:rsid w:val="009E6AB6"/>
    <w:rsid w:val="00A1635C"/>
    <w:rsid w:val="00A166D0"/>
    <w:rsid w:val="00A23ABA"/>
    <w:rsid w:val="00A3128E"/>
    <w:rsid w:val="00A3224F"/>
    <w:rsid w:val="00A33140"/>
    <w:rsid w:val="00A33CBE"/>
    <w:rsid w:val="00A40969"/>
    <w:rsid w:val="00A43BF0"/>
    <w:rsid w:val="00A45F18"/>
    <w:rsid w:val="00A55AAE"/>
    <w:rsid w:val="00A5639F"/>
    <w:rsid w:val="00A63AB2"/>
    <w:rsid w:val="00A64BB4"/>
    <w:rsid w:val="00A66E01"/>
    <w:rsid w:val="00A745A2"/>
    <w:rsid w:val="00A80C70"/>
    <w:rsid w:val="00A861A4"/>
    <w:rsid w:val="00A871F0"/>
    <w:rsid w:val="00A907C1"/>
    <w:rsid w:val="00A915C9"/>
    <w:rsid w:val="00A933E5"/>
    <w:rsid w:val="00A94EDA"/>
    <w:rsid w:val="00A95A73"/>
    <w:rsid w:val="00A969CE"/>
    <w:rsid w:val="00AA0B2B"/>
    <w:rsid w:val="00AA2E68"/>
    <w:rsid w:val="00AA3292"/>
    <w:rsid w:val="00AA7675"/>
    <w:rsid w:val="00AB02E4"/>
    <w:rsid w:val="00AB1A3C"/>
    <w:rsid w:val="00AB4317"/>
    <w:rsid w:val="00AC5E5D"/>
    <w:rsid w:val="00AD1876"/>
    <w:rsid w:val="00AD316C"/>
    <w:rsid w:val="00AD7C87"/>
    <w:rsid w:val="00AE35D1"/>
    <w:rsid w:val="00AE36EF"/>
    <w:rsid w:val="00AE5757"/>
    <w:rsid w:val="00AE785D"/>
    <w:rsid w:val="00B03442"/>
    <w:rsid w:val="00B07119"/>
    <w:rsid w:val="00B23DAF"/>
    <w:rsid w:val="00B3422F"/>
    <w:rsid w:val="00B36C23"/>
    <w:rsid w:val="00B37082"/>
    <w:rsid w:val="00B37B58"/>
    <w:rsid w:val="00B421AB"/>
    <w:rsid w:val="00B442A3"/>
    <w:rsid w:val="00B55221"/>
    <w:rsid w:val="00B55B9C"/>
    <w:rsid w:val="00B5610A"/>
    <w:rsid w:val="00B57DFA"/>
    <w:rsid w:val="00B57ECC"/>
    <w:rsid w:val="00B608B9"/>
    <w:rsid w:val="00B611DC"/>
    <w:rsid w:val="00B62C2F"/>
    <w:rsid w:val="00B637B2"/>
    <w:rsid w:val="00B70257"/>
    <w:rsid w:val="00B7101B"/>
    <w:rsid w:val="00B7103C"/>
    <w:rsid w:val="00B75F87"/>
    <w:rsid w:val="00B84393"/>
    <w:rsid w:val="00B865F9"/>
    <w:rsid w:val="00B94B83"/>
    <w:rsid w:val="00BA6269"/>
    <w:rsid w:val="00BB336B"/>
    <w:rsid w:val="00BB3BB6"/>
    <w:rsid w:val="00BB655D"/>
    <w:rsid w:val="00BD6436"/>
    <w:rsid w:val="00BE2841"/>
    <w:rsid w:val="00BE2A95"/>
    <w:rsid w:val="00BE6420"/>
    <w:rsid w:val="00BF17D9"/>
    <w:rsid w:val="00BF5A16"/>
    <w:rsid w:val="00BF7262"/>
    <w:rsid w:val="00C05CD0"/>
    <w:rsid w:val="00C069B0"/>
    <w:rsid w:val="00C10C0E"/>
    <w:rsid w:val="00C13550"/>
    <w:rsid w:val="00C16945"/>
    <w:rsid w:val="00C21778"/>
    <w:rsid w:val="00C22AD6"/>
    <w:rsid w:val="00C23C95"/>
    <w:rsid w:val="00C242D6"/>
    <w:rsid w:val="00C31DF1"/>
    <w:rsid w:val="00C31F69"/>
    <w:rsid w:val="00C3502E"/>
    <w:rsid w:val="00C41BCC"/>
    <w:rsid w:val="00C4459C"/>
    <w:rsid w:val="00C52580"/>
    <w:rsid w:val="00C5419E"/>
    <w:rsid w:val="00C606A2"/>
    <w:rsid w:val="00C6286A"/>
    <w:rsid w:val="00C662EF"/>
    <w:rsid w:val="00C7174B"/>
    <w:rsid w:val="00C731DD"/>
    <w:rsid w:val="00C744B9"/>
    <w:rsid w:val="00C750E0"/>
    <w:rsid w:val="00C753C2"/>
    <w:rsid w:val="00C80C9F"/>
    <w:rsid w:val="00C86222"/>
    <w:rsid w:val="00C92E03"/>
    <w:rsid w:val="00C93EFD"/>
    <w:rsid w:val="00CA5EF5"/>
    <w:rsid w:val="00CA7A39"/>
    <w:rsid w:val="00CB54BF"/>
    <w:rsid w:val="00CB67EC"/>
    <w:rsid w:val="00CB75CB"/>
    <w:rsid w:val="00CB76B5"/>
    <w:rsid w:val="00CC7FE1"/>
    <w:rsid w:val="00CD03F8"/>
    <w:rsid w:val="00CD41C7"/>
    <w:rsid w:val="00CD5783"/>
    <w:rsid w:val="00CF14D9"/>
    <w:rsid w:val="00D028B6"/>
    <w:rsid w:val="00D041FF"/>
    <w:rsid w:val="00D10DEE"/>
    <w:rsid w:val="00D13066"/>
    <w:rsid w:val="00D15431"/>
    <w:rsid w:val="00D16BD8"/>
    <w:rsid w:val="00D23843"/>
    <w:rsid w:val="00D25999"/>
    <w:rsid w:val="00D309DE"/>
    <w:rsid w:val="00D3254D"/>
    <w:rsid w:val="00D3606D"/>
    <w:rsid w:val="00D36DB0"/>
    <w:rsid w:val="00D3766B"/>
    <w:rsid w:val="00D46AB4"/>
    <w:rsid w:val="00D50E1B"/>
    <w:rsid w:val="00D5109C"/>
    <w:rsid w:val="00D55A88"/>
    <w:rsid w:val="00D61F7D"/>
    <w:rsid w:val="00D6362F"/>
    <w:rsid w:val="00D65A34"/>
    <w:rsid w:val="00D70147"/>
    <w:rsid w:val="00D732FB"/>
    <w:rsid w:val="00D81452"/>
    <w:rsid w:val="00D845FC"/>
    <w:rsid w:val="00D84764"/>
    <w:rsid w:val="00D850CB"/>
    <w:rsid w:val="00D85449"/>
    <w:rsid w:val="00D87260"/>
    <w:rsid w:val="00D94BE1"/>
    <w:rsid w:val="00D94C54"/>
    <w:rsid w:val="00DA01DF"/>
    <w:rsid w:val="00DA2001"/>
    <w:rsid w:val="00DA641F"/>
    <w:rsid w:val="00DA775E"/>
    <w:rsid w:val="00DB09B4"/>
    <w:rsid w:val="00DB38B6"/>
    <w:rsid w:val="00DB4852"/>
    <w:rsid w:val="00DC64C3"/>
    <w:rsid w:val="00DD02F2"/>
    <w:rsid w:val="00DD1BE9"/>
    <w:rsid w:val="00DD26FD"/>
    <w:rsid w:val="00DE2D21"/>
    <w:rsid w:val="00DE4960"/>
    <w:rsid w:val="00DE52B5"/>
    <w:rsid w:val="00DE5EF2"/>
    <w:rsid w:val="00DE65A2"/>
    <w:rsid w:val="00DF01CC"/>
    <w:rsid w:val="00DF30AE"/>
    <w:rsid w:val="00E04A7C"/>
    <w:rsid w:val="00E13B27"/>
    <w:rsid w:val="00E162B3"/>
    <w:rsid w:val="00E20718"/>
    <w:rsid w:val="00E20A62"/>
    <w:rsid w:val="00E22320"/>
    <w:rsid w:val="00E35A04"/>
    <w:rsid w:val="00E35E55"/>
    <w:rsid w:val="00E3743C"/>
    <w:rsid w:val="00E415EC"/>
    <w:rsid w:val="00E415F5"/>
    <w:rsid w:val="00E44AD4"/>
    <w:rsid w:val="00E502A6"/>
    <w:rsid w:val="00E51784"/>
    <w:rsid w:val="00E52BAC"/>
    <w:rsid w:val="00E6283A"/>
    <w:rsid w:val="00E658AC"/>
    <w:rsid w:val="00E70A27"/>
    <w:rsid w:val="00E730D1"/>
    <w:rsid w:val="00E7412A"/>
    <w:rsid w:val="00E803FD"/>
    <w:rsid w:val="00E86735"/>
    <w:rsid w:val="00E95227"/>
    <w:rsid w:val="00E9766B"/>
    <w:rsid w:val="00EA5E7A"/>
    <w:rsid w:val="00EB334F"/>
    <w:rsid w:val="00EB3A33"/>
    <w:rsid w:val="00EC0452"/>
    <w:rsid w:val="00EC1094"/>
    <w:rsid w:val="00EC3410"/>
    <w:rsid w:val="00EC55C7"/>
    <w:rsid w:val="00EC5F24"/>
    <w:rsid w:val="00ED65F1"/>
    <w:rsid w:val="00EE60B0"/>
    <w:rsid w:val="00EE66A6"/>
    <w:rsid w:val="00EF2D35"/>
    <w:rsid w:val="00EF3A0B"/>
    <w:rsid w:val="00F00AB7"/>
    <w:rsid w:val="00F02F84"/>
    <w:rsid w:val="00F0671B"/>
    <w:rsid w:val="00F11426"/>
    <w:rsid w:val="00F20111"/>
    <w:rsid w:val="00F23B41"/>
    <w:rsid w:val="00F2459C"/>
    <w:rsid w:val="00F24D36"/>
    <w:rsid w:val="00F25BB1"/>
    <w:rsid w:val="00F27182"/>
    <w:rsid w:val="00F317FB"/>
    <w:rsid w:val="00F4670A"/>
    <w:rsid w:val="00F504BC"/>
    <w:rsid w:val="00F52B18"/>
    <w:rsid w:val="00F57EB6"/>
    <w:rsid w:val="00F601D0"/>
    <w:rsid w:val="00F62C26"/>
    <w:rsid w:val="00F6773D"/>
    <w:rsid w:val="00F74EF5"/>
    <w:rsid w:val="00F91E78"/>
    <w:rsid w:val="00F937F0"/>
    <w:rsid w:val="00FA066F"/>
    <w:rsid w:val="00FA39ED"/>
    <w:rsid w:val="00FB0704"/>
    <w:rsid w:val="00FB3A47"/>
    <w:rsid w:val="00FB561F"/>
    <w:rsid w:val="00FC617B"/>
    <w:rsid w:val="00FD01D0"/>
    <w:rsid w:val="00FD21DC"/>
    <w:rsid w:val="00FD3D87"/>
    <w:rsid w:val="00FD4BAE"/>
    <w:rsid w:val="00FD4E05"/>
    <w:rsid w:val="00FE6CA9"/>
    <w:rsid w:val="00FF02C3"/>
    <w:rsid w:val="00FF23CD"/>
    <w:rsid w:val="00FF28FF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E173C06-4835-48D1-86F7-C2A3DF6A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oter" Target="footer7.xml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footer" Target="footer10.xml"/><Relationship Id="rId37" Type="http://schemas.openxmlformats.org/officeDocument/2006/relationships/image" Target="media/image18.png"/><Relationship Id="rId40" Type="http://schemas.openxmlformats.org/officeDocument/2006/relationships/footer" Target="footer14.xml"/><Relationship Id="rId45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footer" Target="footer9.xml"/><Relationship Id="rId44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oter" Target="footer6.xml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footer" Target="footer11.xml"/><Relationship Id="rId43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4FE0-85F6-4F73-AAD4-07816775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15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Ivanjko Renata</dc:creator>
  <cp:lastModifiedBy>Juras Mirjana</cp:lastModifiedBy>
  <cp:revision>71</cp:revision>
  <cp:lastPrinted>2017-05-10T14:28:00Z</cp:lastPrinted>
  <dcterms:created xsi:type="dcterms:W3CDTF">2017-04-27T13:37:00Z</dcterms:created>
  <dcterms:modified xsi:type="dcterms:W3CDTF">2017-05-26T09:00:00Z</dcterms:modified>
</cp:coreProperties>
</file>