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2A" w:rsidRPr="00FC6062"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FC6062">
        <w:rPr>
          <w:rFonts w:eastAsia="Times New Roman" w:cs="Calibri"/>
          <w:b/>
          <w:spacing w:val="-3"/>
          <w:sz w:val="24"/>
          <w:szCs w:val="24"/>
          <w:u w:val="single"/>
          <w:lang w:val="en-GB" w:eastAsia="hr-HR"/>
        </w:rPr>
        <w:t xml:space="preserve">  </w:t>
      </w:r>
    </w:p>
    <w:p w:rsidR="007E222A" w:rsidRPr="00FC6062"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FC6062">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30251E"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REPORT ON FINANCIAL PERFORMANCE</w:t>
      </w:r>
    </w:p>
    <w:p w:rsidR="001D478E" w:rsidRPr="00FC6062" w:rsidRDefault="001D478E" w:rsidP="00AE35D1">
      <w:pPr>
        <w:tabs>
          <w:tab w:val="left" w:pos="-720"/>
          <w:tab w:val="left" w:pos="426"/>
        </w:tabs>
        <w:suppressAutoHyphens/>
        <w:spacing w:after="0" w:line="240" w:lineRule="auto"/>
        <w:jc w:val="center"/>
        <w:rPr>
          <w:rFonts w:eastAsia="Times New Roman" w:cs="Calibri"/>
          <w:b/>
          <w:spacing w:val="-3"/>
          <w:sz w:val="32"/>
          <w:szCs w:val="32"/>
          <w:lang w:val="en-GB" w:eastAsia="hr-HR"/>
        </w:rPr>
      </w:pPr>
    </w:p>
    <w:p w:rsidR="00422588" w:rsidRPr="00FC6062" w:rsidRDefault="0030251E"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 xml:space="preserve">FOR THE PERIOD </w:t>
      </w:r>
      <w:r w:rsidR="001D478E" w:rsidRPr="00FC6062">
        <w:rPr>
          <w:rFonts w:eastAsia="Times New Roman" w:cs="Calibri"/>
          <w:b/>
          <w:spacing w:val="-3"/>
          <w:sz w:val="32"/>
          <w:szCs w:val="32"/>
          <w:lang w:val="en-GB" w:eastAsia="hr-HR"/>
        </w:rPr>
        <w:t>1</w:t>
      </w:r>
      <w:r w:rsidRPr="00FC6062">
        <w:rPr>
          <w:rFonts w:eastAsia="Times New Roman" w:cs="Calibri"/>
          <w:b/>
          <w:spacing w:val="-3"/>
          <w:sz w:val="32"/>
          <w:szCs w:val="32"/>
          <w:lang w:val="en-GB" w:eastAsia="hr-HR"/>
        </w:rPr>
        <w:t xml:space="preserve"> JANUARY – 30 SEPTEMBER </w:t>
      </w:r>
      <w:r w:rsidR="001D478E" w:rsidRPr="00FC6062">
        <w:rPr>
          <w:rFonts w:eastAsia="Times New Roman" w:cs="Calibri"/>
          <w:b/>
          <w:spacing w:val="-3"/>
          <w:sz w:val="32"/>
          <w:szCs w:val="32"/>
          <w:lang w:val="en-GB" w:eastAsia="hr-HR"/>
        </w:rPr>
        <w:t>201</w:t>
      </w:r>
      <w:r w:rsidR="00FF4EE9" w:rsidRPr="00FC6062">
        <w:rPr>
          <w:rFonts w:eastAsia="Times New Roman" w:cs="Calibri"/>
          <w:b/>
          <w:spacing w:val="-3"/>
          <w:sz w:val="32"/>
          <w:szCs w:val="32"/>
          <w:lang w:val="en-GB" w:eastAsia="hr-HR"/>
        </w:rPr>
        <w:t>9</w:t>
      </w: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rsidR="007E222A" w:rsidRPr="00FC6062"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rsidR="00BE6420" w:rsidRPr="00FC6062"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2D1C76" w:rsidRPr="00FC6062"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F4420" w:rsidRPr="00FC6062" w:rsidRDefault="007F4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FC6062"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FC6062"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FC6062">
        <w:rPr>
          <w:rFonts w:eastAsia="Times New Roman" w:cs="Calibri"/>
          <w:b/>
          <w:spacing w:val="-3"/>
          <w:sz w:val="24"/>
          <w:szCs w:val="24"/>
          <w:lang w:val="en-GB" w:eastAsia="hr-HR"/>
        </w:rPr>
        <w:t xml:space="preserve">Zagreb, </w:t>
      </w:r>
      <w:r w:rsidR="00FC3E56" w:rsidRPr="00FC6062">
        <w:rPr>
          <w:rFonts w:eastAsia="Times New Roman" w:cs="Calibri"/>
          <w:b/>
          <w:spacing w:val="-3"/>
          <w:sz w:val="24"/>
          <w:szCs w:val="24"/>
          <w:lang w:val="en-GB" w:eastAsia="hr-HR"/>
        </w:rPr>
        <w:t xml:space="preserve">November </w:t>
      </w:r>
      <w:r w:rsidRPr="00FC6062">
        <w:rPr>
          <w:rFonts w:eastAsia="Times New Roman" w:cs="Calibri"/>
          <w:b/>
          <w:spacing w:val="-3"/>
          <w:sz w:val="24"/>
          <w:szCs w:val="24"/>
          <w:lang w:val="en-GB" w:eastAsia="hr-HR"/>
        </w:rPr>
        <w:t>201</w:t>
      </w:r>
      <w:r w:rsidR="00FF4EE9" w:rsidRPr="00FC6062">
        <w:rPr>
          <w:rFonts w:eastAsia="Times New Roman" w:cs="Calibri"/>
          <w:b/>
          <w:spacing w:val="-3"/>
          <w:sz w:val="24"/>
          <w:szCs w:val="24"/>
          <w:lang w:val="en-GB" w:eastAsia="hr-HR"/>
        </w:rPr>
        <w:t>9</w:t>
      </w:r>
    </w:p>
    <w:p w:rsidR="00E70A27" w:rsidRPr="00FC6062"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FC6062" w:rsidSect="000241D5">
          <w:footerReference w:type="default" r:id="rId9"/>
          <w:pgSz w:w="11906" w:h="16838" w:code="9"/>
          <w:pgMar w:top="596" w:right="1133" w:bottom="1417" w:left="1417" w:header="709" w:footer="709" w:gutter="0"/>
          <w:cols w:space="708"/>
          <w:titlePg/>
          <w:docGrid w:linePitch="360"/>
        </w:sectPr>
      </w:pPr>
    </w:p>
    <w:p w:rsidR="001D2396" w:rsidRPr="00FC6062" w:rsidRDefault="001D2396">
      <w:pPr>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C21778" w:rsidRPr="00FC6062" w:rsidRDefault="00C21778" w:rsidP="00290697">
      <w:pPr>
        <w:spacing w:after="0" w:line="240" w:lineRule="auto"/>
        <w:rPr>
          <w:rFonts w:eastAsia="Times New Roman" w:cs="Calibri"/>
          <w:b/>
          <w:spacing w:val="-3"/>
          <w:sz w:val="24"/>
          <w:szCs w:val="24"/>
          <w:u w:val="single"/>
          <w:lang w:val="en-GB" w:eastAsia="hr-HR"/>
        </w:rPr>
      </w:pPr>
    </w:p>
    <w:p w:rsidR="001D2396" w:rsidRPr="00FC6062" w:rsidRDefault="001D2396" w:rsidP="00290697">
      <w:pPr>
        <w:spacing w:after="0" w:line="240" w:lineRule="auto"/>
        <w:rPr>
          <w:rFonts w:eastAsia="Times New Roman" w:cs="Calibri"/>
          <w:b/>
          <w:spacing w:val="-3"/>
          <w:sz w:val="24"/>
          <w:szCs w:val="24"/>
          <w:u w:val="single"/>
          <w:lang w:val="en-GB" w:eastAsia="hr-HR"/>
        </w:rPr>
      </w:pPr>
    </w:p>
    <w:p w:rsidR="001D2396" w:rsidRPr="00FC6062" w:rsidRDefault="001D2396"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FC6062">
        <w:rPr>
          <w:rFonts w:ascii="Calibri" w:eastAsia="Times New Roman" w:hAnsi="Calibri" w:cs="Arial"/>
          <w:b/>
          <w:sz w:val="32"/>
          <w:szCs w:val="32"/>
          <w:lang w:val="en-GB"/>
        </w:rPr>
        <w:t>RE</w:t>
      </w:r>
      <w:r w:rsidR="00F71CEF" w:rsidRPr="00FC6062">
        <w:rPr>
          <w:rFonts w:ascii="Calibri" w:eastAsia="Times New Roman" w:hAnsi="Calibri" w:cs="Arial"/>
          <w:b/>
          <w:sz w:val="32"/>
          <w:szCs w:val="32"/>
          <w:lang w:val="en-GB"/>
        </w:rPr>
        <w:t>S</w:t>
      </w:r>
      <w:r w:rsidRPr="00FC6062">
        <w:rPr>
          <w:rFonts w:ascii="Calibri" w:eastAsia="Times New Roman" w:hAnsi="Calibri" w:cs="Arial"/>
          <w:b/>
          <w:sz w:val="32"/>
          <w:szCs w:val="32"/>
          <w:lang w:val="en-GB"/>
        </w:rPr>
        <w:t>ULT</w:t>
      </w:r>
      <w:r w:rsidR="00F71CEF" w:rsidRPr="00FC6062">
        <w:rPr>
          <w:rFonts w:ascii="Calibri" w:eastAsia="Times New Roman" w:hAnsi="Calibri" w:cs="Arial"/>
          <w:b/>
          <w:sz w:val="32"/>
          <w:szCs w:val="32"/>
          <w:lang w:val="en-GB"/>
        </w:rPr>
        <w:t xml:space="preserve">S OF THE </w:t>
      </w:r>
      <w:r w:rsidRPr="00FC6062">
        <w:rPr>
          <w:rFonts w:ascii="Calibri" w:eastAsia="Times New Roman" w:hAnsi="Calibri" w:cs="Arial"/>
          <w:b/>
          <w:sz w:val="32"/>
          <w:szCs w:val="32"/>
          <w:lang w:val="en-GB"/>
        </w:rPr>
        <w:t>GR</w:t>
      </w:r>
      <w:r w:rsidR="00F71CEF" w:rsidRPr="00FC6062">
        <w:rPr>
          <w:rFonts w:ascii="Calibri" w:eastAsia="Times New Roman" w:hAnsi="Calibri" w:cs="Arial"/>
          <w:b/>
          <w:sz w:val="32"/>
          <w:szCs w:val="32"/>
          <w:lang w:val="en-GB"/>
        </w:rPr>
        <w:t>O</w:t>
      </w:r>
      <w:r w:rsidRPr="00FC6062">
        <w:rPr>
          <w:rFonts w:ascii="Calibri" w:eastAsia="Times New Roman" w:hAnsi="Calibri" w:cs="Arial"/>
          <w:b/>
          <w:sz w:val="32"/>
          <w:szCs w:val="32"/>
          <w:lang w:val="en-GB"/>
        </w:rPr>
        <w:t>UP</w:t>
      </w:r>
    </w:p>
    <w:p w:rsidR="00B37082" w:rsidRPr="00FC6062" w:rsidRDefault="00B37082">
      <w:pPr>
        <w:rPr>
          <w:rFonts w:eastAsia="Times New Roman" w:cs="Calibri"/>
          <w:b/>
          <w:spacing w:val="-3"/>
          <w:sz w:val="24"/>
          <w:szCs w:val="24"/>
          <w:u w:val="single"/>
          <w:lang w:val="en-GB" w:eastAsia="hr-HR"/>
        </w:rPr>
        <w:sectPr w:rsidR="00B37082" w:rsidRPr="00FC6062" w:rsidSect="00C23C95">
          <w:footerReference w:type="first" r:id="rId10"/>
          <w:pgSz w:w="11906" w:h="16838" w:code="9"/>
          <w:pgMar w:top="863" w:right="1133" w:bottom="1417" w:left="1417" w:header="709" w:footer="709" w:gutter="0"/>
          <w:cols w:space="708"/>
          <w:titlePg/>
          <w:docGrid w:linePitch="360"/>
        </w:sectPr>
      </w:pPr>
    </w:p>
    <w:p w:rsidR="001D2396" w:rsidRPr="00FC6062" w:rsidRDefault="001D2396">
      <w:pPr>
        <w:rPr>
          <w:rFonts w:eastAsia="Times New Roman" w:cs="Calibri"/>
          <w:b/>
          <w:spacing w:val="-3"/>
          <w:sz w:val="24"/>
          <w:szCs w:val="24"/>
          <w:u w:val="single"/>
          <w:lang w:val="en-GB" w:eastAsia="hr-HR"/>
        </w:rPr>
      </w:pPr>
    </w:p>
    <w:p w:rsidR="00D06365" w:rsidRPr="00FC6062"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rsidR="001D2396" w:rsidRPr="00FC6062" w:rsidRDefault="00A221CD"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FC6062">
        <w:rPr>
          <w:rFonts w:eastAsia="Times New Roman" w:cs="Calibri"/>
          <w:b/>
          <w:caps/>
          <w:spacing w:val="-3"/>
          <w:sz w:val="26"/>
          <w:szCs w:val="26"/>
          <w:lang w:val="en-GB" w:eastAsia="hr-HR"/>
        </w:rPr>
        <w:t>BREAKDOWN OF THE MOST SIGNIFICANT FINANCIAL INFORMATION OF HBOR GROUP</w:t>
      </w:r>
    </w:p>
    <w:p w:rsidR="00794772" w:rsidRPr="00FC6062" w:rsidRDefault="00DB38B6" w:rsidP="00C23C95">
      <w:pPr>
        <w:spacing w:before="120" w:after="120"/>
        <w:ind w:left="360"/>
        <w:jc w:val="center"/>
        <w:rPr>
          <w:rFonts w:ascii="Calibri" w:hAnsi="Calibri" w:cs="Calibri"/>
          <w:lang w:val="en-GB"/>
        </w:rPr>
      </w:pPr>
      <w:r w:rsidRPr="00FC6062">
        <w:rPr>
          <w:rFonts w:ascii="Calibri" w:hAnsi="Calibri" w:cs="Calibri"/>
          <w:bCs/>
          <w:lang w:val="en-GB"/>
        </w:rPr>
        <w:t>-</w:t>
      </w:r>
      <w:r w:rsidR="00A221CD" w:rsidRPr="00FC6062">
        <w:rPr>
          <w:rFonts w:ascii="Calibri" w:hAnsi="Calibri" w:cs="Calibri"/>
          <w:bCs/>
          <w:lang w:val="en-GB"/>
        </w:rPr>
        <w:t>HRK million</w:t>
      </w:r>
      <w:r w:rsidR="00794772" w:rsidRPr="00FC6062">
        <w:rPr>
          <w:rFonts w:ascii="Calibri" w:hAnsi="Calibri" w:cs="Calibri"/>
          <w:bCs/>
          <w:lang w:val="en-GB"/>
        </w:rPr>
        <w:t>-</w:t>
      </w:r>
    </w:p>
    <w:p w:rsidR="00D845FC" w:rsidRPr="00FC6062"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tbl>
      <w:tblPr>
        <w:tblStyle w:val="GridTable1Light"/>
        <w:tblW w:w="9115" w:type="dxa"/>
        <w:tblLayout w:type="fixed"/>
        <w:tblLook w:val="04A0" w:firstRow="1" w:lastRow="0" w:firstColumn="1" w:lastColumn="0" w:noHBand="0" w:noVBand="1"/>
      </w:tblPr>
      <w:tblGrid>
        <w:gridCol w:w="2278"/>
        <w:gridCol w:w="2279"/>
        <w:gridCol w:w="2279"/>
        <w:gridCol w:w="2279"/>
      </w:tblGrid>
      <w:tr w:rsidR="00A43D17" w:rsidRPr="00FC6062" w:rsidTr="000479D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808080" w:themeColor="background1" w:themeShade="80"/>
            </w:tcBorders>
            <w:hideMark/>
          </w:tcPr>
          <w:p w:rsidR="00A43D17" w:rsidRPr="00FC6062" w:rsidRDefault="00A43D17" w:rsidP="00A43D17">
            <w:pPr>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893743" w:rsidP="00A43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FC6062">
              <w:rPr>
                <w:rFonts w:ascii="Calibri" w:eastAsia="Times New Roman" w:hAnsi="Calibri" w:cs="Times New Roman"/>
                <w:color w:val="000000"/>
                <w:sz w:val="24"/>
                <w:szCs w:val="24"/>
                <w:lang w:val="en-GB" w:eastAsia="hr-HR"/>
              </w:rPr>
              <w:t>31</w:t>
            </w:r>
            <w:r w:rsidR="00A221CD" w:rsidRPr="00FC6062">
              <w:rPr>
                <w:rFonts w:ascii="Calibri" w:eastAsia="Times New Roman" w:hAnsi="Calibri" w:cs="Times New Roman"/>
                <w:color w:val="000000"/>
                <w:sz w:val="24"/>
                <w:szCs w:val="24"/>
                <w:lang w:val="en-GB" w:eastAsia="hr-HR"/>
              </w:rPr>
              <w:t xml:space="preserve"> December </w:t>
            </w:r>
            <w:r w:rsidR="00A43D17" w:rsidRPr="00FC6062">
              <w:rPr>
                <w:rFonts w:ascii="Calibri" w:eastAsia="Times New Roman" w:hAnsi="Calibri" w:cs="Times New Roman"/>
                <w:color w:val="000000"/>
                <w:sz w:val="24"/>
                <w:szCs w:val="24"/>
                <w:lang w:val="en-GB" w:eastAsia="hr-HR"/>
              </w:rPr>
              <w:t>2017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tcPr>
          <w:p w:rsidR="00A43D17" w:rsidRPr="00FC6062" w:rsidRDefault="00893743" w:rsidP="00A43D17">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31</w:t>
            </w:r>
            <w:r w:rsidR="00A221CD" w:rsidRPr="00FC6062">
              <w:rPr>
                <w:rFonts w:eastAsia="Times New Roman"/>
                <w:color w:val="000000"/>
                <w:sz w:val="24"/>
                <w:szCs w:val="24"/>
                <w:lang w:val="en-GB" w:eastAsia="hr-HR"/>
              </w:rPr>
              <w:t xml:space="preserve"> December </w:t>
            </w:r>
            <w:r w:rsidR="00A43D17" w:rsidRPr="00FC6062">
              <w:rPr>
                <w:rFonts w:eastAsia="Times New Roman"/>
                <w:color w:val="000000"/>
                <w:sz w:val="24"/>
                <w:szCs w:val="24"/>
                <w:lang w:val="en-GB" w:eastAsia="hr-HR"/>
              </w:rPr>
              <w:t>2018</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81351E" w:rsidP="00A43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FC6062">
              <w:rPr>
                <w:rFonts w:ascii="Calibri" w:eastAsia="Times New Roman" w:hAnsi="Calibri" w:cs="Times New Roman"/>
                <w:color w:val="000000"/>
                <w:sz w:val="24"/>
                <w:szCs w:val="24"/>
                <w:lang w:val="en-GB" w:eastAsia="hr-HR"/>
              </w:rPr>
              <w:t>30</w:t>
            </w:r>
            <w:r w:rsidR="00A221CD" w:rsidRPr="00FC6062">
              <w:rPr>
                <w:rFonts w:ascii="Calibri" w:eastAsia="Times New Roman" w:hAnsi="Calibri" w:cs="Times New Roman"/>
                <w:color w:val="000000"/>
                <w:sz w:val="24"/>
                <w:szCs w:val="24"/>
                <w:lang w:val="en-GB" w:eastAsia="hr-HR"/>
              </w:rPr>
              <w:t xml:space="preserve"> September </w:t>
            </w:r>
            <w:r w:rsidR="00A43D17" w:rsidRPr="00FC6062">
              <w:rPr>
                <w:rFonts w:ascii="Calibri" w:eastAsia="Times New Roman" w:hAnsi="Calibri" w:cs="Times New Roman"/>
                <w:color w:val="000000"/>
                <w:sz w:val="24"/>
                <w:szCs w:val="24"/>
                <w:lang w:val="en-GB" w:eastAsia="hr-HR"/>
              </w:rPr>
              <w:t>2019</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808080" w:themeColor="background1" w:themeShade="80"/>
            </w:tcBorders>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Total assets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hAnsi="Calibri" w:cs="Calibri"/>
                <w:sz w:val="24"/>
                <w:szCs w:val="24"/>
                <w:lang w:val="en-GB"/>
              </w:rPr>
              <w:t>28</w:t>
            </w:r>
            <w:r w:rsidR="00554B91" w:rsidRPr="00FC6062">
              <w:rPr>
                <w:rFonts w:ascii="Calibri" w:hAnsi="Calibri" w:cs="Calibri"/>
                <w:sz w:val="24"/>
                <w:szCs w:val="24"/>
                <w:lang w:val="en-GB"/>
              </w:rPr>
              <w:t>,</w:t>
            </w:r>
            <w:r w:rsidRPr="00FC6062">
              <w:rPr>
                <w:rFonts w:ascii="Calibri" w:hAnsi="Calibri" w:cs="Calibri"/>
                <w:sz w:val="24"/>
                <w:szCs w:val="24"/>
                <w:lang w:val="en-GB"/>
              </w:rPr>
              <w:t>075</w:t>
            </w:r>
            <w:r w:rsidR="00554B91" w:rsidRPr="00FC6062">
              <w:rPr>
                <w:rFonts w:ascii="Calibri" w:hAnsi="Calibri" w:cs="Calibri"/>
                <w:sz w:val="24"/>
                <w:szCs w:val="24"/>
                <w:lang w:val="en-GB"/>
              </w:rPr>
              <w:t>.</w:t>
            </w:r>
            <w:r w:rsidRPr="00FC6062">
              <w:rPr>
                <w:rFonts w:ascii="Calibri" w:hAnsi="Calibri" w:cs="Calibri"/>
                <w:sz w:val="24"/>
                <w:szCs w:val="24"/>
                <w:lang w:val="en-GB"/>
              </w:rPr>
              <w:t>6</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27</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21</w:t>
            </w:r>
            <w:r w:rsidR="000B7E5F" w:rsidRPr="00FC6062">
              <w:rPr>
                <w:rFonts w:eastAsia="Times New Roman"/>
                <w:color w:val="000000"/>
                <w:sz w:val="24"/>
                <w:szCs w:val="24"/>
                <w:lang w:val="en-GB" w:eastAsia="hr-HR"/>
              </w:rPr>
              <w:t>9</w:t>
            </w:r>
            <w:r w:rsidR="00554B91" w:rsidRPr="00FC6062">
              <w:rPr>
                <w:rFonts w:eastAsia="Times New Roman"/>
                <w:color w:val="000000"/>
                <w:sz w:val="24"/>
                <w:szCs w:val="24"/>
                <w:lang w:val="en-GB" w:eastAsia="hr-HR"/>
              </w:rPr>
              <w:t>.</w:t>
            </w:r>
            <w:r w:rsidR="000B7E5F" w:rsidRPr="00FC6062">
              <w:rPr>
                <w:rFonts w:eastAsia="Times New Roman"/>
                <w:color w:val="000000"/>
                <w:sz w:val="24"/>
                <w:szCs w:val="24"/>
                <w:lang w:val="en-GB" w:eastAsia="hr-HR"/>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5F2F49"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26</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612</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2</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Gross loans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FC6062">
              <w:rPr>
                <w:rFonts w:ascii="Calibri" w:hAnsi="Calibri" w:cs="Calibri"/>
                <w:sz w:val="24"/>
                <w:szCs w:val="24"/>
                <w:lang w:val="en-GB"/>
              </w:rPr>
              <w:t>26</w:t>
            </w:r>
            <w:r w:rsidR="00554B91" w:rsidRPr="00FC6062">
              <w:rPr>
                <w:rFonts w:ascii="Calibri" w:hAnsi="Calibri" w:cs="Calibri"/>
                <w:sz w:val="24"/>
                <w:szCs w:val="24"/>
                <w:lang w:val="en-GB"/>
              </w:rPr>
              <w:t>,</w:t>
            </w:r>
            <w:r w:rsidRPr="00FC6062">
              <w:rPr>
                <w:rFonts w:ascii="Calibri" w:hAnsi="Calibri" w:cs="Calibri"/>
                <w:sz w:val="24"/>
                <w:szCs w:val="24"/>
                <w:lang w:val="en-GB"/>
              </w:rPr>
              <w:t>33</w:t>
            </w:r>
            <w:r w:rsidR="000B7E5F" w:rsidRPr="00FC6062">
              <w:rPr>
                <w:rFonts w:ascii="Calibri" w:hAnsi="Calibri" w:cs="Calibri"/>
                <w:sz w:val="24"/>
                <w:szCs w:val="24"/>
                <w:lang w:val="en-GB"/>
              </w:rPr>
              <w:t>3</w:t>
            </w:r>
            <w:r w:rsidR="00554B91" w:rsidRPr="00FC6062">
              <w:rPr>
                <w:rFonts w:ascii="Calibri" w:hAnsi="Calibri" w:cs="Calibri"/>
                <w:sz w:val="24"/>
                <w:szCs w:val="24"/>
                <w:lang w:val="en-GB"/>
              </w:rPr>
              <w:t>.</w:t>
            </w:r>
            <w:r w:rsidR="000B7E5F" w:rsidRPr="00FC6062">
              <w:rPr>
                <w:rFonts w:ascii="Calibri" w:hAnsi="Calibri" w:cs="Calibri"/>
                <w:sz w:val="24"/>
                <w:szCs w:val="24"/>
                <w:lang w:val="en-GB"/>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26</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243</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26</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459</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7</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Total equity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hAnsi="Calibri" w:cs="Calibri"/>
                <w:sz w:val="24"/>
                <w:szCs w:val="24"/>
                <w:lang w:val="en-GB"/>
              </w:rPr>
              <w:t>10</w:t>
            </w:r>
            <w:r w:rsidR="00554B91" w:rsidRPr="00FC6062">
              <w:rPr>
                <w:rFonts w:ascii="Calibri" w:hAnsi="Calibri" w:cs="Calibri"/>
                <w:sz w:val="24"/>
                <w:szCs w:val="24"/>
                <w:lang w:val="en-GB"/>
              </w:rPr>
              <w:t>,</w:t>
            </w:r>
            <w:r w:rsidRPr="00FC6062">
              <w:rPr>
                <w:rFonts w:ascii="Calibri" w:hAnsi="Calibri" w:cs="Calibri"/>
                <w:sz w:val="24"/>
                <w:szCs w:val="24"/>
                <w:lang w:val="en-GB"/>
              </w:rPr>
              <w:t>275</w:t>
            </w:r>
            <w:r w:rsidR="00554B91" w:rsidRPr="00FC6062">
              <w:rPr>
                <w:rFonts w:ascii="Calibri" w:hAnsi="Calibri" w:cs="Calibri"/>
                <w:sz w:val="24"/>
                <w:szCs w:val="24"/>
                <w:lang w:val="en-GB"/>
              </w:rPr>
              <w:t>.</w:t>
            </w:r>
            <w:r w:rsidRPr="00FC6062">
              <w:rPr>
                <w:rFonts w:ascii="Calibri" w:hAnsi="Calibri" w:cs="Calibri"/>
                <w:sz w:val="24"/>
                <w:szCs w:val="24"/>
                <w:lang w:val="en-GB"/>
              </w:rPr>
              <w:t>8</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10</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061</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10</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247</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4</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43D17"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tcPr>
          <w:p w:rsidR="00A43D17" w:rsidRPr="00FC6062" w:rsidRDefault="00A43D17" w:rsidP="00A43D17">
            <w:pPr>
              <w:rPr>
                <w:rFonts w:ascii="Calibri" w:eastAsia="Times New Roman" w:hAnsi="Calibri" w:cs="Times New Roman"/>
                <w:b w:val="0"/>
                <w:color w:val="000000"/>
                <w:sz w:val="24"/>
                <w:szCs w:val="24"/>
                <w:lang w:val="en-GB" w:eastAsia="hr-HR"/>
              </w:rPr>
            </w:pP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221CD" w:rsidRPr="00FC6062" w:rsidRDefault="00A221CD" w:rsidP="00A221CD">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FC6062">
              <w:rPr>
                <w:rFonts w:ascii="Calibri" w:hAnsi="Calibri"/>
                <w:b/>
                <w:bCs/>
                <w:color w:val="000000"/>
                <w:sz w:val="24"/>
                <w:szCs w:val="24"/>
                <w:lang w:val="en-GB"/>
              </w:rPr>
              <w:t xml:space="preserve">1 January – </w:t>
            </w:r>
          </w:p>
          <w:p w:rsidR="00A43D17" w:rsidRPr="00FC6062" w:rsidRDefault="00A221CD" w:rsidP="00A221CD">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FC6062">
              <w:rPr>
                <w:rFonts w:ascii="Calibri" w:hAnsi="Calibri"/>
                <w:b/>
                <w:bCs/>
                <w:color w:val="000000"/>
                <w:sz w:val="24"/>
                <w:szCs w:val="24"/>
                <w:lang w:val="en-GB"/>
              </w:rPr>
              <w:t>30 September 2017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221CD" w:rsidRPr="00FC6062" w:rsidRDefault="00A221CD" w:rsidP="00A221CD">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FC6062">
              <w:rPr>
                <w:rFonts w:eastAsia="Times New Roman"/>
                <w:b/>
                <w:color w:val="000000"/>
                <w:sz w:val="24"/>
                <w:szCs w:val="24"/>
                <w:lang w:val="en-GB" w:eastAsia="hr-HR"/>
              </w:rPr>
              <w:t xml:space="preserve">1 January – </w:t>
            </w:r>
          </w:p>
          <w:p w:rsidR="00A43D17" w:rsidRPr="00FC6062" w:rsidRDefault="00A221CD" w:rsidP="00A221CD">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FC6062">
              <w:rPr>
                <w:rFonts w:eastAsia="Times New Roman"/>
                <w:b/>
                <w:color w:val="000000"/>
                <w:sz w:val="24"/>
                <w:szCs w:val="24"/>
                <w:lang w:val="en-GB" w:eastAsia="hr-HR"/>
              </w:rPr>
              <w:t>30 September 201</w:t>
            </w:r>
            <w:r w:rsidR="00A43D17" w:rsidRPr="00FC6062">
              <w:rPr>
                <w:rFonts w:eastAsia="Times New Roman"/>
                <w:b/>
                <w:color w:val="000000"/>
                <w:sz w:val="24"/>
                <w:szCs w:val="24"/>
                <w:lang w:val="en-GB" w:eastAsia="hr-HR"/>
              </w:rPr>
              <w:t>8</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221CD" w:rsidRPr="00FC6062" w:rsidRDefault="00A221CD" w:rsidP="00A221CD">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FC6062">
              <w:rPr>
                <w:rFonts w:ascii="Calibri" w:hAnsi="Calibri"/>
                <w:b/>
                <w:bCs/>
                <w:color w:val="000000"/>
                <w:sz w:val="24"/>
                <w:szCs w:val="24"/>
                <w:lang w:val="en-GB"/>
              </w:rPr>
              <w:t xml:space="preserve">1 January – </w:t>
            </w:r>
          </w:p>
          <w:p w:rsidR="00A43D17" w:rsidRPr="00FC6062" w:rsidRDefault="00A221CD" w:rsidP="00A221C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hAnsi="Calibri"/>
                <w:b/>
                <w:bCs/>
                <w:color w:val="000000"/>
                <w:sz w:val="24"/>
                <w:szCs w:val="24"/>
                <w:lang w:val="en-GB"/>
              </w:rPr>
              <w:t>30 September 201</w:t>
            </w:r>
            <w:r w:rsidR="00A43D17" w:rsidRPr="00FC6062">
              <w:rPr>
                <w:rFonts w:ascii="Calibri" w:hAnsi="Calibri"/>
                <w:b/>
                <w:bCs/>
                <w:color w:val="000000"/>
                <w:sz w:val="24"/>
                <w:szCs w:val="24"/>
                <w:lang w:val="en-GB"/>
              </w:rPr>
              <w:t>9</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Total income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705</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6</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617</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4</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525</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2</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Total expense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(529</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(518</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7)</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(381</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3)</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Profit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176</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5</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98</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7</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143</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9</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43D17"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w:t>
            </w:r>
          </w:p>
        </w:tc>
        <w:tc>
          <w:tcPr>
            <w:tcW w:w="0" w:type="dxa"/>
            <w:tcBorders>
              <w:top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Interest income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center"/>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661</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2</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563</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483</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3</w:t>
            </w:r>
          </w:p>
        </w:tc>
      </w:tr>
      <w:tr w:rsidR="00A43D17" w:rsidRPr="00FC6062" w:rsidTr="000479D6">
        <w:trPr>
          <w:trHeight w:val="270"/>
        </w:trPr>
        <w:tc>
          <w:tcPr>
            <w:cnfStyle w:val="001000000000" w:firstRow="0" w:lastRow="0" w:firstColumn="1" w:lastColumn="0" w:oddVBand="0" w:evenVBand="0" w:oddHBand="0" w:evenHBand="0" w:firstRowFirstColumn="0" w:firstRowLastColumn="0" w:lastRowFirstColumn="0" w:lastRowLastColumn="0"/>
            <w:tcW w:w="0" w:type="dxa"/>
            <w:hideMark/>
          </w:tcPr>
          <w:p w:rsidR="00A43D17" w:rsidRPr="00FC6062" w:rsidRDefault="00A221CD"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 xml:space="preserve">Interest expense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auto" w:fill="auto"/>
            <w:vAlign w:val="center"/>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(301</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5)</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A43D17" w:rsidRPr="00FC6062" w:rsidRDefault="002C3515"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eastAsia="Times New Roman"/>
                <w:color w:val="000000"/>
                <w:sz w:val="24"/>
                <w:szCs w:val="24"/>
                <w:lang w:val="en-GB" w:eastAsia="hr-HR"/>
              </w:rPr>
              <w:t>(255</w:t>
            </w:r>
            <w:r w:rsidR="00554B91" w:rsidRPr="00FC6062">
              <w:rPr>
                <w:rFonts w:eastAsia="Times New Roman"/>
                <w:color w:val="000000"/>
                <w:sz w:val="24"/>
                <w:szCs w:val="24"/>
                <w:lang w:val="en-GB" w:eastAsia="hr-HR"/>
              </w:rPr>
              <w:t>.</w:t>
            </w:r>
            <w:r w:rsidRPr="00FC6062">
              <w:rPr>
                <w:rFonts w:eastAsia="Times New Roman"/>
                <w:color w:val="000000"/>
                <w:sz w:val="24"/>
                <w:szCs w:val="24"/>
                <w:lang w:val="en-GB" w:eastAsia="hr-HR"/>
              </w:rPr>
              <w:t>0)</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(236</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7)</w:t>
            </w:r>
          </w:p>
        </w:tc>
      </w:tr>
      <w:tr w:rsidR="00A43D17" w:rsidRPr="00FC6062" w:rsidTr="000479D6">
        <w:trPr>
          <w:trHeight w:hRule="exact" w:val="557"/>
        </w:trPr>
        <w:tc>
          <w:tcPr>
            <w:cnfStyle w:val="001000000000" w:firstRow="0" w:lastRow="0" w:firstColumn="1" w:lastColumn="0" w:oddVBand="0" w:evenVBand="0" w:oddHBand="0" w:evenHBand="0" w:firstRowFirstColumn="0" w:firstRowLastColumn="0" w:lastRowFirstColumn="0" w:lastRowLastColumn="0"/>
            <w:tcW w:w="0" w:type="dxa"/>
            <w:vAlign w:val="bottom"/>
            <w:hideMark/>
          </w:tcPr>
          <w:p w:rsidR="00A43D17" w:rsidRPr="00FC6062" w:rsidRDefault="009F6178" w:rsidP="00A43D17">
            <w:pPr>
              <w:rPr>
                <w:rFonts w:ascii="Calibri" w:eastAsia="Times New Roman" w:hAnsi="Calibri" w:cs="Times New Roman"/>
                <w:b w:val="0"/>
                <w:color w:val="000000"/>
                <w:sz w:val="24"/>
                <w:szCs w:val="24"/>
                <w:lang w:val="en-GB" w:eastAsia="hr-HR"/>
              </w:rPr>
            </w:pPr>
            <w:r w:rsidRPr="00FC6062">
              <w:rPr>
                <w:rFonts w:ascii="Calibri" w:eastAsia="Times New Roman" w:hAnsi="Calibri" w:cs="Times New Roman"/>
                <w:color w:val="000000"/>
                <w:sz w:val="24"/>
                <w:szCs w:val="24"/>
                <w:lang w:val="en-GB" w:eastAsia="hr-HR"/>
              </w:rPr>
              <w:t>N</w:t>
            </w:r>
            <w:r w:rsidR="00A43D17" w:rsidRPr="00FC6062">
              <w:rPr>
                <w:rFonts w:ascii="Calibri" w:eastAsia="Times New Roman" w:hAnsi="Calibri" w:cs="Times New Roman"/>
                <w:color w:val="000000"/>
                <w:sz w:val="24"/>
                <w:szCs w:val="24"/>
                <w:lang w:val="en-GB" w:eastAsia="hr-HR"/>
              </w:rPr>
              <w:t>et</w:t>
            </w:r>
            <w:r w:rsidR="00A221CD" w:rsidRPr="00FC6062">
              <w:rPr>
                <w:rFonts w:ascii="Calibri" w:eastAsia="Times New Roman" w:hAnsi="Calibri" w:cs="Times New Roman"/>
                <w:color w:val="000000"/>
                <w:sz w:val="24"/>
                <w:szCs w:val="24"/>
                <w:lang w:val="en-GB" w:eastAsia="hr-HR"/>
              </w:rPr>
              <w:t xml:space="preserve"> interest income </w:t>
            </w:r>
          </w:p>
        </w:tc>
        <w:tc>
          <w:tcPr>
            <w:tcW w:w="0" w:type="dxa"/>
            <w:tcBorders>
              <w:top w:val="single" w:sz="4" w:space="0" w:color="999999" w:themeColor="text1" w:themeTint="66"/>
              <w:left w:val="nil"/>
              <w:bottom w:val="single" w:sz="4" w:space="0" w:color="999999" w:themeColor="text1" w:themeTint="66"/>
              <w:right w:val="single" w:sz="4" w:space="0" w:color="999999" w:themeColor="text1" w:themeTint="66"/>
            </w:tcBorders>
            <w:shd w:val="clear" w:color="000000" w:fill="FFFFFF"/>
            <w:vAlign w:val="bottom"/>
          </w:tcPr>
          <w:p w:rsidR="00A43D17" w:rsidRPr="00FC6062" w:rsidRDefault="002C3515" w:rsidP="009F61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359</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7</w:t>
            </w:r>
          </w:p>
        </w:tc>
        <w:tc>
          <w:tcPr>
            <w:tcW w:w="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rsidR="000B7E5F" w:rsidRPr="00FC6062" w:rsidRDefault="002C3515" w:rsidP="009F6178">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FC6062">
              <w:rPr>
                <w:rFonts w:eastAsia="Times New Roman"/>
                <w:bCs/>
                <w:color w:val="000000"/>
                <w:sz w:val="24"/>
                <w:szCs w:val="24"/>
                <w:lang w:val="en-GB" w:eastAsia="hr-HR"/>
              </w:rPr>
              <w:t>308</w:t>
            </w:r>
            <w:r w:rsidR="00554B91" w:rsidRPr="00FC6062">
              <w:rPr>
                <w:rFonts w:eastAsia="Times New Roman"/>
                <w:bCs/>
                <w:color w:val="000000"/>
                <w:sz w:val="24"/>
                <w:szCs w:val="24"/>
                <w:lang w:val="en-GB" w:eastAsia="hr-HR"/>
              </w:rPr>
              <w:t>.</w:t>
            </w:r>
            <w:r w:rsidRPr="00FC6062">
              <w:rPr>
                <w:rFonts w:eastAsia="Times New Roman"/>
                <w:bCs/>
                <w:color w:val="000000"/>
                <w:sz w:val="24"/>
                <w:szCs w:val="24"/>
                <w:lang w:val="en-GB" w:eastAsia="hr-HR"/>
              </w:rPr>
              <w:t>1</w:t>
            </w:r>
          </w:p>
        </w:tc>
        <w:tc>
          <w:tcPr>
            <w:tcW w:w="0"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rsidR="00A43D17" w:rsidRPr="00FC6062" w:rsidRDefault="00C5535B" w:rsidP="009F61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246</w:t>
            </w:r>
            <w:r w:rsidR="00554B91" w:rsidRPr="00FC6062">
              <w:rPr>
                <w:rFonts w:ascii="Calibri" w:eastAsia="Times New Roman" w:hAnsi="Calibri" w:cs="Times New Roman"/>
                <w:color w:val="000000"/>
                <w:sz w:val="24"/>
                <w:szCs w:val="24"/>
                <w:lang w:val="en-GB" w:eastAsia="hr-HR"/>
              </w:rPr>
              <w:t>.</w:t>
            </w:r>
            <w:r w:rsidRPr="00FC6062">
              <w:rPr>
                <w:rFonts w:ascii="Calibri" w:eastAsia="Times New Roman" w:hAnsi="Calibri" w:cs="Times New Roman"/>
                <w:color w:val="000000"/>
                <w:sz w:val="24"/>
                <w:szCs w:val="24"/>
                <w:lang w:val="en-GB" w:eastAsia="hr-HR"/>
              </w:rPr>
              <w:t>6</w:t>
            </w:r>
          </w:p>
        </w:tc>
      </w:tr>
    </w:tbl>
    <w:p w:rsidR="00D845FC" w:rsidRPr="00FC6062"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236FE9" w:rsidRPr="00FC6062" w:rsidRDefault="00236FE9"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3132C3" w:rsidRPr="00FC6062" w:rsidRDefault="004D1734"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r>
        <w:rPr>
          <w:rFonts w:eastAsia="Times New Roman" w:cs="Calibri"/>
          <w:b/>
          <w:caps/>
          <w:noProof/>
          <w:spacing w:val="-3"/>
          <w:sz w:val="26"/>
          <w:szCs w:val="26"/>
          <w:lang w:val="en-GB" w:eastAsia="hr-HR"/>
        </w:rPr>
        <w:drawing>
          <wp:inline distT="0" distB="0" distL="0" distR="0" wp14:anchorId="7A2865F0">
            <wp:extent cx="3121200" cy="2285123"/>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200" cy="2285123"/>
                    </a:xfrm>
                    <a:prstGeom prst="rect">
                      <a:avLst/>
                    </a:prstGeom>
                    <a:noFill/>
                  </pic:spPr>
                </pic:pic>
              </a:graphicData>
            </a:graphic>
          </wp:inline>
        </w:drawing>
      </w:r>
      <w:r w:rsidR="005E367B" w:rsidRPr="00FC6062">
        <w:rPr>
          <w:rFonts w:eastAsia="Times New Roman" w:cs="Calibri"/>
          <w:b/>
          <w:caps/>
          <w:spacing w:val="-3"/>
          <w:sz w:val="26"/>
          <w:szCs w:val="26"/>
          <w:lang w:val="en-GB" w:eastAsia="hr-HR"/>
        </w:rPr>
        <w:t xml:space="preserve"> </w:t>
      </w:r>
      <w:r w:rsidR="002105E8" w:rsidRPr="00FC6062">
        <w:rPr>
          <w:rFonts w:eastAsia="Times New Roman" w:cs="Calibri"/>
          <w:b/>
          <w:caps/>
          <w:spacing w:val="-3"/>
          <w:sz w:val="26"/>
          <w:szCs w:val="26"/>
          <w:lang w:val="en-GB" w:eastAsia="hr-HR"/>
        </w:rPr>
        <w:t xml:space="preserve">   </w:t>
      </w:r>
      <w:r w:rsidR="00CC3EF3">
        <w:rPr>
          <w:rFonts w:eastAsia="Times New Roman" w:cs="Calibri"/>
          <w:b/>
          <w:caps/>
          <w:noProof/>
          <w:spacing w:val="-3"/>
          <w:sz w:val="26"/>
          <w:szCs w:val="26"/>
          <w:lang w:val="en-GB" w:eastAsia="hr-HR"/>
        </w:rPr>
        <w:drawing>
          <wp:inline distT="0" distB="0" distL="0" distR="0" wp14:anchorId="45017807" wp14:editId="64668C18">
            <wp:extent cx="3182975" cy="2325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2975" cy="2325600"/>
                    </a:xfrm>
                    <a:prstGeom prst="rect">
                      <a:avLst/>
                    </a:prstGeom>
                    <a:noFill/>
                  </pic:spPr>
                </pic:pic>
              </a:graphicData>
            </a:graphic>
          </wp:inline>
        </w:drawing>
      </w:r>
    </w:p>
    <w:p w:rsidR="000F04E1" w:rsidRPr="00FC6062" w:rsidRDefault="000F04E1"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rsidR="00696C5A" w:rsidRPr="00FC6062" w:rsidRDefault="00CC3EF3"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r>
        <w:rPr>
          <w:rFonts w:eastAsia="Times New Roman" w:cs="Calibri"/>
          <w:b/>
          <w:caps/>
          <w:noProof/>
          <w:spacing w:val="-3"/>
          <w:sz w:val="26"/>
          <w:szCs w:val="26"/>
          <w:lang w:val="en-GB" w:eastAsia="hr-HR"/>
        </w:rPr>
        <w:drawing>
          <wp:inline distT="0" distB="0" distL="0" distR="0" wp14:anchorId="7D4A1BD2">
            <wp:extent cx="3186000" cy="227625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6000" cy="2276253"/>
                    </a:xfrm>
                    <a:prstGeom prst="rect">
                      <a:avLst/>
                    </a:prstGeom>
                    <a:noFill/>
                  </pic:spPr>
                </pic:pic>
              </a:graphicData>
            </a:graphic>
          </wp:inline>
        </w:drawing>
      </w:r>
      <w:r w:rsidR="00945DA9" w:rsidRPr="00FC6062">
        <w:rPr>
          <w:rFonts w:eastAsia="Times New Roman" w:cs="Calibri"/>
          <w:b/>
          <w:caps/>
          <w:spacing w:val="-3"/>
          <w:sz w:val="26"/>
          <w:szCs w:val="26"/>
          <w:lang w:val="en-GB" w:eastAsia="hr-HR"/>
        </w:rPr>
        <w:t xml:space="preserve">  </w:t>
      </w:r>
      <w:r>
        <w:rPr>
          <w:rFonts w:eastAsia="Times New Roman" w:cs="Calibri"/>
          <w:b/>
          <w:caps/>
          <w:noProof/>
          <w:spacing w:val="-3"/>
          <w:sz w:val="26"/>
          <w:szCs w:val="26"/>
          <w:lang w:val="en-GB" w:eastAsia="hr-HR"/>
        </w:rPr>
        <w:drawing>
          <wp:inline distT="0" distB="0" distL="0" distR="0" wp14:anchorId="7166C550">
            <wp:extent cx="3230858" cy="2304000"/>
            <wp:effectExtent l="0" t="0" r="825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0858" cy="2304000"/>
                    </a:xfrm>
                    <a:prstGeom prst="rect">
                      <a:avLst/>
                    </a:prstGeom>
                    <a:noFill/>
                  </pic:spPr>
                </pic:pic>
              </a:graphicData>
            </a:graphic>
          </wp:inline>
        </w:drawing>
      </w:r>
      <w:r w:rsidR="00264224" w:rsidRPr="00FC6062">
        <w:rPr>
          <w:rFonts w:eastAsia="Times New Roman" w:cs="Calibri"/>
          <w:b/>
          <w:caps/>
          <w:spacing w:val="-3"/>
          <w:sz w:val="26"/>
          <w:szCs w:val="26"/>
          <w:lang w:val="en-GB" w:eastAsia="hr-HR"/>
        </w:rPr>
        <w:t xml:space="preserve"> </w:t>
      </w:r>
    </w:p>
    <w:p w:rsidR="00696C5A" w:rsidRPr="00FC6062" w:rsidRDefault="00696C5A"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r w:rsidRPr="00FC6062">
        <w:rPr>
          <w:rFonts w:eastAsia="Times New Roman" w:cs="Calibri"/>
          <w:b/>
          <w:caps/>
          <w:spacing w:val="-3"/>
          <w:sz w:val="26"/>
          <w:szCs w:val="26"/>
          <w:lang w:val="en-GB" w:eastAsia="hr-HR"/>
        </w:rPr>
        <w:t xml:space="preserve">                                                                          </w:t>
      </w:r>
    </w:p>
    <w:p w:rsidR="007A3C54" w:rsidRPr="00FC6062" w:rsidRDefault="007A3C54"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rsidR="00D06365" w:rsidRPr="00FC6062"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rsidR="00794772" w:rsidRPr="00FC6062" w:rsidRDefault="00794772"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r w:rsidRPr="00FC6062">
        <w:rPr>
          <w:rFonts w:eastAsia="Times New Roman" w:cs="Calibri"/>
          <w:b/>
          <w:spacing w:val="-3"/>
          <w:sz w:val="24"/>
          <w:szCs w:val="24"/>
          <w:lang w:val="en-GB" w:eastAsia="hr-HR"/>
        </w:rPr>
        <w:t>Re</w:t>
      </w:r>
      <w:r w:rsidR="00767B76" w:rsidRPr="00FC6062">
        <w:rPr>
          <w:rFonts w:eastAsia="Times New Roman" w:cs="Calibri"/>
          <w:b/>
          <w:spacing w:val="-3"/>
          <w:sz w:val="24"/>
          <w:szCs w:val="24"/>
          <w:lang w:val="en-GB" w:eastAsia="hr-HR"/>
        </w:rPr>
        <w:t>s</w:t>
      </w:r>
      <w:r w:rsidRPr="00FC6062">
        <w:rPr>
          <w:rFonts w:eastAsia="Times New Roman" w:cs="Calibri"/>
          <w:b/>
          <w:spacing w:val="-3"/>
          <w:sz w:val="24"/>
          <w:szCs w:val="24"/>
          <w:lang w:val="en-GB" w:eastAsia="hr-HR"/>
        </w:rPr>
        <w:t>ult</w:t>
      </w:r>
      <w:r w:rsidR="00767B76" w:rsidRPr="00FC6062">
        <w:rPr>
          <w:rFonts w:eastAsia="Times New Roman" w:cs="Calibri"/>
          <w:b/>
          <w:spacing w:val="-3"/>
          <w:sz w:val="24"/>
          <w:szCs w:val="24"/>
          <w:lang w:val="en-GB" w:eastAsia="hr-HR"/>
        </w:rPr>
        <w:t xml:space="preserve">s of the </w:t>
      </w:r>
      <w:r w:rsidRPr="00FC6062">
        <w:rPr>
          <w:rFonts w:eastAsia="Times New Roman" w:cs="Calibri"/>
          <w:b/>
          <w:spacing w:val="-3"/>
          <w:sz w:val="24"/>
          <w:szCs w:val="24"/>
          <w:lang w:val="en-GB" w:eastAsia="hr-HR"/>
        </w:rPr>
        <w:t>Gr</w:t>
      </w:r>
      <w:r w:rsidR="00767B76" w:rsidRPr="00FC6062">
        <w:rPr>
          <w:rFonts w:eastAsia="Times New Roman" w:cs="Calibri"/>
          <w:b/>
          <w:spacing w:val="-3"/>
          <w:sz w:val="24"/>
          <w:szCs w:val="24"/>
          <w:lang w:val="en-GB" w:eastAsia="hr-HR"/>
        </w:rPr>
        <w:t>o</w:t>
      </w:r>
      <w:r w:rsidRPr="00FC6062">
        <w:rPr>
          <w:rFonts w:eastAsia="Times New Roman" w:cs="Calibri"/>
          <w:b/>
          <w:spacing w:val="-3"/>
          <w:sz w:val="24"/>
          <w:szCs w:val="24"/>
          <w:lang w:val="en-GB" w:eastAsia="hr-HR"/>
        </w:rPr>
        <w:t xml:space="preserve">up </w:t>
      </w:r>
    </w:p>
    <w:p w:rsidR="003E5F5C" w:rsidRPr="00FC6062" w:rsidRDefault="003E5F5C" w:rsidP="00794772">
      <w:pPr>
        <w:spacing w:after="0" w:line="240" w:lineRule="auto"/>
        <w:rPr>
          <w:rFonts w:eastAsia="Times New Roman" w:cs="Calibri"/>
          <w:b/>
          <w:spacing w:val="-3"/>
          <w:u w:val="single"/>
          <w:lang w:val="en-GB" w:eastAsia="hr-HR"/>
        </w:rPr>
      </w:pPr>
    </w:p>
    <w:p w:rsidR="00794772" w:rsidRPr="00FC6062" w:rsidRDefault="00767B76" w:rsidP="00794772">
      <w:pPr>
        <w:spacing w:after="0" w:line="240" w:lineRule="auto"/>
        <w:jc w:val="both"/>
        <w:rPr>
          <w:rFonts w:cstheme="minorHAnsi"/>
          <w:sz w:val="24"/>
          <w:szCs w:val="24"/>
          <w:lang w:val="en-GB"/>
        </w:rPr>
      </w:pPr>
      <w:r w:rsidRPr="00FC6062">
        <w:rPr>
          <w:rFonts w:cstheme="minorHAnsi"/>
          <w:sz w:val="24"/>
          <w:szCs w:val="24"/>
          <w:lang w:val="en-GB"/>
        </w:rPr>
        <w:t xml:space="preserve">In the period </w:t>
      </w:r>
      <w:r w:rsidR="00794772" w:rsidRPr="00FC6062">
        <w:rPr>
          <w:rFonts w:cstheme="minorHAnsi"/>
          <w:sz w:val="24"/>
          <w:szCs w:val="24"/>
          <w:lang w:val="en-GB"/>
        </w:rPr>
        <w:t>1</w:t>
      </w:r>
      <w:r w:rsidR="002E1970" w:rsidRPr="00FC6062">
        <w:rPr>
          <w:rFonts w:cstheme="minorHAnsi"/>
          <w:sz w:val="24"/>
          <w:szCs w:val="24"/>
          <w:lang w:val="en-GB"/>
        </w:rPr>
        <w:t xml:space="preserve"> January – </w:t>
      </w:r>
      <w:r w:rsidR="0081351E" w:rsidRPr="00FC6062">
        <w:rPr>
          <w:rFonts w:cstheme="minorHAnsi"/>
          <w:sz w:val="24"/>
          <w:szCs w:val="24"/>
          <w:lang w:val="en-GB"/>
        </w:rPr>
        <w:t>30</w:t>
      </w:r>
      <w:r w:rsidR="002E1970" w:rsidRPr="00FC6062">
        <w:rPr>
          <w:rFonts w:cstheme="minorHAnsi"/>
          <w:sz w:val="24"/>
          <w:szCs w:val="24"/>
          <w:lang w:val="en-GB"/>
        </w:rPr>
        <w:t xml:space="preserve"> September </w:t>
      </w:r>
      <w:r w:rsidR="001101C0" w:rsidRPr="00FC6062">
        <w:rPr>
          <w:rFonts w:cstheme="minorHAnsi"/>
          <w:sz w:val="24"/>
          <w:szCs w:val="24"/>
          <w:lang w:val="en-GB"/>
        </w:rPr>
        <w:t>201</w:t>
      </w:r>
      <w:r w:rsidR="00AF3519" w:rsidRPr="00FC6062">
        <w:rPr>
          <w:rFonts w:cstheme="minorHAnsi"/>
          <w:sz w:val="24"/>
          <w:szCs w:val="24"/>
          <w:lang w:val="en-GB"/>
        </w:rPr>
        <w:t>9</w:t>
      </w:r>
      <w:r w:rsidR="002E1970" w:rsidRPr="00FC6062">
        <w:rPr>
          <w:rFonts w:cstheme="minorHAnsi"/>
          <w:sz w:val="24"/>
          <w:szCs w:val="24"/>
          <w:lang w:val="en-GB"/>
        </w:rPr>
        <w:t xml:space="preserve">, </w:t>
      </w:r>
      <w:r w:rsidR="00786D6A" w:rsidRPr="00FC6062">
        <w:rPr>
          <w:rFonts w:cstheme="minorHAnsi"/>
          <w:sz w:val="24"/>
          <w:szCs w:val="24"/>
          <w:lang w:val="en-GB"/>
        </w:rPr>
        <w:t>the</w:t>
      </w:r>
      <w:r w:rsidR="002E1970" w:rsidRPr="00FC6062">
        <w:rPr>
          <w:rFonts w:cstheme="minorHAnsi"/>
          <w:sz w:val="24"/>
          <w:szCs w:val="24"/>
          <w:lang w:val="en-GB"/>
        </w:rPr>
        <w:t xml:space="preserve"> HBOR Group generated profit after tax in the amount </w:t>
      </w:r>
      <w:r w:rsidR="00786D6A" w:rsidRPr="00FC6062">
        <w:rPr>
          <w:rFonts w:cstheme="minorHAnsi"/>
          <w:sz w:val="24"/>
          <w:szCs w:val="24"/>
          <w:lang w:val="en-GB"/>
        </w:rPr>
        <w:t xml:space="preserve">of HRK </w:t>
      </w:r>
      <w:r w:rsidR="00C5535B" w:rsidRPr="00FC6062">
        <w:rPr>
          <w:rFonts w:cstheme="minorHAnsi"/>
          <w:sz w:val="24"/>
          <w:szCs w:val="24"/>
          <w:lang w:val="en-GB"/>
        </w:rPr>
        <w:t>143</w:t>
      </w:r>
      <w:r w:rsidR="00786D6A" w:rsidRPr="00FC6062">
        <w:rPr>
          <w:rFonts w:cstheme="minorHAnsi"/>
          <w:sz w:val="24"/>
          <w:szCs w:val="24"/>
          <w:lang w:val="en-GB"/>
        </w:rPr>
        <w:t>.</w:t>
      </w:r>
      <w:r w:rsidR="00C5535B" w:rsidRPr="00FC6062">
        <w:rPr>
          <w:rFonts w:cstheme="minorHAnsi"/>
          <w:sz w:val="24"/>
          <w:szCs w:val="24"/>
          <w:lang w:val="en-GB"/>
        </w:rPr>
        <w:t>9</w:t>
      </w:r>
      <w:r w:rsidR="00786D6A" w:rsidRPr="00FC6062">
        <w:rPr>
          <w:rFonts w:cstheme="minorHAnsi"/>
          <w:sz w:val="24"/>
          <w:szCs w:val="24"/>
          <w:lang w:val="en-GB"/>
        </w:rPr>
        <w:t xml:space="preserve"> million</w:t>
      </w:r>
      <w:r w:rsidR="00794772" w:rsidRPr="00FC6062">
        <w:rPr>
          <w:rFonts w:cstheme="minorHAnsi"/>
          <w:sz w:val="24"/>
          <w:szCs w:val="24"/>
          <w:lang w:val="en-GB"/>
        </w:rPr>
        <w:t xml:space="preserve">. </w:t>
      </w:r>
    </w:p>
    <w:p w:rsidR="00794772" w:rsidRPr="00FC6062" w:rsidRDefault="00794772" w:rsidP="00794772">
      <w:pPr>
        <w:spacing w:after="0" w:line="240" w:lineRule="auto"/>
        <w:jc w:val="both"/>
        <w:rPr>
          <w:rFonts w:cstheme="minorHAnsi"/>
          <w:lang w:val="en-GB"/>
        </w:rPr>
      </w:pPr>
    </w:p>
    <w:p w:rsidR="00794772" w:rsidRPr="00FC6062" w:rsidRDefault="002E1970" w:rsidP="00794772">
      <w:pPr>
        <w:spacing w:after="0" w:line="240" w:lineRule="auto"/>
        <w:jc w:val="both"/>
        <w:rPr>
          <w:rFonts w:cstheme="minorHAnsi"/>
          <w:sz w:val="24"/>
          <w:szCs w:val="24"/>
          <w:lang w:val="en-GB"/>
        </w:rPr>
      </w:pPr>
      <w:r w:rsidRPr="00FC6062">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FC6062">
        <w:rPr>
          <w:rFonts w:cstheme="minorHAnsi"/>
          <w:sz w:val="24"/>
          <w:szCs w:val="24"/>
          <w:lang w:val="en-GB"/>
        </w:rPr>
        <w:t>.</w:t>
      </w:r>
    </w:p>
    <w:p w:rsidR="00794772" w:rsidRPr="00FC6062" w:rsidRDefault="00794772" w:rsidP="00794772">
      <w:pPr>
        <w:spacing w:after="0" w:line="240" w:lineRule="auto"/>
        <w:jc w:val="both"/>
        <w:rPr>
          <w:rFonts w:cstheme="minorHAnsi"/>
          <w:lang w:val="en-GB"/>
        </w:rPr>
      </w:pPr>
    </w:p>
    <w:p w:rsidR="00794772" w:rsidRPr="00FC6062" w:rsidRDefault="00786D6A" w:rsidP="00794772">
      <w:pPr>
        <w:spacing w:after="0" w:line="240" w:lineRule="auto"/>
        <w:jc w:val="both"/>
        <w:rPr>
          <w:rFonts w:cstheme="minorHAnsi"/>
          <w:sz w:val="24"/>
          <w:szCs w:val="24"/>
          <w:lang w:val="en-GB"/>
        </w:rPr>
      </w:pPr>
      <w:r w:rsidRPr="00FC6062">
        <w:rPr>
          <w:rFonts w:cstheme="minorHAnsi"/>
          <w:sz w:val="24"/>
          <w:szCs w:val="24"/>
          <w:lang w:val="en-GB"/>
        </w:rPr>
        <w:t xml:space="preserve">In the period </w:t>
      </w:r>
      <w:r w:rsidR="00794772" w:rsidRPr="00FC6062">
        <w:rPr>
          <w:rFonts w:cstheme="minorHAnsi"/>
          <w:sz w:val="24"/>
          <w:szCs w:val="24"/>
          <w:lang w:val="en-GB"/>
        </w:rPr>
        <w:t>1</w:t>
      </w:r>
      <w:r w:rsidRPr="00FC6062">
        <w:rPr>
          <w:rFonts w:cstheme="minorHAnsi"/>
          <w:sz w:val="24"/>
          <w:szCs w:val="24"/>
          <w:lang w:val="en-GB"/>
        </w:rPr>
        <w:t xml:space="preserve"> January – 30 September </w:t>
      </w:r>
      <w:r w:rsidR="001101C0" w:rsidRPr="00FC6062">
        <w:rPr>
          <w:rFonts w:cstheme="minorHAnsi"/>
          <w:sz w:val="24"/>
          <w:szCs w:val="24"/>
          <w:lang w:val="en-GB"/>
        </w:rPr>
        <w:t>201</w:t>
      </w:r>
      <w:r w:rsidR="002105C2" w:rsidRPr="00FC6062">
        <w:rPr>
          <w:rFonts w:cstheme="minorHAnsi"/>
          <w:sz w:val="24"/>
          <w:szCs w:val="24"/>
          <w:lang w:val="en-GB"/>
        </w:rPr>
        <w:t>9</w:t>
      </w:r>
      <w:r w:rsidRPr="00FC6062">
        <w:rPr>
          <w:rFonts w:cstheme="minorHAnsi"/>
          <w:sz w:val="24"/>
          <w:szCs w:val="24"/>
          <w:lang w:val="en-GB"/>
        </w:rPr>
        <w:t xml:space="preserve">, total income on consolidated basis amounted to HRK </w:t>
      </w:r>
      <w:r w:rsidR="00C5535B" w:rsidRPr="00FC6062">
        <w:rPr>
          <w:rFonts w:cstheme="minorHAnsi"/>
          <w:sz w:val="24"/>
          <w:szCs w:val="24"/>
          <w:lang w:val="en-GB"/>
        </w:rPr>
        <w:t>525</w:t>
      </w:r>
      <w:r w:rsidRPr="00FC6062">
        <w:rPr>
          <w:rFonts w:cstheme="minorHAnsi"/>
          <w:sz w:val="24"/>
          <w:szCs w:val="24"/>
          <w:lang w:val="en-GB"/>
        </w:rPr>
        <w:t>.</w:t>
      </w:r>
      <w:r w:rsidR="00C5535B" w:rsidRPr="00FC6062">
        <w:rPr>
          <w:rFonts w:cstheme="minorHAnsi"/>
          <w:sz w:val="24"/>
          <w:szCs w:val="24"/>
          <w:lang w:val="en-GB"/>
        </w:rPr>
        <w:t>2</w:t>
      </w:r>
      <w:r w:rsidRPr="00FC6062">
        <w:rPr>
          <w:rFonts w:cstheme="minorHAnsi"/>
          <w:sz w:val="24"/>
          <w:szCs w:val="24"/>
          <w:lang w:val="en-GB"/>
        </w:rPr>
        <w:t xml:space="preserve"> million, whereas total expenses amounted to HRK </w:t>
      </w:r>
      <w:r w:rsidR="00C5535B" w:rsidRPr="00FC6062">
        <w:rPr>
          <w:rFonts w:cstheme="minorHAnsi"/>
          <w:sz w:val="24"/>
          <w:szCs w:val="24"/>
          <w:lang w:val="en-GB"/>
        </w:rPr>
        <w:t>381</w:t>
      </w:r>
      <w:r w:rsidRPr="00FC6062">
        <w:rPr>
          <w:rFonts w:cstheme="minorHAnsi"/>
          <w:sz w:val="24"/>
          <w:szCs w:val="24"/>
          <w:lang w:val="en-GB"/>
        </w:rPr>
        <w:t>.</w:t>
      </w:r>
      <w:r w:rsidR="00C5535B" w:rsidRPr="00FC6062">
        <w:rPr>
          <w:rFonts w:cstheme="minorHAnsi"/>
          <w:sz w:val="24"/>
          <w:szCs w:val="24"/>
          <w:lang w:val="en-GB"/>
        </w:rPr>
        <w:t>3</w:t>
      </w:r>
      <w:r w:rsidR="00794772" w:rsidRPr="00FC6062">
        <w:rPr>
          <w:rFonts w:cstheme="minorHAnsi"/>
          <w:sz w:val="24"/>
          <w:szCs w:val="24"/>
          <w:lang w:val="en-GB"/>
        </w:rPr>
        <w:t xml:space="preserve"> </w:t>
      </w:r>
      <w:r w:rsidRPr="00FC6062">
        <w:rPr>
          <w:rFonts w:cstheme="minorHAnsi"/>
          <w:sz w:val="24"/>
          <w:szCs w:val="24"/>
          <w:lang w:val="en-GB"/>
        </w:rPr>
        <w:t>million</w:t>
      </w:r>
      <w:r w:rsidR="00794772" w:rsidRPr="00FC6062">
        <w:rPr>
          <w:rFonts w:cstheme="minorHAnsi"/>
          <w:sz w:val="24"/>
          <w:szCs w:val="24"/>
          <w:lang w:val="en-GB"/>
        </w:rPr>
        <w:t>.</w:t>
      </w:r>
    </w:p>
    <w:p w:rsidR="00794772" w:rsidRPr="00FC6062" w:rsidRDefault="00794772" w:rsidP="00794772">
      <w:pPr>
        <w:spacing w:after="0" w:line="240" w:lineRule="auto"/>
        <w:jc w:val="both"/>
        <w:rPr>
          <w:rFonts w:cstheme="minorHAnsi"/>
          <w:lang w:val="en-GB"/>
        </w:rPr>
      </w:pPr>
    </w:p>
    <w:p w:rsidR="00794772" w:rsidRPr="00FC6062" w:rsidRDefault="002E1970" w:rsidP="00794772">
      <w:pPr>
        <w:spacing w:after="0" w:line="240" w:lineRule="auto"/>
        <w:jc w:val="both"/>
        <w:rPr>
          <w:rFonts w:cstheme="minorHAnsi"/>
          <w:sz w:val="24"/>
          <w:szCs w:val="24"/>
          <w:lang w:val="en-GB"/>
        </w:rPr>
      </w:pPr>
      <w:r w:rsidRPr="00FC6062">
        <w:rPr>
          <w:rFonts w:cstheme="minorHAnsi"/>
          <w:sz w:val="24"/>
          <w:szCs w:val="24"/>
          <w:lang w:val="en-GB"/>
        </w:rPr>
        <w:t xml:space="preserve">The consolidated total income decreased by </w:t>
      </w:r>
      <w:r w:rsidR="00786D6A" w:rsidRPr="00FC6062">
        <w:rPr>
          <w:rFonts w:cstheme="minorHAnsi"/>
          <w:sz w:val="24"/>
          <w:szCs w:val="24"/>
          <w:lang w:val="en-GB"/>
        </w:rPr>
        <w:t>14.9</w:t>
      </w:r>
      <w:r w:rsidRPr="00FC6062">
        <w:rPr>
          <w:rFonts w:cstheme="minorHAnsi"/>
          <w:sz w:val="24"/>
          <w:szCs w:val="24"/>
          <w:lang w:val="en-GB"/>
        </w:rPr>
        <w:t xml:space="preserve"> percent, whereas total expenses</w:t>
      </w:r>
      <w:r w:rsidR="00786D6A" w:rsidRPr="00FC6062">
        <w:rPr>
          <w:rFonts w:cstheme="minorHAnsi"/>
          <w:sz w:val="24"/>
          <w:szCs w:val="24"/>
          <w:lang w:val="en-GB"/>
        </w:rPr>
        <w:t xml:space="preserve"> decreased</w:t>
      </w:r>
      <w:r w:rsidRPr="00FC6062">
        <w:rPr>
          <w:rFonts w:cstheme="minorHAnsi"/>
          <w:sz w:val="24"/>
          <w:szCs w:val="24"/>
          <w:lang w:val="en-GB"/>
        </w:rPr>
        <w:t xml:space="preserve"> by </w:t>
      </w:r>
      <w:r w:rsidR="00786D6A" w:rsidRPr="00FC6062">
        <w:rPr>
          <w:rFonts w:cstheme="minorHAnsi"/>
          <w:sz w:val="24"/>
          <w:szCs w:val="24"/>
          <w:lang w:val="en-GB"/>
        </w:rPr>
        <w:t>26.5</w:t>
      </w:r>
      <w:r w:rsidRPr="00FC6062">
        <w:rPr>
          <w:rFonts w:cstheme="minorHAnsi"/>
          <w:sz w:val="24"/>
          <w:szCs w:val="24"/>
          <w:lang w:val="en-GB"/>
        </w:rPr>
        <w:t xml:space="preserve"> percent compared to the same period previous year due to the developments in total income and expenses of the parent company</w:t>
      </w:r>
      <w:r w:rsidR="00794772" w:rsidRPr="00FC6062">
        <w:rPr>
          <w:rFonts w:cstheme="minorHAnsi"/>
          <w:sz w:val="24"/>
          <w:szCs w:val="24"/>
          <w:lang w:val="en-GB"/>
        </w:rPr>
        <w:t>.</w:t>
      </w:r>
    </w:p>
    <w:p w:rsidR="00794772" w:rsidRPr="00FC6062" w:rsidRDefault="00794772" w:rsidP="00794772">
      <w:pPr>
        <w:spacing w:after="0" w:line="240" w:lineRule="auto"/>
        <w:jc w:val="both"/>
        <w:rPr>
          <w:rFonts w:cstheme="minorHAnsi"/>
          <w:lang w:val="en-GB"/>
        </w:rPr>
      </w:pPr>
    </w:p>
    <w:p w:rsidR="00794772" w:rsidRPr="00FC6062" w:rsidRDefault="00786D6A" w:rsidP="00794772">
      <w:pPr>
        <w:spacing w:after="0" w:line="240" w:lineRule="auto"/>
        <w:jc w:val="both"/>
        <w:rPr>
          <w:rFonts w:cstheme="minorHAnsi"/>
          <w:sz w:val="24"/>
          <w:szCs w:val="24"/>
          <w:lang w:val="en-GB"/>
        </w:rPr>
      </w:pPr>
      <w:r w:rsidRPr="00FC6062">
        <w:rPr>
          <w:rFonts w:cstheme="minorHAnsi"/>
          <w:sz w:val="24"/>
          <w:szCs w:val="24"/>
          <w:lang w:val="en-GB"/>
        </w:rPr>
        <w:t>In the breakdown of income of the Group, the largest portion, i.e. 92.0 percent, relates to interest income as a result of operations of the parent company</w:t>
      </w:r>
      <w:r w:rsidR="00794772" w:rsidRPr="00FC6062">
        <w:rPr>
          <w:rFonts w:cstheme="minorHAnsi"/>
          <w:sz w:val="24"/>
          <w:szCs w:val="24"/>
          <w:lang w:val="en-GB"/>
        </w:rPr>
        <w:t>.</w:t>
      </w:r>
    </w:p>
    <w:p w:rsidR="00794772" w:rsidRPr="00FC6062" w:rsidRDefault="00794772" w:rsidP="00794772">
      <w:pPr>
        <w:spacing w:after="0" w:line="240" w:lineRule="auto"/>
        <w:jc w:val="both"/>
        <w:rPr>
          <w:rFonts w:cstheme="minorHAnsi"/>
          <w:lang w:val="en-GB"/>
        </w:rPr>
      </w:pPr>
    </w:p>
    <w:p w:rsidR="00794772" w:rsidRPr="00FC6062" w:rsidRDefault="00DC354E" w:rsidP="00794772">
      <w:pPr>
        <w:spacing w:after="0" w:line="240" w:lineRule="auto"/>
        <w:jc w:val="both"/>
        <w:rPr>
          <w:rFonts w:cstheme="minorHAnsi"/>
          <w:sz w:val="24"/>
          <w:szCs w:val="24"/>
          <w:lang w:val="en-GB"/>
        </w:rPr>
      </w:pPr>
      <w:r w:rsidRPr="00FC6062">
        <w:rPr>
          <w:rFonts w:cstheme="minorHAnsi"/>
          <w:sz w:val="24"/>
          <w:szCs w:val="24"/>
          <w:lang w:val="en-GB"/>
        </w:rPr>
        <w:t>The major part of total expenses, i.e. 62.1 percent, relates to interest expenses arising from the operations of the parent company</w:t>
      </w:r>
      <w:r w:rsidR="00794772" w:rsidRPr="00FC6062">
        <w:rPr>
          <w:rFonts w:cstheme="minorHAnsi"/>
          <w:sz w:val="24"/>
          <w:szCs w:val="24"/>
          <w:lang w:val="en-GB"/>
        </w:rPr>
        <w:t>.</w:t>
      </w:r>
    </w:p>
    <w:p w:rsidR="00794772" w:rsidRPr="00FC6062" w:rsidRDefault="00794772" w:rsidP="00794772">
      <w:pPr>
        <w:spacing w:after="0" w:line="240" w:lineRule="auto"/>
        <w:jc w:val="both"/>
        <w:rPr>
          <w:rFonts w:cstheme="minorHAnsi"/>
          <w:lang w:val="en-GB"/>
        </w:rPr>
      </w:pPr>
    </w:p>
    <w:p w:rsidR="00794772" w:rsidRPr="00FC6062" w:rsidRDefault="00EC1392" w:rsidP="00794772">
      <w:pPr>
        <w:spacing w:after="0" w:line="240" w:lineRule="auto"/>
        <w:jc w:val="both"/>
        <w:rPr>
          <w:rFonts w:cstheme="minorHAnsi"/>
          <w:sz w:val="24"/>
          <w:szCs w:val="24"/>
          <w:lang w:val="en-GB"/>
        </w:rPr>
      </w:pPr>
      <w:r w:rsidRPr="00FC6062">
        <w:rPr>
          <w:rFonts w:cstheme="minorHAnsi"/>
          <w:sz w:val="24"/>
          <w:szCs w:val="24"/>
          <w:lang w:val="en-GB"/>
        </w:rPr>
        <w:t xml:space="preserve">The consolidated operating expenses in the period 1 January – 30 September 2019 amounted to HRK </w:t>
      </w:r>
      <w:r w:rsidR="005F2F49" w:rsidRPr="00FC6062">
        <w:rPr>
          <w:rFonts w:cstheme="minorHAnsi"/>
          <w:sz w:val="24"/>
          <w:szCs w:val="24"/>
          <w:lang w:val="en-GB"/>
        </w:rPr>
        <w:t>124</w:t>
      </w:r>
      <w:r w:rsidRPr="00FC6062">
        <w:rPr>
          <w:rFonts w:cstheme="minorHAnsi"/>
          <w:sz w:val="24"/>
          <w:szCs w:val="24"/>
          <w:lang w:val="en-GB"/>
        </w:rPr>
        <w:t>.</w:t>
      </w:r>
      <w:r w:rsidR="005F2F49" w:rsidRPr="00FC6062">
        <w:rPr>
          <w:rFonts w:cstheme="minorHAnsi"/>
          <w:sz w:val="24"/>
          <w:szCs w:val="24"/>
          <w:lang w:val="en-GB"/>
        </w:rPr>
        <w:t>0</w:t>
      </w:r>
      <w:r w:rsidR="00794772" w:rsidRPr="00FC6062">
        <w:rPr>
          <w:rFonts w:cstheme="minorHAnsi"/>
          <w:sz w:val="24"/>
          <w:szCs w:val="24"/>
          <w:lang w:val="en-GB"/>
        </w:rPr>
        <w:t xml:space="preserve"> </w:t>
      </w:r>
      <w:r w:rsidRPr="00FC6062">
        <w:rPr>
          <w:rFonts w:cstheme="minorHAnsi"/>
          <w:sz w:val="24"/>
          <w:szCs w:val="24"/>
          <w:lang w:val="en-GB"/>
        </w:rPr>
        <w:t>million and consisted of general and administrative expenses and other operating expenses</w:t>
      </w:r>
      <w:r w:rsidR="00794772" w:rsidRPr="00FC6062">
        <w:rPr>
          <w:rFonts w:cstheme="minorHAnsi"/>
          <w:sz w:val="24"/>
          <w:szCs w:val="24"/>
          <w:lang w:val="en-GB"/>
        </w:rPr>
        <w:t>.</w:t>
      </w:r>
    </w:p>
    <w:p w:rsidR="00794772" w:rsidRPr="00FC6062" w:rsidRDefault="00794772" w:rsidP="00794772">
      <w:pPr>
        <w:spacing w:after="0" w:line="240" w:lineRule="auto"/>
        <w:jc w:val="both"/>
        <w:rPr>
          <w:rFonts w:cstheme="minorHAnsi"/>
          <w:lang w:val="en-GB"/>
        </w:rPr>
      </w:pPr>
    </w:p>
    <w:p w:rsidR="00BF17D9" w:rsidRPr="00FC6062" w:rsidRDefault="00EC1392" w:rsidP="003D37AD">
      <w:pPr>
        <w:spacing w:after="0" w:line="240" w:lineRule="auto"/>
        <w:jc w:val="both"/>
        <w:rPr>
          <w:rFonts w:ascii="Calibri" w:eastAsia="Times New Roman" w:hAnsi="Calibri" w:cs="Times New Roman"/>
          <w:sz w:val="24"/>
          <w:szCs w:val="24"/>
          <w:lang w:val="en-GB"/>
        </w:rPr>
      </w:pPr>
      <w:r w:rsidRPr="00FC6062">
        <w:rPr>
          <w:sz w:val="24"/>
          <w:szCs w:val="24"/>
          <w:lang w:val="en-GB"/>
        </w:rPr>
        <w:t>On 30 September 2019, the Group had 386 employees (on 30 September 2018: 39</w:t>
      </w:r>
      <w:r w:rsidR="00F31BDE" w:rsidRPr="00FC6062">
        <w:rPr>
          <w:sz w:val="24"/>
          <w:szCs w:val="24"/>
          <w:lang w:val="en-GB"/>
        </w:rPr>
        <w:t>0</w:t>
      </w:r>
      <w:r w:rsidRPr="00FC6062">
        <w:rPr>
          <w:sz w:val="24"/>
          <w:szCs w:val="24"/>
          <w:lang w:val="en-GB"/>
        </w:rPr>
        <w:t xml:space="preserve"> employees</w:t>
      </w:r>
      <w:r w:rsidR="005A1E16" w:rsidRPr="00FC6062">
        <w:rPr>
          <w:sz w:val="24"/>
          <w:szCs w:val="24"/>
          <w:lang w:val="en-GB"/>
        </w:rPr>
        <w:t>)</w:t>
      </w:r>
      <w:r w:rsidR="00582BB8" w:rsidRPr="00FC6062">
        <w:rPr>
          <w:rFonts w:ascii="Calibri" w:eastAsia="Times New Roman" w:hAnsi="Calibri" w:cs="Times New Roman"/>
          <w:sz w:val="24"/>
          <w:szCs w:val="24"/>
          <w:lang w:val="en-GB"/>
        </w:rPr>
        <w:t>.</w:t>
      </w:r>
      <w:r w:rsidR="00582BB8" w:rsidRPr="00FC6062" w:rsidDel="009D6D4D">
        <w:rPr>
          <w:rFonts w:ascii="Calibri" w:eastAsia="Times New Roman" w:hAnsi="Calibri" w:cs="Times New Roman"/>
          <w:sz w:val="24"/>
          <w:szCs w:val="24"/>
          <w:lang w:val="en-GB"/>
        </w:rPr>
        <w:t xml:space="preserve"> </w:t>
      </w:r>
    </w:p>
    <w:p w:rsidR="00582BB8" w:rsidRPr="00FC6062" w:rsidRDefault="00582BB8" w:rsidP="00794772">
      <w:pPr>
        <w:spacing w:after="0" w:line="240" w:lineRule="auto"/>
        <w:rPr>
          <w:rFonts w:eastAsia="Times New Roman" w:cs="Calibri"/>
          <w:b/>
          <w:spacing w:val="-3"/>
          <w:sz w:val="24"/>
          <w:szCs w:val="24"/>
          <w:u w:val="single"/>
          <w:lang w:val="en-GB" w:eastAsia="hr-HR"/>
        </w:rPr>
      </w:pPr>
    </w:p>
    <w:p w:rsidR="00582BB8" w:rsidRPr="00FC6062" w:rsidRDefault="00582BB8" w:rsidP="00794772">
      <w:pPr>
        <w:spacing w:after="0" w:line="240" w:lineRule="auto"/>
        <w:rPr>
          <w:rFonts w:eastAsia="Times New Roman" w:cs="Calibri"/>
          <w:b/>
          <w:spacing w:val="-3"/>
          <w:u w:val="single"/>
          <w:lang w:val="en-GB" w:eastAsia="hr-HR"/>
        </w:rPr>
      </w:pPr>
    </w:p>
    <w:p w:rsidR="00BF17D9" w:rsidRPr="00FC6062" w:rsidRDefault="00EC1392" w:rsidP="00C23C95">
      <w:pPr>
        <w:spacing w:after="0" w:line="240" w:lineRule="auto"/>
        <w:rPr>
          <w:rFonts w:ascii="Calibri" w:hAnsi="Calibri" w:cs="Calibri"/>
          <w:b/>
          <w:sz w:val="24"/>
          <w:szCs w:val="24"/>
          <w:lang w:val="en-GB"/>
        </w:rPr>
      </w:pPr>
      <w:r w:rsidRPr="00FC6062">
        <w:rPr>
          <w:rFonts w:ascii="Calibri" w:hAnsi="Calibri" w:cs="Calibri"/>
          <w:b/>
          <w:sz w:val="24"/>
          <w:szCs w:val="24"/>
          <w:lang w:val="en-GB"/>
        </w:rPr>
        <w:t>Assets and liabilities of the Group</w:t>
      </w:r>
    </w:p>
    <w:p w:rsidR="003E5F5C" w:rsidRPr="00FC6062" w:rsidRDefault="003E5F5C" w:rsidP="00C23C95">
      <w:pPr>
        <w:spacing w:after="0" w:line="240" w:lineRule="auto"/>
        <w:rPr>
          <w:rFonts w:ascii="Calibri" w:hAnsi="Calibri" w:cs="Calibri"/>
          <w:lang w:val="en-GB"/>
        </w:rPr>
      </w:pPr>
    </w:p>
    <w:p w:rsidR="00934BFE" w:rsidRPr="00FC6062" w:rsidRDefault="00DA09FB" w:rsidP="00934BFE">
      <w:pPr>
        <w:spacing w:after="0" w:line="240" w:lineRule="auto"/>
        <w:jc w:val="both"/>
        <w:rPr>
          <w:rFonts w:cstheme="minorHAnsi"/>
          <w:sz w:val="24"/>
          <w:szCs w:val="24"/>
          <w:lang w:val="en-GB"/>
        </w:rPr>
      </w:pPr>
      <w:r w:rsidRPr="00FC6062">
        <w:rPr>
          <w:rFonts w:cstheme="minorHAnsi"/>
          <w:sz w:val="24"/>
          <w:szCs w:val="24"/>
          <w:lang w:val="en-GB"/>
        </w:rPr>
        <w:t>Total assets of the Group on consolidated basis amount to HRK</w:t>
      </w:r>
      <w:r w:rsidR="00934BFE" w:rsidRPr="00FC6062">
        <w:rPr>
          <w:rFonts w:cstheme="minorHAnsi"/>
          <w:sz w:val="24"/>
          <w:szCs w:val="24"/>
          <w:lang w:val="en-GB"/>
        </w:rPr>
        <w:t xml:space="preserve"> </w:t>
      </w:r>
      <w:r w:rsidR="00B52178" w:rsidRPr="00FC6062">
        <w:rPr>
          <w:rFonts w:cstheme="minorHAnsi"/>
          <w:sz w:val="24"/>
          <w:szCs w:val="24"/>
          <w:lang w:val="en-GB"/>
        </w:rPr>
        <w:t>26</w:t>
      </w:r>
      <w:r w:rsidRPr="00FC6062">
        <w:rPr>
          <w:rFonts w:cstheme="minorHAnsi"/>
          <w:sz w:val="24"/>
          <w:szCs w:val="24"/>
          <w:lang w:val="en-GB"/>
        </w:rPr>
        <w:t>,</w:t>
      </w:r>
      <w:r w:rsidR="005F2F49" w:rsidRPr="00FC6062">
        <w:rPr>
          <w:rFonts w:cstheme="minorHAnsi"/>
          <w:sz w:val="24"/>
          <w:szCs w:val="24"/>
          <w:lang w:val="en-GB"/>
        </w:rPr>
        <w:t>612</w:t>
      </w:r>
      <w:r w:rsidRPr="00FC6062">
        <w:rPr>
          <w:rFonts w:cstheme="minorHAnsi"/>
          <w:sz w:val="24"/>
          <w:szCs w:val="24"/>
          <w:lang w:val="en-GB"/>
        </w:rPr>
        <w:t>.</w:t>
      </w:r>
      <w:r w:rsidR="005F2F49" w:rsidRPr="00FC6062">
        <w:rPr>
          <w:rFonts w:cstheme="minorHAnsi"/>
          <w:sz w:val="24"/>
          <w:szCs w:val="24"/>
          <w:lang w:val="en-GB"/>
        </w:rPr>
        <w:t>2</w:t>
      </w:r>
      <w:r w:rsidR="001C3F5F" w:rsidRPr="00FC6062">
        <w:rPr>
          <w:rFonts w:cstheme="minorHAnsi"/>
          <w:sz w:val="24"/>
          <w:szCs w:val="24"/>
          <w:lang w:val="en-GB"/>
        </w:rPr>
        <w:t xml:space="preserve"> </w:t>
      </w:r>
      <w:r w:rsidRPr="00FC6062">
        <w:rPr>
          <w:rFonts w:cstheme="minorHAnsi"/>
          <w:sz w:val="24"/>
          <w:szCs w:val="24"/>
          <w:lang w:val="en-GB"/>
        </w:rPr>
        <w:t>million, a decrease of 2.2 percent compared with the beginning of the year. The reasons for such tendency are stated in the description of HBOR’s financial performance</w:t>
      </w:r>
      <w:r w:rsidR="007F3D20" w:rsidRPr="00FC6062">
        <w:rPr>
          <w:rFonts w:cstheme="minorHAnsi"/>
          <w:sz w:val="24"/>
          <w:szCs w:val="24"/>
          <w:lang w:val="en-GB"/>
        </w:rPr>
        <w:t>.</w:t>
      </w:r>
    </w:p>
    <w:p w:rsidR="007162FD" w:rsidRPr="00FC6062" w:rsidRDefault="007162FD" w:rsidP="00934BFE">
      <w:pPr>
        <w:spacing w:after="0" w:line="240" w:lineRule="auto"/>
        <w:jc w:val="both"/>
        <w:rPr>
          <w:rFonts w:cstheme="minorHAnsi"/>
          <w:lang w:val="en-GB"/>
        </w:rPr>
      </w:pPr>
    </w:p>
    <w:p w:rsidR="00934BFE" w:rsidRPr="00FC6062" w:rsidRDefault="00DA09FB" w:rsidP="00934BFE">
      <w:pPr>
        <w:spacing w:after="0" w:line="240" w:lineRule="auto"/>
        <w:jc w:val="both"/>
        <w:rPr>
          <w:rFonts w:cstheme="minorHAnsi"/>
          <w:sz w:val="24"/>
          <w:szCs w:val="24"/>
          <w:lang w:val="en-GB"/>
        </w:rPr>
      </w:pPr>
      <w:r w:rsidRPr="00FC6062">
        <w:rPr>
          <w:rFonts w:cstheme="minorHAnsi"/>
          <w:sz w:val="24"/>
          <w:szCs w:val="24"/>
          <w:lang w:val="en-GB"/>
        </w:rPr>
        <w:t>In the breakdown of assets, the major portion relates to the lending activities of the parent company, i.e. net loans account for 8</w:t>
      </w:r>
      <w:r w:rsidR="00282231" w:rsidRPr="00FC6062">
        <w:rPr>
          <w:rFonts w:cstheme="minorHAnsi"/>
          <w:sz w:val="24"/>
          <w:szCs w:val="24"/>
          <w:lang w:val="en-GB"/>
        </w:rPr>
        <w:t>5</w:t>
      </w:r>
      <w:r w:rsidRPr="00FC6062">
        <w:rPr>
          <w:rFonts w:cstheme="minorHAnsi"/>
          <w:sz w:val="24"/>
          <w:szCs w:val="24"/>
          <w:lang w:val="en-GB"/>
        </w:rPr>
        <w:t>.</w:t>
      </w:r>
      <w:r w:rsidR="00282231" w:rsidRPr="00FC6062">
        <w:rPr>
          <w:rFonts w:cstheme="minorHAnsi"/>
          <w:sz w:val="24"/>
          <w:szCs w:val="24"/>
          <w:lang w:val="en-GB"/>
        </w:rPr>
        <w:t>7</w:t>
      </w:r>
      <w:r w:rsidRPr="00FC6062">
        <w:rPr>
          <w:rFonts w:cstheme="minorHAnsi"/>
          <w:sz w:val="24"/>
          <w:szCs w:val="24"/>
          <w:lang w:val="en-GB"/>
        </w:rPr>
        <w:t xml:space="preserve"> percent of total assets</w:t>
      </w:r>
      <w:r w:rsidR="00934BFE" w:rsidRPr="00FC6062">
        <w:rPr>
          <w:rFonts w:cstheme="minorHAnsi"/>
          <w:sz w:val="24"/>
          <w:szCs w:val="24"/>
          <w:lang w:val="en-GB"/>
        </w:rPr>
        <w:t>.</w:t>
      </w:r>
    </w:p>
    <w:p w:rsidR="00934BFE" w:rsidRPr="00FC6062" w:rsidRDefault="00934BFE" w:rsidP="00934BFE">
      <w:pPr>
        <w:spacing w:after="0" w:line="240" w:lineRule="auto"/>
        <w:jc w:val="both"/>
        <w:rPr>
          <w:rFonts w:cstheme="minorHAnsi"/>
          <w:lang w:val="en-GB"/>
        </w:rPr>
      </w:pPr>
    </w:p>
    <w:p w:rsidR="00934BFE" w:rsidRPr="00FC6062" w:rsidRDefault="00282231" w:rsidP="001C6D63">
      <w:pPr>
        <w:spacing w:after="0" w:line="240" w:lineRule="auto"/>
        <w:jc w:val="both"/>
        <w:rPr>
          <w:rFonts w:eastAsia="Times New Roman" w:cs="Calibri"/>
          <w:spacing w:val="-3"/>
          <w:sz w:val="24"/>
          <w:szCs w:val="24"/>
          <w:lang w:val="en-GB" w:eastAsia="hr-HR"/>
        </w:rPr>
      </w:pPr>
      <w:r w:rsidRPr="00FC6062">
        <w:rPr>
          <w:rFonts w:eastAsia="Times New Roman" w:cs="Calibri"/>
          <w:spacing w:val="-3"/>
          <w:sz w:val="24"/>
          <w:szCs w:val="24"/>
          <w:lang w:val="en-GB" w:eastAsia="hr-HR"/>
        </w:rPr>
        <w:t>Total liabilities and total equity as at 30 September 2019 amount to HRK</w:t>
      </w:r>
      <w:r w:rsidR="00934BFE" w:rsidRPr="00FC6062">
        <w:rPr>
          <w:rFonts w:eastAsia="Times New Roman" w:cs="Calibri"/>
          <w:spacing w:val="-3"/>
          <w:sz w:val="24"/>
          <w:szCs w:val="24"/>
          <w:lang w:val="en-GB" w:eastAsia="hr-HR"/>
        </w:rPr>
        <w:t xml:space="preserve"> </w:t>
      </w:r>
      <w:r w:rsidR="00CA7C3E" w:rsidRPr="00FC6062">
        <w:rPr>
          <w:rFonts w:eastAsia="Times New Roman" w:cs="Calibri"/>
          <w:spacing w:val="-3"/>
          <w:sz w:val="24"/>
          <w:szCs w:val="24"/>
          <w:lang w:val="en-GB" w:eastAsia="hr-HR"/>
        </w:rPr>
        <w:t>26</w:t>
      </w:r>
      <w:r w:rsidRPr="00FC6062">
        <w:rPr>
          <w:rFonts w:eastAsia="Times New Roman" w:cs="Calibri"/>
          <w:spacing w:val="-3"/>
          <w:sz w:val="24"/>
          <w:szCs w:val="24"/>
          <w:lang w:val="en-GB" w:eastAsia="hr-HR"/>
        </w:rPr>
        <w:t>,</w:t>
      </w:r>
      <w:r w:rsidR="00CA7C3E" w:rsidRPr="00FC6062">
        <w:rPr>
          <w:rFonts w:eastAsia="Times New Roman" w:cs="Calibri"/>
          <w:spacing w:val="-3"/>
          <w:sz w:val="24"/>
          <w:szCs w:val="24"/>
          <w:lang w:val="en-GB" w:eastAsia="hr-HR"/>
        </w:rPr>
        <w:t>612</w:t>
      </w:r>
      <w:r w:rsidRPr="00FC6062">
        <w:rPr>
          <w:rFonts w:eastAsia="Times New Roman" w:cs="Calibri"/>
          <w:spacing w:val="-3"/>
          <w:sz w:val="24"/>
          <w:szCs w:val="24"/>
          <w:lang w:val="en-GB" w:eastAsia="hr-HR"/>
        </w:rPr>
        <w:t>.</w:t>
      </w:r>
      <w:r w:rsidR="00CA7C3E" w:rsidRPr="00FC6062">
        <w:rPr>
          <w:rFonts w:eastAsia="Times New Roman" w:cs="Calibri"/>
          <w:spacing w:val="-3"/>
          <w:sz w:val="24"/>
          <w:szCs w:val="24"/>
          <w:lang w:val="en-GB" w:eastAsia="hr-HR"/>
        </w:rPr>
        <w:t>2</w:t>
      </w:r>
      <w:r w:rsidR="001C3F5F" w:rsidRPr="00FC6062">
        <w:rPr>
          <w:rFonts w:eastAsia="Times New Roman" w:cs="Calibri"/>
          <w:spacing w:val="-3"/>
          <w:sz w:val="24"/>
          <w:szCs w:val="24"/>
          <w:lang w:val="en-GB" w:eastAsia="hr-HR"/>
        </w:rPr>
        <w:t xml:space="preserve"> </w:t>
      </w:r>
      <w:r w:rsidRPr="00FC6062">
        <w:rPr>
          <w:rFonts w:eastAsia="Times New Roman" w:cs="Calibri"/>
          <w:spacing w:val="-3"/>
          <w:sz w:val="24"/>
          <w:szCs w:val="24"/>
          <w:lang w:val="en-GB" w:eastAsia="hr-HR"/>
        </w:rPr>
        <w:t xml:space="preserve">million, </w:t>
      </w:r>
      <w:r w:rsidR="00DA09FB" w:rsidRPr="00FC6062">
        <w:rPr>
          <w:rFonts w:eastAsia="Times New Roman" w:cs="Calibri"/>
          <w:spacing w:val="-3"/>
          <w:sz w:val="24"/>
          <w:szCs w:val="24"/>
          <w:lang w:val="en-GB" w:eastAsia="hr-HR"/>
        </w:rPr>
        <w:t xml:space="preserve">of which amount total liabilities equal HRK </w:t>
      </w:r>
      <w:r w:rsidR="00B52178" w:rsidRPr="00FC6062">
        <w:rPr>
          <w:rFonts w:eastAsia="Times New Roman" w:cs="Calibri"/>
          <w:spacing w:val="-3"/>
          <w:sz w:val="24"/>
          <w:szCs w:val="24"/>
          <w:lang w:val="en-GB" w:eastAsia="hr-HR"/>
        </w:rPr>
        <w:t>16</w:t>
      </w:r>
      <w:r w:rsidRPr="00FC6062">
        <w:rPr>
          <w:rFonts w:eastAsia="Times New Roman" w:cs="Calibri"/>
          <w:spacing w:val="-3"/>
          <w:sz w:val="24"/>
          <w:szCs w:val="24"/>
          <w:lang w:val="en-GB" w:eastAsia="hr-HR"/>
        </w:rPr>
        <w:t>,</w:t>
      </w:r>
      <w:r w:rsidR="00CA7C3E" w:rsidRPr="00FC6062">
        <w:rPr>
          <w:rFonts w:eastAsia="Times New Roman" w:cs="Calibri"/>
          <w:spacing w:val="-3"/>
          <w:sz w:val="24"/>
          <w:szCs w:val="24"/>
          <w:lang w:val="en-GB" w:eastAsia="hr-HR"/>
        </w:rPr>
        <w:t>364</w:t>
      </w:r>
      <w:r w:rsidRPr="00FC6062">
        <w:rPr>
          <w:rFonts w:eastAsia="Times New Roman" w:cs="Calibri"/>
          <w:spacing w:val="-3"/>
          <w:sz w:val="24"/>
          <w:szCs w:val="24"/>
          <w:lang w:val="en-GB" w:eastAsia="hr-HR"/>
        </w:rPr>
        <w:t>.</w:t>
      </w:r>
      <w:r w:rsidR="00CA7C3E" w:rsidRPr="00FC6062">
        <w:rPr>
          <w:rFonts w:eastAsia="Times New Roman" w:cs="Calibri"/>
          <w:spacing w:val="-3"/>
          <w:sz w:val="24"/>
          <w:szCs w:val="24"/>
          <w:lang w:val="en-GB" w:eastAsia="hr-HR"/>
        </w:rPr>
        <w:t>8</w:t>
      </w:r>
      <w:r w:rsidR="00934BFE" w:rsidRPr="00FC6062">
        <w:rPr>
          <w:rFonts w:ascii="Calibri" w:eastAsia="Times New Roman" w:hAnsi="Calibri" w:cs="Arial"/>
          <w:bCs/>
          <w:color w:val="000000"/>
          <w:sz w:val="24"/>
          <w:szCs w:val="24"/>
          <w:lang w:val="en-GB" w:eastAsia="hr-HR"/>
        </w:rPr>
        <w:t xml:space="preserve"> </w:t>
      </w:r>
      <w:r w:rsidRPr="00FC6062">
        <w:rPr>
          <w:rFonts w:ascii="Calibri" w:eastAsia="Times New Roman" w:hAnsi="Calibri" w:cs="Arial"/>
          <w:bCs/>
          <w:color w:val="000000"/>
          <w:sz w:val="24"/>
          <w:szCs w:val="24"/>
          <w:lang w:val="en-GB" w:eastAsia="hr-HR"/>
        </w:rPr>
        <w:t xml:space="preserve">million, i.e. </w:t>
      </w:r>
      <w:r w:rsidR="00CA7C3E" w:rsidRPr="00FC6062">
        <w:rPr>
          <w:rFonts w:eastAsia="Times New Roman" w:cs="Calibri"/>
          <w:spacing w:val="-3"/>
          <w:sz w:val="24"/>
          <w:szCs w:val="24"/>
          <w:lang w:val="en-GB" w:eastAsia="hr-HR"/>
        </w:rPr>
        <w:t>61</w:t>
      </w:r>
      <w:r w:rsidRPr="00FC6062">
        <w:rPr>
          <w:rFonts w:eastAsia="Times New Roman" w:cs="Calibri"/>
          <w:spacing w:val="-3"/>
          <w:sz w:val="24"/>
          <w:szCs w:val="24"/>
          <w:lang w:val="en-GB" w:eastAsia="hr-HR"/>
        </w:rPr>
        <w:t>.</w:t>
      </w:r>
      <w:r w:rsidR="00CA7C3E" w:rsidRPr="00FC6062">
        <w:rPr>
          <w:rFonts w:eastAsia="Times New Roman" w:cs="Calibri"/>
          <w:spacing w:val="-3"/>
          <w:sz w:val="24"/>
          <w:szCs w:val="24"/>
          <w:lang w:val="en-GB" w:eastAsia="hr-HR"/>
        </w:rPr>
        <w:t>5</w:t>
      </w:r>
      <w:r w:rsidR="00182077" w:rsidRPr="00FC6062">
        <w:rPr>
          <w:rFonts w:eastAsia="Times New Roman" w:cs="Calibri"/>
          <w:spacing w:val="-3"/>
          <w:sz w:val="24"/>
          <w:szCs w:val="24"/>
          <w:lang w:val="en-GB" w:eastAsia="hr-HR"/>
        </w:rPr>
        <w:t xml:space="preserve"> </w:t>
      </w:r>
      <w:r w:rsidR="00D3254D" w:rsidRPr="00FC6062">
        <w:rPr>
          <w:rFonts w:eastAsia="Times New Roman" w:cs="Calibri"/>
          <w:spacing w:val="-3"/>
          <w:sz w:val="24"/>
          <w:szCs w:val="24"/>
          <w:lang w:val="en-GB" w:eastAsia="hr-HR"/>
        </w:rPr>
        <w:t>p</w:t>
      </w:r>
      <w:r w:rsidRPr="00FC6062">
        <w:rPr>
          <w:rFonts w:eastAsia="Times New Roman" w:cs="Calibri"/>
          <w:spacing w:val="-3"/>
          <w:sz w:val="24"/>
          <w:szCs w:val="24"/>
          <w:lang w:val="en-GB" w:eastAsia="hr-HR"/>
        </w:rPr>
        <w:t>ercent</w:t>
      </w:r>
      <w:r w:rsidR="00934BFE" w:rsidRPr="00FC6062">
        <w:rPr>
          <w:rFonts w:eastAsia="Times New Roman" w:cs="Calibri"/>
          <w:spacing w:val="-3"/>
          <w:sz w:val="24"/>
          <w:szCs w:val="24"/>
          <w:lang w:val="en-GB" w:eastAsia="hr-HR"/>
        </w:rPr>
        <w:t>.</w:t>
      </w:r>
    </w:p>
    <w:p w:rsidR="007162FD" w:rsidRPr="00FC6062" w:rsidRDefault="007162FD" w:rsidP="001C6D63">
      <w:pPr>
        <w:spacing w:after="0" w:line="240" w:lineRule="auto"/>
        <w:jc w:val="both"/>
        <w:rPr>
          <w:rFonts w:eastAsia="Times New Roman" w:cs="Calibri"/>
          <w:spacing w:val="-3"/>
          <w:lang w:val="en-GB" w:eastAsia="hr-HR"/>
        </w:rPr>
      </w:pPr>
    </w:p>
    <w:p w:rsidR="00934BFE" w:rsidRPr="00FC6062" w:rsidRDefault="00DA09FB" w:rsidP="00934BFE">
      <w:pPr>
        <w:spacing w:after="0" w:line="240" w:lineRule="auto"/>
        <w:jc w:val="both"/>
        <w:rPr>
          <w:rFonts w:cstheme="minorHAnsi"/>
          <w:sz w:val="24"/>
          <w:szCs w:val="24"/>
          <w:lang w:val="en-GB"/>
        </w:rPr>
      </w:pPr>
      <w:r w:rsidRPr="00FC6062">
        <w:rPr>
          <w:rFonts w:cstheme="minorHAnsi"/>
          <w:sz w:val="24"/>
          <w:szCs w:val="24"/>
          <w:lang w:val="en-GB"/>
        </w:rPr>
        <w:t>In total liabilities and total equity of the Group, the major portion, i.e. 5</w:t>
      </w:r>
      <w:r w:rsidR="00282231" w:rsidRPr="00FC6062">
        <w:rPr>
          <w:rFonts w:cstheme="minorHAnsi"/>
          <w:sz w:val="24"/>
          <w:szCs w:val="24"/>
          <w:lang w:val="en-GB"/>
        </w:rPr>
        <w:t>8</w:t>
      </w:r>
      <w:r w:rsidRPr="00FC6062">
        <w:rPr>
          <w:rFonts w:cstheme="minorHAnsi"/>
          <w:sz w:val="24"/>
          <w:szCs w:val="24"/>
          <w:lang w:val="en-GB"/>
        </w:rPr>
        <w:t>.</w:t>
      </w:r>
      <w:r w:rsidR="00282231" w:rsidRPr="00FC6062">
        <w:rPr>
          <w:rFonts w:cstheme="minorHAnsi"/>
          <w:sz w:val="24"/>
          <w:szCs w:val="24"/>
          <w:lang w:val="en-GB"/>
        </w:rPr>
        <w:t>7</w:t>
      </w:r>
      <w:r w:rsidRPr="00FC6062">
        <w:rPr>
          <w:rFonts w:cstheme="minorHAnsi"/>
          <w:sz w:val="24"/>
          <w:szCs w:val="24"/>
          <w:lang w:val="en-GB"/>
        </w:rPr>
        <w:t xml:space="preserve"> percent, consists of borrowings and bonds payable of the parent company</w:t>
      </w:r>
      <w:r w:rsidR="00934BFE" w:rsidRPr="00FC6062">
        <w:rPr>
          <w:rFonts w:cstheme="minorHAnsi"/>
          <w:sz w:val="24"/>
          <w:szCs w:val="24"/>
          <w:lang w:val="en-GB"/>
        </w:rPr>
        <w:t>.</w:t>
      </w:r>
    </w:p>
    <w:p w:rsidR="00EE3896" w:rsidRPr="00FC6062" w:rsidRDefault="00EE3896" w:rsidP="00934BFE">
      <w:pPr>
        <w:spacing w:after="0" w:line="240" w:lineRule="auto"/>
        <w:jc w:val="both"/>
        <w:rPr>
          <w:rFonts w:cstheme="minorHAnsi"/>
          <w:lang w:val="en-GB"/>
        </w:rPr>
      </w:pPr>
    </w:p>
    <w:p w:rsidR="003358AA" w:rsidRPr="00FC6062" w:rsidRDefault="00DA09FB" w:rsidP="0065688C">
      <w:pPr>
        <w:tabs>
          <w:tab w:val="left" w:pos="1204"/>
        </w:tabs>
        <w:jc w:val="both"/>
        <w:rPr>
          <w:rFonts w:cstheme="minorHAnsi"/>
          <w:sz w:val="24"/>
          <w:szCs w:val="24"/>
          <w:lang w:val="en-GB"/>
        </w:rPr>
        <w:sectPr w:rsidR="003358AA" w:rsidRPr="00FC6062"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r w:rsidRPr="00FC6062">
        <w:rPr>
          <w:rFonts w:cstheme="minorHAnsi"/>
          <w:sz w:val="24"/>
          <w:szCs w:val="24"/>
          <w:lang w:val="en-GB"/>
        </w:rPr>
        <w:t>At the end of the reporting period, total equity on consolidated basis amounted to HRK</w:t>
      </w:r>
      <w:r w:rsidR="00934BFE" w:rsidRPr="00FC6062">
        <w:rPr>
          <w:rFonts w:cstheme="minorHAnsi"/>
          <w:sz w:val="24"/>
          <w:szCs w:val="24"/>
          <w:lang w:val="en-GB"/>
        </w:rPr>
        <w:t xml:space="preserve"> </w:t>
      </w:r>
      <w:r w:rsidR="00CA7C3E" w:rsidRPr="00FC6062">
        <w:rPr>
          <w:rFonts w:cstheme="minorHAnsi"/>
          <w:sz w:val="24"/>
          <w:szCs w:val="24"/>
          <w:lang w:val="en-GB"/>
        </w:rPr>
        <w:t>10</w:t>
      </w:r>
      <w:r w:rsidR="00282231" w:rsidRPr="00FC6062">
        <w:rPr>
          <w:rFonts w:cstheme="minorHAnsi"/>
          <w:sz w:val="24"/>
          <w:szCs w:val="24"/>
          <w:lang w:val="en-GB"/>
        </w:rPr>
        <w:t>,</w:t>
      </w:r>
      <w:r w:rsidR="00CA7C3E" w:rsidRPr="00FC6062">
        <w:rPr>
          <w:rFonts w:cstheme="minorHAnsi"/>
          <w:sz w:val="24"/>
          <w:szCs w:val="24"/>
          <w:lang w:val="en-GB"/>
        </w:rPr>
        <w:t>247</w:t>
      </w:r>
      <w:r w:rsidR="00282231" w:rsidRPr="00FC6062">
        <w:rPr>
          <w:rFonts w:cstheme="minorHAnsi"/>
          <w:sz w:val="24"/>
          <w:szCs w:val="24"/>
          <w:lang w:val="en-GB"/>
        </w:rPr>
        <w:t>.</w:t>
      </w:r>
      <w:r w:rsidR="00CA7C3E" w:rsidRPr="00FC6062">
        <w:rPr>
          <w:rFonts w:cstheme="minorHAnsi"/>
          <w:sz w:val="24"/>
          <w:szCs w:val="24"/>
          <w:lang w:val="en-GB"/>
        </w:rPr>
        <w:t>4</w:t>
      </w:r>
      <w:r w:rsidR="00282231" w:rsidRPr="00FC6062">
        <w:rPr>
          <w:rFonts w:cstheme="minorHAnsi"/>
          <w:sz w:val="24"/>
          <w:szCs w:val="24"/>
          <w:lang w:val="en-GB"/>
        </w:rPr>
        <w:t xml:space="preserve"> </w:t>
      </w:r>
      <w:r w:rsidRPr="00FC6062">
        <w:rPr>
          <w:rFonts w:cstheme="minorHAnsi"/>
          <w:sz w:val="24"/>
          <w:szCs w:val="24"/>
          <w:lang w:val="en-GB"/>
        </w:rPr>
        <w:t>million and accounted for 3</w:t>
      </w:r>
      <w:r w:rsidR="00282231" w:rsidRPr="00FC6062">
        <w:rPr>
          <w:rFonts w:cstheme="minorHAnsi"/>
          <w:sz w:val="24"/>
          <w:szCs w:val="24"/>
          <w:lang w:val="en-GB"/>
        </w:rPr>
        <w:t>8</w:t>
      </w:r>
      <w:r w:rsidRPr="00FC6062">
        <w:rPr>
          <w:rFonts w:cstheme="minorHAnsi"/>
          <w:sz w:val="24"/>
          <w:szCs w:val="24"/>
          <w:lang w:val="en-GB"/>
        </w:rPr>
        <w:t>.</w:t>
      </w:r>
      <w:r w:rsidR="00282231" w:rsidRPr="00FC6062">
        <w:rPr>
          <w:rFonts w:cstheme="minorHAnsi"/>
          <w:sz w:val="24"/>
          <w:szCs w:val="24"/>
          <w:lang w:val="en-GB"/>
        </w:rPr>
        <w:t>5</w:t>
      </w:r>
      <w:r w:rsidRPr="00FC6062">
        <w:rPr>
          <w:rFonts w:cstheme="minorHAnsi"/>
          <w:sz w:val="24"/>
          <w:szCs w:val="24"/>
          <w:lang w:val="en-GB"/>
        </w:rPr>
        <w:t xml:space="preserve"> percent of total liabilities and total equity of the Group</w:t>
      </w:r>
      <w:r w:rsidR="00934BFE" w:rsidRPr="00FC6062">
        <w:rPr>
          <w:rFonts w:cstheme="minorHAnsi"/>
          <w:sz w:val="24"/>
          <w:szCs w:val="24"/>
          <w:lang w:val="en-GB"/>
        </w:rPr>
        <w:t>.</w:t>
      </w:r>
      <w:r w:rsidR="002A599E" w:rsidRPr="00FC6062">
        <w:rPr>
          <w:rFonts w:cstheme="minorHAnsi"/>
          <w:sz w:val="24"/>
          <w:szCs w:val="24"/>
          <w:lang w:val="en-GB"/>
        </w:rPr>
        <w:t xml:space="preserve"> </w:t>
      </w:r>
    </w:p>
    <w:p w:rsidR="007866A7" w:rsidRPr="00FC6062" w:rsidRDefault="007866A7" w:rsidP="00C23C95">
      <w:pPr>
        <w:tabs>
          <w:tab w:val="left" w:pos="1204"/>
        </w:tabs>
        <w:rPr>
          <w:rFonts w:cstheme="minorHAnsi"/>
          <w:sz w:val="24"/>
          <w:szCs w:val="24"/>
          <w:lang w:val="en-GB"/>
        </w:rPr>
      </w:pPr>
    </w:p>
    <w:p w:rsidR="00F449AE" w:rsidRPr="00FC6062" w:rsidRDefault="00F449AE" w:rsidP="00C23C95">
      <w:pPr>
        <w:tabs>
          <w:tab w:val="left" w:pos="1204"/>
        </w:tabs>
        <w:rPr>
          <w:rFonts w:cstheme="minorHAnsi"/>
          <w:sz w:val="24"/>
          <w:szCs w:val="24"/>
          <w:lang w:val="en-GB"/>
        </w:rPr>
      </w:pPr>
    </w:p>
    <w:p w:rsidR="00FF02C3" w:rsidRPr="00FC6062" w:rsidRDefault="009E32C2" w:rsidP="00C23C95">
      <w:pPr>
        <w:spacing w:after="0" w:line="240" w:lineRule="auto"/>
        <w:ind w:left="-284" w:right="-285"/>
        <w:jc w:val="both"/>
        <w:rPr>
          <w:rFonts w:eastAsia="Times New Roman" w:cs="Calibri"/>
          <w:b/>
          <w:spacing w:val="-3"/>
          <w:sz w:val="24"/>
          <w:szCs w:val="24"/>
          <w:u w:val="single"/>
          <w:lang w:val="en-GB" w:eastAsia="hr-HR"/>
        </w:rPr>
      </w:pPr>
      <w:r>
        <w:rPr>
          <w:rFonts w:cstheme="minorHAnsi"/>
          <w:noProof/>
          <w:sz w:val="24"/>
          <w:szCs w:val="24"/>
          <w:lang w:val="en-GB"/>
        </w:rPr>
        <w:drawing>
          <wp:inline distT="0" distB="0" distL="0" distR="0" wp14:anchorId="7FB06B7C">
            <wp:extent cx="3419475" cy="3877124"/>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0127" cy="3900540"/>
                    </a:xfrm>
                    <a:prstGeom prst="rect">
                      <a:avLst/>
                    </a:prstGeom>
                    <a:noFill/>
                  </pic:spPr>
                </pic:pic>
              </a:graphicData>
            </a:graphic>
          </wp:inline>
        </w:drawing>
      </w:r>
      <w:r w:rsidR="007866A7" w:rsidRPr="00FC6062">
        <w:rPr>
          <w:rFonts w:cstheme="minorHAnsi"/>
          <w:sz w:val="24"/>
          <w:szCs w:val="24"/>
          <w:lang w:val="en-GB"/>
        </w:rPr>
        <w:t xml:space="preserve">  </w:t>
      </w:r>
      <w:r w:rsidR="00CE6C3F" w:rsidRPr="00FC6062">
        <w:rPr>
          <w:rFonts w:cstheme="minorHAnsi"/>
          <w:sz w:val="24"/>
          <w:szCs w:val="24"/>
          <w:lang w:val="en-GB"/>
        </w:rPr>
        <w:t xml:space="preserve">    </w:t>
      </w:r>
      <w:r w:rsidR="001B5499">
        <w:rPr>
          <w:rFonts w:cstheme="minorHAnsi"/>
          <w:noProof/>
          <w:sz w:val="24"/>
          <w:szCs w:val="24"/>
          <w:lang w:val="en-GB"/>
        </w:rPr>
        <w:drawing>
          <wp:inline distT="0" distB="0" distL="0" distR="0" wp14:anchorId="3138A791">
            <wp:extent cx="2707200" cy="386978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7200" cy="3869784"/>
                    </a:xfrm>
                    <a:prstGeom prst="rect">
                      <a:avLst/>
                    </a:prstGeom>
                    <a:noFill/>
                  </pic:spPr>
                </pic:pic>
              </a:graphicData>
            </a:graphic>
          </wp:inline>
        </w:drawing>
      </w:r>
    </w:p>
    <w:p w:rsidR="00C11727" w:rsidRPr="00FC6062" w:rsidRDefault="003516A1" w:rsidP="001C6D63">
      <w:pPr>
        <w:spacing w:after="0" w:line="240" w:lineRule="auto"/>
        <w:ind w:left="-284" w:right="-425"/>
        <w:rPr>
          <w:rFonts w:eastAsia="Times New Roman" w:cs="Calibri"/>
          <w:b/>
          <w:spacing w:val="-3"/>
          <w:sz w:val="24"/>
          <w:szCs w:val="24"/>
          <w:lang w:val="en-GB" w:eastAsia="hr-HR"/>
        </w:rPr>
      </w:pPr>
      <w:r w:rsidRPr="00FC6062">
        <w:rPr>
          <w:rFonts w:eastAsia="Times New Roman" w:cs="Calibri"/>
          <w:b/>
          <w:spacing w:val="-3"/>
          <w:sz w:val="24"/>
          <w:szCs w:val="24"/>
          <w:lang w:val="en-GB" w:eastAsia="hr-HR"/>
        </w:rPr>
        <w:t xml:space="preserve">   </w:t>
      </w:r>
      <w:r w:rsidR="00C11727" w:rsidRPr="00FC6062">
        <w:rPr>
          <w:rFonts w:eastAsia="Times New Roman" w:cs="Calibri"/>
          <w:b/>
          <w:spacing w:val="-3"/>
          <w:sz w:val="24"/>
          <w:szCs w:val="24"/>
          <w:lang w:val="en-GB" w:eastAsia="hr-HR"/>
        </w:rPr>
        <w:t xml:space="preserve">        </w:t>
      </w:r>
    </w:p>
    <w:p w:rsidR="00C11727" w:rsidRPr="00FC6062" w:rsidRDefault="00CE6C3F" w:rsidP="001C6D63">
      <w:pPr>
        <w:spacing w:after="0" w:line="240" w:lineRule="auto"/>
        <w:ind w:left="-284" w:right="-425"/>
        <w:rPr>
          <w:rFonts w:eastAsia="Times New Roman" w:cs="Calibri"/>
          <w:b/>
          <w:spacing w:val="-3"/>
          <w:sz w:val="24"/>
          <w:szCs w:val="24"/>
          <w:lang w:val="en-GB" w:eastAsia="hr-HR"/>
        </w:rPr>
      </w:pPr>
      <w:r w:rsidRPr="00FC6062">
        <w:rPr>
          <w:rFonts w:eastAsia="Times New Roman" w:cs="Calibri"/>
          <w:b/>
          <w:spacing w:val="-3"/>
          <w:sz w:val="24"/>
          <w:szCs w:val="24"/>
          <w:lang w:val="en-GB" w:eastAsia="hr-HR"/>
        </w:rPr>
        <w:t xml:space="preserve">     </w:t>
      </w:r>
      <w:r w:rsidR="00546BC0" w:rsidRPr="00FC6062">
        <w:rPr>
          <w:rFonts w:eastAsia="Times New Roman" w:cs="Calibri"/>
          <w:b/>
          <w:spacing w:val="-3"/>
          <w:sz w:val="24"/>
          <w:szCs w:val="24"/>
          <w:lang w:val="en-GB" w:eastAsia="hr-HR"/>
        </w:rPr>
        <w:t xml:space="preserve">  </w:t>
      </w:r>
      <w:r w:rsidR="001B5499">
        <w:rPr>
          <w:rFonts w:eastAsia="Times New Roman" w:cs="Calibri"/>
          <w:b/>
          <w:noProof/>
          <w:spacing w:val="-3"/>
          <w:sz w:val="24"/>
          <w:szCs w:val="24"/>
          <w:lang w:val="en-GB" w:eastAsia="hr-HR"/>
        </w:rPr>
        <w:drawing>
          <wp:inline distT="0" distB="0" distL="0" distR="0" wp14:anchorId="450A2432">
            <wp:extent cx="2564695" cy="38700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4695" cy="3870000"/>
                    </a:xfrm>
                    <a:prstGeom prst="rect">
                      <a:avLst/>
                    </a:prstGeom>
                    <a:noFill/>
                  </pic:spPr>
                </pic:pic>
              </a:graphicData>
            </a:graphic>
          </wp:inline>
        </w:drawing>
      </w:r>
      <w:r w:rsidR="00546BC0" w:rsidRPr="00FC6062">
        <w:rPr>
          <w:rFonts w:eastAsia="Times New Roman" w:cs="Calibri"/>
          <w:b/>
          <w:spacing w:val="-3"/>
          <w:sz w:val="24"/>
          <w:szCs w:val="24"/>
          <w:lang w:val="en-GB" w:eastAsia="hr-HR"/>
        </w:rPr>
        <w:t xml:space="preserve">  </w:t>
      </w:r>
      <w:r w:rsidR="001B5499">
        <w:rPr>
          <w:rFonts w:eastAsia="Times New Roman" w:cs="Calibri"/>
          <w:b/>
          <w:spacing w:val="-3"/>
          <w:sz w:val="24"/>
          <w:szCs w:val="24"/>
          <w:lang w:val="en-GB" w:eastAsia="hr-HR"/>
        </w:rPr>
        <w:t xml:space="preserve">      </w:t>
      </w:r>
      <w:r w:rsidR="001B5499">
        <w:rPr>
          <w:rFonts w:eastAsia="Times New Roman" w:cs="Calibri"/>
          <w:b/>
          <w:noProof/>
          <w:spacing w:val="-3"/>
          <w:sz w:val="24"/>
          <w:szCs w:val="24"/>
          <w:lang w:val="en-GB" w:eastAsia="hr-HR"/>
        </w:rPr>
        <w:drawing>
          <wp:inline distT="0" distB="0" distL="0" distR="0" wp14:anchorId="31D7E49C">
            <wp:extent cx="2643923" cy="3869055"/>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6255" cy="3872468"/>
                    </a:xfrm>
                    <a:prstGeom prst="rect">
                      <a:avLst/>
                    </a:prstGeom>
                    <a:noFill/>
                  </pic:spPr>
                </pic:pic>
              </a:graphicData>
            </a:graphic>
          </wp:inline>
        </w:drawing>
      </w:r>
    </w:p>
    <w:p w:rsidR="00D26ABB" w:rsidRPr="00FC6062" w:rsidRDefault="008A29AA" w:rsidP="007B069A">
      <w:pPr>
        <w:spacing w:before="240" w:after="0" w:line="240" w:lineRule="auto"/>
        <w:jc w:val="both"/>
        <w:rPr>
          <w:rFonts w:eastAsia="Times New Roman" w:cs="Calibri"/>
          <w:b/>
          <w:spacing w:val="-3"/>
          <w:sz w:val="18"/>
          <w:szCs w:val="18"/>
          <w:u w:val="single"/>
          <w:lang w:val="en-GB" w:eastAsia="hr-HR"/>
        </w:rPr>
      </w:pPr>
      <w:r w:rsidRPr="00FC6062">
        <w:rPr>
          <w:rFonts w:eastAsia="Times New Roman" w:cs="Calibri"/>
          <w:color w:val="7F7F7F" w:themeColor="text1" w:themeTint="80"/>
          <w:spacing w:val="-3"/>
          <w:sz w:val="18"/>
          <w:szCs w:val="18"/>
          <w:lang w:val="en-GB" w:eastAsia="hr-HR"/>
        </w:rPr>
        <w:t>*</w:t>
      </w:r>
      <w:r w:rsidR="00047EEB" w:rsidRPr="00FC6062">
        <w:rPr>
          <w:rFonts w:eastAsia="Times New Roman" w:cs="Calibri"/>
          <w:color w:val="7F7F7F" w:themeColor="text1" w:themeTint="80"/>
          <w:spacing w:val="-3"/>
          <w:sz w:val="18"/>
          <w:szCs w:val="18"/>
          <w:lang w:val="en-GB" w:eastAsia="hr-HR"/>
        </w:rPr>
        <w:t>Property, plant and equipment and intangible assets, Foreclosed assets, Debt securities at AC and Other assets</w:t>
      </w:r>
      <w:r w:rsidRPr="00FC6062">
        <w:rPr>
          <w:rFonts w:eastAsia="Times New Roman" w:cs="Calibri"/>
          <w:color w:val="7F7F7F" w:themeColor="text1" w:themeTint="80"/>
          <w:spacing w:val="-3"/>
          <w:sz w:val="18"/>
          <w:szCs w:val="18"/>
          <w:lang w:val="en-GB" w:eastAsia="hr-HR"/>
        </w:rPr>
        <w:t>.</w:t>
      </w:r>
    </w:p>
    <w:p w:rsidR="00810A4B" w:rsidRPr="00FC6062" w:rsidRDefault="00D26ABB" w:rsidP="000479D6">
      <w:pPr>
        <w:spacing w:before="120" w:after="0" w:line="240" w:lineRule="auto"/>
        <w:jc w:val="both"/>
        <w:rPr>
          <w:rFonts w:eastAsia="Times New Roman" w:cs="Calibri"/>
          <w:color w:val="7F7F7F" w:themeColor="text1" w:themeTint="80"/>
          <w:spacing w:val="-3"/>
          <w:sz w:val="18"/>
          <w:szCs w:val="18"/>
          <w:lang w:val="en-GB" w:eastAsia="hr-HR"/>
        </w:rPr>
      </w:pPr>
      <w:r w:rsidRPr="00FC6062">
        <w:rPr>
          <w:rFonts w:eastAsia="Times New Roman" w:cs="Calibri"/>
          <w:color w:val="7F7F7F" w:themeColor="text1" w:themeTint="80"/>
          <w:spacing w:val="-3"/>
          <w:sz w:val="18"/>
          <w:szCs w:val="18"/>
          <w:lang w:val="en-GB" w:eastAsia="hr-HR"/>
        </w:rPr>
        <w:t>**</w:t>
      </w:r>
      <w:r w:rsidR="00047EEB" w:rsidRPr="00FC6062">
        <w:rPr>
          <w:rFonts w:eastAsia="Times New Roman" w:cs="Calibri"/>
          <w:color w:val="7F7F7F" w:themeColor="text1" w:themeTint="80"/>
          <w:spacing w:val="-3"/>
          <w:sz w:val="18"/>
          <w:szCs w:val="18"/>
          <w:lang w:val="en-GB" w:eastAsia="hr-HR"/>
        </w:rPr>
        <w:t>Provisioning includes provisioning for guarantees, commitments and other liabilities</w:t>
      </w:r>
      <w:r w:rsidRPr="00FC6062">
        <w:rPr>
          <w:rFonts w:eastAsia="Times New Roman" w:cs="Calibri"/>
          <w:color w:val="7F7F7F" w:themeColor="text1" w:themeTint="80"/>
          <w:spacing w:val="-3"/>
          <w:sz w:val="18"/>
          <w:szCs w:val="18"/>
          <w:lang w:val="en-GB" w:eastAsia="hr-HR"/>
        </w:rPr>
        <w:t>.</w:t>
      </w:r>
    </w:p>
    <w:p w:rsidR="00D26ABB" w:rsidRPr="00FC6062" w:rsidRDefault="00D26ABB">
      <w:pPr>
        <w:rPr>
          <w:rFonts w:eastAsia="Times New Roman" w:cs="Calibri"/>
          <w:b/>
          <w:spacing w:val="-3"/>
          <w:sz w:val="24"/>
          <w:szCs w:val="24"/>
          <w:u w:val="single"/>
          <w:lang w:val="en-GB" w:eastAsia="hr-HR"/>
        </w:rPr>
        <w:sectPr w:rsidR="00D26ABB" w:rsidRPr="00FC6062" w:rsidSect="00C23C95">
          <w:footerReference w:type="first" r:id="rId21"/>
          <w:pgSz w:w="11906" w:h="16838" w:code="9"/>
          <w:pgMar w:top="-383" w:right="1134" w:bottom="567" w:left="1418" w:header="709" w:footer="709" w:gutter="0"/>
          <w:pgNumType w:start="4"/>
          <w:cols w:space="708"/>
          <w:titlePg/>
          <w:docGrid w:linePitch="360"/>
        </w:sectPr>
      </w:pPr>
    </w:p>
    <w:p w:rsidR="00AE35D1" w:rsidRPr="00FC6062"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B37082" w:rsidRPr="00FC6062"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FC6062">
        <w:rPr>
          <w:rFonts w:ascii="Calibri" w:eastAsia="Times New Roman" w:hAnsi="Calibri" w:cs="Arial"/>
          <w:b/>
          <w:sz w:val="32"/>
          <w:szCs w:val="32"/>
          <w:lang w:val="en-GB"/>
        </w:rPr>
        <w:t>RE</w:t>
      </w:r>
      <w:r w:rsidR="00047EEB" w:rsidRPr="00FC6062">
        <w:rPr>
          <w:rFonts w:ascii="Calibri" w:eastAsia="Times New Roman" w:hAnsi="Calibri" w:cs="Arial"/>
          <w:b/>
          <w:sz w:val="32"/>
          <w:szCs w:val="32"/>
          <w:lang w:val="en-GB"/>
        </w:rPr>
        <w:t>S</w:t>
      </w:r>
      <w:r w:rsidRPr="00FC6062">
        <w:rPr>
          <w:rFonts w:ascii="Calibri" w:eastAsia="Times New Roman" w:hAnsi="Calibri" w:cs="Arial"/>
          <w:b/>
          <w:sz w:val="32"/>
          <w:szCs w:val="32"/>
          <w:lang w:val="en-GB"/>
        </w:rPr>
        <w:t>ULT</w:t>
      </w:r>
      <w:r w:rsidR="00047EEB" w:rsidRPr="00FC6062">
        <w:rPr>
          <w:rFonts w:ascii="Calibri" w:eastAsia="Times New Roman" w:hAnsi="Calibri" w:cs="Arial"/>
          <w:b/>
          <w:sz w:val="32"/>
          <w:szCs w:val="32"/>
          <w:lang w:val="en-GB"/>
        </w:rPr>
        <w:t>S OF</w:t>
      </w:r>
      <w:r w:rsidRPr="00FC6062">
        <w:rPr>
          <w:rFonts w:ascii="Calibri" w:eastAsia="Times New Roman" w:hAnsi="Calibri" w:cs="Arial"/>
          <w:b/>
          <w:sz w:val="32"/>
          <w:szCs w:val="32"/>
          <w:lang w:val="en-GB"/>
        </w:rPr>
        <w:t xml:space="preserve"> HBOR</w:t>
      </w: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FC6062"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FC6062" w:rsidSect="000241D5">
          <w:footerReference w:type="first" r:id="rId22"/>
          <w:pgSz w:w="11906" w:h="16838" w:code="9"/>
          <w:pgMar w:top="596" w:right="1133" w:bottom="1417" w:left="1417" w:header="709" w:footer="709" w:gutter="0"/>
          <w:cols w:space="708"/>
          <w:titlePg/>
          <w:docGrid w:linePitch="360"/>
        </w:sectPr>
      </w:pPr>
    </w:p>
    <w:p w:rsidR="00BF17D9" w:rsidRPr="00FC6062" w:rsidRDefault="00106E4B" w:rsidP="00C23C95">
      <w:pPr>
        <w:keepNext/>
        <w:spacing w:after="0" w:line="240" w:lineRule="auto"/>
        <w:jc w:val="center"/>
        <w:outlineLvl w:val="1"/>
        <w:rPr>
          <w:rFonts w:ascii="Calibri" w:hAnsi="Calibri" w:cs="Calibri"/>
          <w:b/>
          <w:bCs/>
          <w:sz w:val="24"/>
          <w:szCs w:val="24"/>
          <w:lang w:val="en-GB" w:eastAsia="x-none"/>
        </w:rPr>
      </w:pPr>
      <w:bookmarkStart w:id="1" w:name="_Toc477261950"/>
      <w:r w:rsidRPr="00FC6062">
        <w:rPr>
          <w:rFonts w:ascii="Calibri" w:hAnsi="Calibri" w:cs="Calibri"/>
          <w:b/>
          <w:bCs/>
          <w:sz w:val="24"/>
          <w:szCs w:val="24"/>
          <w:lang w:val="en-GB" w:eastAsia="x-none"/>
        </w:rPr>
        <w:lastRenderedPageBreak/>
        <w:t>OVERVIEW OF FINANCIAL PERFORMANCE OF HBOR</w:t>
      </w:r>
      <w:bookmarkEnd w:id="1"/>
    </w:p>
    <w:p w:rsidR="003E5F5C" w:rsidRPr="00FC6062" w:rsidRDefault="003E5F5C" w:rsidP="00C23C95">
      <w:pPr>
        <w:keepNext/>
        <w:spacing w:after="0" w:line="240" w:lineRule="auto"/>
        <w:jc w:val="center"/>
        <w:outlineLvl w:val="1"/>
        <w:rPr>
          <w:rFonts w:ascii="Calibri" w:hAnsi="Calibri" w:cs="Calibri"/>
          <w:b/>
          <w:bCs/>
          <w:sz w:val="24"/>
          <w:szCs w:val="24"/>
          <w:lang w:val="en-GB" w:eastAsia="x-none"/>
        </w:rPr>
      </w:pPr>
    </w:p>
    <w:p w:rsidR="00BF17D9" w:rsidRPr="00FC6062" w:rsidRDefault="00106E4B" w:rsidP="00C23C95">
      <w:pPr>
        <w:spacing w:after="0" w:line="240" w:lineRule="auto"/>
        <w:jc w:val="both"/>
        <w:rPr>
          <w:rFonts w:ascii="Calibri" w:hAnsi="Calibri" w:cs="Calibri"/>
          <w:sz w:val="24"/>
          <w:szCs w:val="24"/>
          <w:lang w:val="en-GB"/>
        </w:rPr>
      </w:pPr>
      <w:r w:rsidRPr="00FC6062">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FC6062">
        <w:rPr>
          <w:rFonts w:ascii="Calibri" w:hAnsi="Calibri" w:cs="Calibri"/>
          <w:sz w:val="24"/>
          <w:szCs w:val="24"/>
          <w:lang w:val="en-GB"/>
        </w:rPr>
        <w:t>.</w:t>
      </w:r>
    </w:p>
    <w:p w:rsidR="00BF17D9" w:rsidRPr="00FC6062" w:rsidRDefault="00BF17D9" w:rsidP="00C23C95">
      <w:pPr>
        <w:tabs>
          <w:tab w:val="left" w:pos="-720"/>
        </w:tabs>
        <w:spacing w:after="0" w:line="240" w:lineRule="auto"/>
        <w:jc w:val="both"/>
        <w:rPr>
          <w:rFonts w:ascii="Calibri" w:hAnsi="Calibri" w:cs="Calibri"/>
          <w:b/>
          <w:spacing w:val="-3"/>
          <w:sz w:val="24"/>
          <w:szCs w:val="24"/>
          <w:lang w:val="en-GB"/>
        </w:rPr>
      </w:pPr>
    </w:p>
    <w:p w:rsidR="00BF17D9" w:rsidRPr="00FC6062" w:rsidRDefault="00106E4B" w:rsidP="00C23C95">
      <w:pPr>
        <w:tabs>
          <w:tab w:val="left" w:pos="-720"/>
        </w:tabs>
        <w:spacing w:after="0" w:line="240" w:lineRule="auto"/>
        <w:jc w:val="both"/>
        <w:rPr>
          <w:rFonts w:ascii="Calibri" w:hAnsi="Calibri" w:cs="Calibri"/>
          <w:b/>
          <w:spacing w:val="-3"/>
          <w:sz w:val="24"/>
          <w:szCs w:val="24"/>
          <w:lang w:val="en-GB"/>
        </w:rPr>
      </w:pPr>
      <w:r w:rsidRPr="00FC6062">
        <w:rPr>
          <w:rFonts w:ascii="Calibri" w:hAnsi="Calibri" w:cs="Calibri"/>
          <w:b/>
          <w:spacing w:val="-3"/>
          <w:sz w:val="24"/>
          <w:szCs w:val="24"/>
          <w:lang w:val="en-GB"/>
        </w:rPr>
        <w:t xml:space="preserve">Financial performance </w:t>
      </w:r>
      <w:r w:rsidR="00BF17D9" w:rsidRPr="00FC6062">
        <w:rPr>
          <w:rFonts w:ascii="Calibri" w:hAnsi="Calibri" w:cs="Calibri"/>
          <w:b/>
          <w:spacing w:val="-3"/>
          <w:sz w:val="24"/>
          <w:szCs w:val="24"/>
          <w:lang w:val="en-GB"/>
        </w:rPr>
        <w:t xml:space="preserve"> </w:t>
      </w:r>
    </w:p>
    <w:p w:rsidR="00893743" w:rsidRPr="00FC6062" w:rsidRDefault="00893743" w:rsidP="00BF17D9">
      <w:pPr>
        <w:tabs>
          <w:tab w:val="left" w:pos="-720"/>
        </w:tabs>
        <w:suppressAutoHyphens/>
        <w:spacing w:after="0" w:line="240" w:lineRule="auto"/>
        <w:jc w:val="both"/>
        <w:rPr>
          <w:rFonts w:cstheme="minorHAnsi"/>
          <w:spacing w:val="-3"/>
          <w:sz w:val="24"/>
          <w:szCs w:val="24"/>
          <w:lang w:val="en-GB"/>
        </w:rPr>
      </w:pPr>
    </w:p>
    <w:p w:rsidR="00BF17D9" w:rsidRPr="00FC6062" w:rsidRDefault="00F03DDB"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In the period from 1 January to 30 September 2019, HBOR generated total income of HRK </w:t>
      </w:r>
      <w:r w:rsidR="00294702" w:rsidRPr="00FC6062">
        <w:rPr>
          <w:rFonts w:cstheme="minorHAnsi"/>
          <w:spacing w:val="-3"/>
          <w:sz w:val="24"/>
          <w:szCs w:val="24"/>
          <w:lang w:val="en-GB"/>
        </w:rPr>
        <w:t>515</w:t>
      </w:r>
      <w:r w:rsidRPr="00FC6062">
        <w:rPr>
          <w:rFonts w:cstheme="minorHAnsi"/>
          <w:spacing w:val="-3"/>
          <w:sz w:val="24"/>
          <w:szCs w:val="24"/>
          <w:lang w:val="en-GB"/>
        </w:rPr>
        <w:t>.</w:t>
      </w:r>
      <w:r w:rsidR="00294702" w:rsidRPr="00FC6062">
        <w:rPr>
          <w:rFonts w:cstheme="minorHAnsi"/>
          <w:spacing w:val="-3"/>
          <w:sz w:val="24"/>
          <w:szCs w:val="24"/>
          <w:lang w:val="en-GB"/>
        </w:rPr>
        <w:t>3</w:t>
      </w:r>
      <w:r w:rsidRPr="00FC6062">
        <w:rPr>
          <w:rFonts w:cstheme="minorHAnsi"/>
          <w:spacing w:val="-3"/>
          <w:sz w:val="24"/>
          <w:szCs w:val="24"/>
          <w:lang w:val="en-GB"/>
        </w:rPr>
        <w:t xml:space="preserve"> million, expenses of HRK </w:t>
      </w:r>
      <w:r w:rsidR="00294702" w:rsidRPr="00FC6062">
        <w:rPr>
          <w:rFonts w:cstheme="minorHAnsi"/>
          <w:spacing w:val="-3"/>
          <w:sz w:val="24"/>
          <w:szCs w:val="24"/>
          <w:lang w:val="en-GB"/>
        </w:rPr>
        <w:t>373</w:t>
      </w:r>
      <w:r w:rsidRPr="00FC6062">
        <w:rPr>
          <w:rFonts w:cstheme="minorHAnsi"/>
          <w:spacing w:val="-3"/>
          <w:sz w:val="24"/>
          <w:szCs w:val="24"/>
          <w:lang w:val="en-GB"/>
        </w:rPr>
        <w:t>.</w:t>
      </w:r>
      <w:r w:rsidR="00294702" w:rsidRPr="00FC6062">
        <w:rPr>
          <w:rFonts w:cstheme="minorHAnsi"/>
          <w:spacing w:val="-3"/>
          <w:sz w:val="24"/>
          <w:szCs w:val="24"/>
          <w:lang w:val="en-GB"/>
        </w:rPr>
        <w:t>6</w:t>
      </w:r>
      <w:r w:rsidRPr="00FC6062">
        <w:rPr>
          <w:rFonts w:cstheme="minorHAnsi"/>
          <w:spacing w:val="-3"/>
          <w:sz w:val="24"/>
          <w:szCs w:val="24"/>
          <w:lang w:val="en-GB"/>
        </w:rPr>
        <w:t xml:space="preserve"> million and profit in the amount of HRK </w:t>
      </w:r>
      <w:r w:rsidR="00294702" w:rsidRPr="00FC6062">
        <w:rPr>
          <w:rFonts w:cstheme="minorHAnsi"/>
          <w:spacing w:val="-3"/>
          <w:sz w:val="24"/>
          <w:szCs w:val="24"/>
          <w:lang w:val="en-GB"/>
        </w:rPr>
        <w:t>141</w:t>
      </w:r>
      <w:r w:rsidRPr="00FC6062">
        <w:rPr>
          <w:rFonts w:cstheme="minorHAnsi"/>
          <w:spacing w:val="-3"/>
          <w:sz w:val="24"/>
          <w:szCs w:val="24"/>
          <w:lang w:val="en-GB"/>
        </w:rPr>
        <w:t>.</w:t>
      </w:r>
      <w:r w:rsidR="00294702" w:rsidRPr="00FC6062">
        <w:rPr>
          <w:rFonts w:cstheme="minorHAnsi"/>
          <w:spacing w:val="-3"/>
          <w:sz w:val="24"/>
          <w:szCs w:val="24"/>
          <w:lang w:val="en-GB"/>
        </w:rPr>
        <w:t>7</w:t>
      </w:r>
      <w:r w:rsidR="00BF17D9" w:rsidRPr="00FC6062">
        <w:rPr>
          <w:rFonts w:cstheme="minorHAnsi"/>
          <w:spacing w:val="-3"/>
          <w:sz w:val="24"/>
          <w:szCs w:val="24"/>
          <w:lang w:val="en-GB"/>
        </w:rPr>
        <w:t xml:space="preserve"> </w:t>
      </w:r>
      <w:r w:rsidRPr="00FC6062">
        <w:rPr>
          <w:rFonts w:cstheme="minorHAnsi"/>
          <w:spacing w:val="-3"/>
          <w:sz w:val="24"/>
          <w:szCs w:val="24"/>
          <w:lang w:val="en-GB"/>
        </w:rPr>
        <w:t>million</w:t>
      </w:r>
      <w:r w:rsidR="00BF17D9" w:rsidRPr="00FC6062">
        <w:rPr>
          <w:rFonts w:cstheme="minorHAnsi"/>
          <w:spacing w:val="-3"/>
          <w:sz w:val="24"/>
          <w:szCs w:val="24"/>
          <w:lang w:val="en-GB"/>
        </w:rPr>
        <w:t xml:space="preserve">. </w:t>
      </w:r>
      <w:r w:rsidRPr="00FC6062">
        <w:rPr>
          <w:rFonts w:cstheme="minorHAnsi"/>
          <w:spacing w:val="-3"/>
          <w:sz w:val="24"/>
          <w:szCs w:val="24"/>
          <w:lang w:val="en-GB"/>
        </w:rPr>
        <w:t xml:space="preserve">HBOR’s profit generated in the reporting period increased by HRK 44.0 million compared with the profit generated in the same period last year, i.e. by </w:t>
      </w:r>
      <w:r w:rsidR="003904D0" w:rsidRPr="00FC6062">
        <w:rPr>
          <w:rFonts w:cstheme="minorHAnsi"/>
          <w:spacing w:val="-3"/>
          <w:sz w:val="24"/>
          <w:szCs w:val="24"/>
          <w:lang w:val="en-GB"/>
        </w:rPr>
        <w:t>45</w:t>
      </w:r>
      <w:r w:rsidRPr="00FC6062">
        <w:rPr>
          <w:rFonts w:cstheme="minorHAnsi"/>
          <w:spacing w:val="-3"/>
          <w:sz w:val="24"/>
          <w:szCs w:val="24"/>
          <w:lang w:val="en-GB"/>
        </w:rPr>
        <w:t>.</w:t>
      </w:r>
      <w:r w:rsidR="00E873C8">
        <w:rPr>
          <w:rFonts w:cstheme="minorHAnsi"/>
          <w:spacing w:val="-3"/>
          <w:sz w:val="24"/>
          <w:szCs w:val="24"/>
          <w:lang w:val="en-GB"/>
        </w:rPr>
        <w:t>0</w:t>
      </w:r>
      <w:r w:rsidR="00FE06F1" w:rsidRPr="00FC6062">
        <w:rPr>
          <w:rFonts w:cstheme="minorHAnsi"/>
          <w:spacing w:val="-3"/>
          <w:sz w:val="24"/>
          <w:szCs w:val="24"/>
          <w:lang w:val="en-GB"/>
        </w:rPr>
        <w:t xml:space="preserve"> </w:t>
      </w:r>
      <w:r w:rsidR="009E3641" w:rsidRPr="00FC6062">
        <w:rPr>
          <w:rFonts w:cstheme="minorHAnsi"/>
          <w:spacing w:val="-3"/>
          <w:sz w:val="24"/>
          <w:szCs w:val="24"/>
          <w:lang w:val="en-GB"/>
        </w:rPr>
        <w:t>p</w:t>
      </w:r>
      <w:r w:rsidRPr="00FC6062">
        <w:rPr>
          <w:rFonts w:cstheme="minorHAnsi"/>
          <w:spacing w:val="-3"/>
          <w:sz w:val="24"/>
          <w:szCs w:val="24"/>
          <w:lang w:val="en-GB"/>
        </w:rPr>
        <w:t>ercent</w:t>
      </w:r>
      <w:r w:rsidR="00BF17D9" w:rsidRPr="00FC6062">
        <w:rPr>
          <w:rFonts w:cstheme="minorHAnsi"/>
          <w:spacing w:val="-3"/>
          <w:sz w:val="24"/>
          <w:szCs w:val="24"/>
          <w:lang w:val="en-GB"/>
        </w:rPr>
        <w:t>.</w:t>
      </w: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p>
    <w:p w:rsidR="00BF17D9" w:rsidRPr="00FC6062" w:rsidRDefault="00F03DDB"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Significant increase in profit in the reporting period compared with the same period last year is a result of decrease in total income by HRK 9</w:t>
      </w:r>
      <w:r w:rsidR="00A946F0" w:rsidRPr="00FC6062">
        <w:rPr>
          <w:rFonts w:cstheme="minorHAnsi"/>
          <w:spacing w:val="-3"/>
          <w:sz w:val="24"/>
          <w:szCs w:val="24"/>
          <w:lang w:val="en-GB"/>
        </w:rPr>
        <w:t>4</w:t>
      </w:r>
      <w:r w:rsidRPr="00FC6062">
        <w:rPr>
          <w:rFonts w:cstheme="minorHAnsi"/>
          <w:spacing w:val="-3"/>
          <w:sz w:val="24"/>
          <w:szCs w:val="24"/>
          <w:lang w:val="en-GB"/>
        </w:rPr>
        <w:t>.</w:t>
      </w:r>
      <w:r w:rsidR="00A946F0" w:rsidRPr="00FC6062">
        <w:rPr>
          <w:rFonts w:cstheme="minorHAnsi"/>
          <w:spacing w:val="-3"/>
          <w:sz w:val="24"/>
          <w:szCs w:val="24"/>
          <w:lang w:val="en-GB"/>
        </w:rPr>
        <w:t>6</w:t>
      </w:r>
      <w:r w:rsidRPr="00FC6062">
        <w:rPr>
          <w:rFonts w:cstheme="minorHAnsi"/>
          <w:spacing w:val="-3"/>
          <w:sz w:val="24"/>
          <w:szCs w:val="24"/>
          <w:lang w:val="en-GB"/>
        </w:rPr>
        <w:t xml:space="preserve"> million and </w:t>
      </w:r>
      <w:r w:rsidR="00A946F0" w:rsidRPr="00FC6062">
        <w:rPr>
          <w:rFonts w:cstheme="minorHAnsi"/>
          <w:spacing w:val="-3"/>
          <w:sz w:val="24"/>
          <w:szCs w:val="24"/>
          <w:lang w:val="en-GB"/>
        </w:rPr>
        <w:t xml:space="preserve">even more significant decrease </w:t>
      </w:r>
      <w:r w:rsidRPr="00FC6062">
        <w:rPr>
          <w:rFonts w:cstheme="minorHAnsi"/>
          <w:spacing w:val="-3"/>
          <w:sz w:val="24"/>
          <w:szCs w:val="24"/>
          <w:lang w:val="en-GB"/>
        </w:rPr>
        <w:t xml:space="preserve">in total expenses by HRK </w:t>
      </w:r>
      <w:r w:rsidR="00A946F0" w:rsidRPr="00FC6062">
        <w:rPr>
          <w:rFonts w:cstheme="minorHAnsi"/>
          <w:spacing w:val="-3"/>
          <w:sz w:val="24"/>
          <w:szCs w:val="24"/>
          <w:lang w:val="en-GB"/>
        </w:rPr>
        <w:t>138</w:t>
      </w:r>
      <w:r w:rsidRPr="00FC6062">
        <w:rPr>
          <w:rFonts w:cstheme="minorHAnsi"/>
          <w:spacing w:val="-3"/>
          <w:sz w:val="24"/>
          <w:szCs w:val="24"/>
          <w:lang w:val="en-GB"/>
        </w:rPr>
        <w:t>.</w:t>
      </w:r>
      <w:r w:rsidR="00A946F0" w:rsidRPr="00FC6062">
        <w:rPr>
          <w:rFonts w:cstheme="minorHAnsi"/>
          <w:spacing w:val="-3"/>
          <w:sz w:val="24"/>
          <w:szCs w:val="24"/>
          <w:lang w:val="en-GB"/>
        </w:rPr>
        <w:t>6</w:t>
      </w:r>
      <w:r w:rsidRPr="00FC6062">
        <w:rPr>
          <w:rFonts w:cstheme="minorHAnsi"/>
          <w:spacing w:val="-3"/>
          <w:sz w:val="24"/>
          <w:szCs w:val="24"/>
          <w:lang w:val="en-GB"/>
        </w:rPr>
        <w:t xml:space="preserve"> million. The circumstances that affected the financial result achieved in the </w:t>
      </w:r>
      <w:r w:rsidR="00A946F0" w:rsidRPr="00FC6062">
        <w:rPr>
          <w:rFonts w:cstheme="minorHAnsi"/>
          <w:spacing w:val="-3"/>
          <w:sz w:val="24"/>
          <w:szCs w:val="24"/>
          <w:lang w:val="en-GB"/>
        </w:rPr>
        <w:t>nine</w:t>
      </w:r>
      <w:r w:rsidRPr="00FC6062">
        <w:rPr>
          <w:rFonts w:cstheme="minorHAnsi"/>
          <w:spacing w:val="-3"/>
          <w:sz w:val="24"/>
          <w:szCs w:val="24"/>
          <w:lang w:val="en-GB"/>
        </w:rPr>
        <w:t>-month reporting period 2019 compared to the results generated in the same period in 2018</w:t>
      </w:r>
      <w:r w:rsidR="00BF17D9" w:rsidRPr="00FC6062">
        <w:rPr>
          <w:rFonts w:cstheme="minorHAnsi"/>
          <w:spacing w:val="-3"/>
          <w:sz w:val="24"/>
          <w:szCs w:val="24"/>
          <w:lang w:val="en-GB"/>
        </w:rPr>
        <w:t>:</w:t>
      </w:r>
    </w:p>
    <w:p w:rsidR="0059334C" w:rsidRPr="00FC6062" w:rsidRDefault="00BF32EB" w:rsidP="00BF17D9">
      <w:pPr>
        <w:pStyle w:val="ListParagraph"/>
        <w:numPr>
          <w:ilvl w:val="0"/>
          <w:numId w:val="13"/>
        </w:numPr>
        <w:tabs>
          <w:tab w:val="left" w:pos="-720"/>
          <w:tab w:val="left" w:pos="709"/>
        </w:tabs>
        <w:suppressAutoHyphens/>
        <w:ind w:left="709" w:hanging="283"/>
        <w:jc w:val="both"/>
        <w:rPr>
          <w:rFonts w:cstheme="minorHAnsi"/>
          <w:spacing w:val="-3"/>
          <w:lang w:val="en-GB"/>
        </w:rPr>
      </w:pPr>
      <w:r w:rsidRPr="00FC6062">
        <w:rPr>
          <w:rFonts w:asciiTheme="minorHAnsi" w:hAnsiTheme="minorHAnsi" w:cstheme="minorHAnsi"/>
          <w:bCs/>
          <w:spacing w:val="-3"/>
          <w:lang w:val="en-GB"/>
        </w:rPr>
        <w:t xml:space="preserve">Decrease in interest income of HRK </w:t>
      </w:r>
      <w:r w:rsidR="003904D0" w:rsidRPr="00FC6062">
        <w:rPr>
          <w:rFonts w:asciiTheme="minorHAnsi" w:hAnsiTheme="minorHAnsi" w:cstheme="minorHAnsi"/>
          <w:bCs/>
          <w:spacing w:val="-3"/>
          <w:lang w:val="en-GB"/>
        </w:rPr>
        <w:t>7</w:t>
      </w:r>
      <w:r w:rsidR="004C03F7" w:rsidRPr="00FC6062">
        <w:rPr>
          <w:rFonts w:asciiTheme="minorHAnsi" w:hAnsiTheme="minorHAnsi" w:cstheme="minorHAnsi"/>
          <w:bCs/>
          <w:spacing w:val="-3"/>
          <w:lang w:val="en-GB"/>
        </w:rPr>
        <w:t>9</w:t>
      </w:r>
      <w:r w:rsidRPr="00FC6062">
        <w:rPr>
          <w:rFonts w:asciiTheme="minorHAnsi" w:hAnsiTheme="minorHAnsi" w:cstheme="minorHAnsi"/>
          <w:bCs/>
          <w:spacing w:val="-3"/>
          <w:lang w:val="en-GB"/>
        </w:rPr>
        <w:t>.</w:t>
      </w:r>
      <w:r w:rsidR="003904D0" w:rsidRPr="00FC6062">
        <w:rPr>
          <w:rFonts w:asciiTheme="minorHAnsi" w:hAnsiTheme="minorHAnsi" w:cstheme="minorHAnsi"/>
          <w:bCs/>
          <w:spacing w:val="-3"/>
          <w:lang w:val="en-GB"/>
        </w:rPr>
        <w:t>7</w:t>
      </w:r>
      <w:r w:rsidR="0059334C" w:rsidRPr="00FC6062">
        <w:rPr>
          <w:rFonts w:asciiTheme="minorHAnsi" w:hAnsiTheme="minorHAnsi" w:cstheme="minorHAnsi"/>
          <w:bCs/>
          <w:spacing w:val="-3"/>
          <w:lang w:val="en-GB"/>
        </w:rPr>
        <w:t xml:space="preserve"> </w:t>
      </w:r>
      <w:r w:rsidRPr="00FC6062">
        <w:rPr>
          <w:rFonts w:asciiTheme="minorHAnsi" w:hAnsiTheme="minorHAnsi" w:cstheme="minorHAnsi"/>
          <w:bCs/>
          <w:spacing w:val="-3"/>
          <w:lang w:val="en-GB"/>
        </w:rPr>
        <w:t xml:space="preserve">million, i.e. by </w:t>
      </w:r>
      <w:r w:rsidR="004C03F7" w:rsidRPr="00FC6062">
        <w:rPr>
          <w:rFonts w:asciiTheme="minorHAnsi" w:hAnsiTheme="minorHAnsi" w:cstheme="minorHAnsi"/>
          <w:bCs/>
          <w:spacing w:val="-3"/>
          <w:lang w:val="en-GB"/>
        </w:rPr>
        <w:t>1</w:t>
      </w:r>
      <w:r w:rsidR="003904D0" w:rsidRPr="00FC6062">
        <w:rPr>
          <w:rFonts w:asciiTheme="minorHAnsi" w:hAnsiTheme="minorHAnsi" w:cstheme="minorHAnsi"/>
          <w:bCs/>
          <w:spacing w:val="-3"/>
          <w:lang w:val="en-GB"/>
        </w:rPr>
        <w:t>4</w:t>
      </w:r>
      <w:r w:rsidRPr="00FC6062">
        <w:rPr>
          <w:rFonts w:asciiTheme="minorHAnsi" w:hAnsiTheme="minorHAnsi" w:cstheme="minorHAnsi"/>
          <w:bCs/>
          <w:spacing w:val="-3"/>
          <w:lang w:val="en-GB"/>
        </w:rPr>
        <w:t>.</w:t>
      </w:r>
      <w:r w:rsidR="003904D0" w:rsidRPr="00FC6062">
        <w:rPr>
          <w:rFonts w:asciiTheme="minorHAnsi" w:hAnsiTheme="minorHAnsi" w:cstheme="minorHAnsi"/>
          <w:bCs/>
          <w:spacing w:val="-3"/>
          <w:lang w:val="en-GB"/>
        </w:rPr>
        <w:t>2</w:t>
      </w:r>
      <w:r w:rsidRPr="00FC6062">
        <w:rPr>
          <w:rFonts w:asciiTheme="minorHAnsi" w:hAnsiTheme="minorHAnsi" w:cstheme="minorHAnsi"/>
          <w:bCs/>
          <w:spacing w:val="-3"/>
          <w:lang w:val="en-GB"/>
        </w:rPr>
        <w:t xml:space="preserve"> percent</w:t>
      </w:r>
      <w:r w:rsidR="00B81116" w:rsidRPr="00FC6062">
        <w:rPr>
          <w:rFonts w:asciiTheme="minorHAnsi" w:hAnsiTheme="minorHAnsi" w:cstheme="minorHAnsi"/>
          <w:bCs/>
          <w:spacing w:val="-3"/>
          <w:lang w:val="en-GB"/>
        </w:rPr>
        <w:t>,</w:t>
      </w:r>
    </w:p>
    <w:p w:rsidR="00DB7995" w:rsidRPr="00FC6062" w:rsidRDefault="00BF32EB"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FC6062">
        <w:rPr>
          <w:rFonts w:asciiTheme="minorHAnsi" w:hAnsiTheme="minorHAnsi" w:cstheme="minorHAnsi"/>
          <w:spacing w:val="-3"/>
          <w:lang w:val="en-GB"/>
        </w:rPr>
        <w:t xml:space="preserve">Decrease in interest expenses of HRK </w:t>
      </w:r>
      <w:r w:rsidR="003904D0" w:rsidRPr="00FC6062">
        <w:rPr>
          <w:rFonts w:asciiTheme="minorHAnsi" w:hAnsiTheme="minorHAnsi" w:cstheme="minorHAnsi"/>
          <w:spacing w:val="-3"/>
          <w:lang w:val="en-GB"/>
        </w:rPr>
        <w:t>18</w:t>
      </w:r>
      <w:r w:rsidRPr="00FC6062">
        <w:rPr>
          <w:rFonts w:asciiTheme="minorHAnsi" w:hAnsiTheme="minorHAnsi" w:cstheme="minorHAnsi"/>
          <w:spacing w:val="-3"/>
          <w:lang w:val="en-GB"/>
        </w:rPr>
        <w:t>.</w:t>
      </w:r>
      <w:r w:rsidR="003904D0" w:rsidRPr="00FC6062">
        <w:rPr>
          <w:rFonts w:asciiTheme="minorHAnsi" w:hAnsiTheme="minorHAnsi" w:cstheme="minorHAnsi"/>
          <w:spacing w:val="-3"/>
          <w:lang w:val="en-GB"/>
        </w:rPr>
        <w:t>3</w:t>
      </w:r>
      <w:r w:rsidRPr="00FC6062">
        <w:rPr>
          <w:rFonts w:asciiTheme="minorHAnsi" w:hAnsiTheme="minorHAnsi" w:cstheme="minorHAnsi"/>
          <w:spacing w:val="-3"/>
          <w:lang w:val="en-GB"/>
        </w:rPr>
        <w:t xml:space="preserve"> million</w:t>
      </w:r>
      <w:r w:rsidR="00BD5029" w:rsidRPr="00FC6062">
        <w:rPr>
          <w:rFonts w:asciiTheme="minorHAnsi" w:hAnsiTheme="minorHAnsi" w:cstheme="minorHAnsi"/>
          <w:spacing w:val="-3"/>
          <w:lang w:val="en-GB"/>
        </w:rPr>
        <w:t xml:space="preserve">, </w:t>
      </w:r>
      <w:r w:rsidRPr="00FC6062">
        <w:rPr>
          <w:rFonts w:asciiTheme="minorHAnsi" w:hAnsiTheme="minorHAnsi" w:cstheme="minorHAnsi"/>
          <w:spacing w:val="-3"/>
          <w:lang w:val="en-GB"/>
        </w:rPr>
        <w:t xml:space="preserve">i.e. by </w:t>
      </w:r>
      <w:r w:rsidR="003904D0" w:rsidRPr="00FC6062">
        <w:rPr>
          <w:rFonts w:asciiTheme="minorHAnsi" w:hAnsiTheme="minorHAnsi" w:cstheme="minorHAnsi"/>
          <w:spacing w:val="-3"/>
          <w:lang w:val="en-GB"/>
        </w:rPr>
        <w:t>7</w:t>
      </w:r>
      <w:r w:rsidRPr="00FC6062">
        <w:rPr>
          <w:rFonts w:asciiTheme="minorHAnsi" w:hAnsiTheme="minorHAnsi" w:cstheme="minorHAnsi"/>
          <w:spacing w:val="-3"/>
          <w:lang w:val="en-GB"/>
        </w:rPr>
        <w:t>.</w:t>
      </w:r>
      <w:r w:rsidR="004C03F7" w:rsidRPr="00FC6062">
        <w:rPr>
          <w:rFonts w:asciiTheme="minorHAnsi" w:hAnsiTheme="minorHAnsi" w:cstheme="minorHAnsi"/>
          <w:spacing w:val="-3"/>
          <w:lang w:val="en-GB"/>
        </w:rPr>
        <w:t>2</w:t>
      </w:r>
      <w:r w:rsidR="00FD0B63" w:rsidRPr="00FC6062">
        <w:rPr>
          <w:rFonts w:asciiTheme="minorHAnsi" w:hAnsiTheme="minorHAnsi" w:cstheme="minorHAnsi"/>
          <w:spacing w:val="-3"/>
          <w:lang w:val="en-GB"/>
        </w:rPr>
        <w:t xml:space="preserve"> </w:t>
      </w:r>
      <w:r w:rsidR="00DB7995" w:rsidRPr="00FC6062">
        <w:rPr>
          <w:rFonts w:asciiTheme="minorHAnsi" w:hAnsiTheme="minorHAnsi" w:cstheme="minorHAnsi"/>
          <w:spacing w:val="-3"/>
          <w:lang w:val="en-GB"/>
        </w:rPr>
        <w:t>p</w:t>
      </w:r>
      <w:r w:rsidRPr="00FC6062">
        <w:rPr>
          <w:rFonts w:asciiTheme="minorHAnsi" w:hAnsiTheme="minorHAnsi" w:cstheme="minorHAnsi"/>
          <w:spacing w:val="-3"/>
          <w:lang w:val="en-GB"/>
        </w:rPr>
        <w:t>ercent</w:t>
      </w:r>
      <w:r w:rsidR="00DB7995" w:rsidRPr="00FC6062">
        <w:rPr>
          <w:rFonts w:asciiTheme="minorHAnsi" w:hAnsiTheme="minorHAnsi" w:cstheme="minorHAnsi"/>
          <w:spacing w:val="-3"/>
          <w:lang w:val="en-GB"/>
        </w:rPr>
        <w:t>,</w:t>
      </w:r>
    </w:p>
    <w:p w:rsidR="0059334C" w:rsidRPr="00FC6062" w:rsidRDefault="00BF32EB"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FC6062">
        <w:rPr>
          <w:rFonts w:asciiTheme="minorHAnsi" w:hAnsiTheme="minorHAnsi" w:cstheme="minorHAnsi"/>
          <w:spacing w:val="-3"/>
          <w:lang w:val="en-GB"/>
        </w:rPr>
        <w:t>Increase in gains from financial activities of HRK</w:t>
      </w:r>
      <w:r w:rsidR="00DE122A" w:rsidRPr="00FC6062">
        <w:rPr>
          <w:rFonts w:asciiTheme="minorHAnsi" w:hAnsiTheme="minorHAnsi" w:cstheme="minorHAnsi"/>
          <w:spacing w:val="-3"/>
          <w:lang w:val="en-GB"/>
        </w:rPr>
        <w:t xml:space="preserve"> </w:t>
      </w:r>
      <w:r w:rsidR="00DC6AF1" w:rsidRPr="00FC6062">
        <w:rPr>
          <w:rFonts w:asciiTheme="minorHAnsi" w:hAnsiTheme="minorHAnsi" w:cstheme="minorHAnsi"/>
          <w:spacing w:val="-3"/>
          <w:lang w:val="en-GB"/>
        </w:rPr>
        <w:t>3</w:t>
      </w:r>
      <w:r w:rsidR="00DE122A" w:rsidRPr="00FC6062">
        <w:rPr>
          <w:rFonts w:asciiTheme="minorHAnsi" w:hAnsiTheme="minorHAnsi" w:cstheme="minorHAnsi"/>
          <w:spacing w:val="-3"/>
          <w:lang w:val="en-GB"/>
        </w:rPr>
        <w:t>.</w:t>
      </w:r>
      <w:r w:rsidR="00DC6AF1" w:rsidRPr="00FC6062">
        <w:rPr>
          <w:rFonts w:asciiTheme="minorHAnsi" w:hAnsiTheme="minorHAnsi" w:cstheme="minorHAnsi"/>
          <w:spacing w:val="-3"/>
          <w:lang w:val="en-GB"/>
        </w:rPr>
        <w:t>1</w:t>
      </w:r>
      <w:r w:rsidR="00DE122A" w:rsidRPr="00FC6062">
        <w:rPr>
          <w:rFonts w:asciiTheme="minorHAnsi" w:hAnsiTheme="minorHAnsi" w:cstheme="minorHAnsi"/>
          <w:spacing w:val="-3"/>
          <w:lang w:val="en-GB"/>
        </w:rPr>
        <w:t xml:space="preserve"> </w:t>
      </w:r>
      <w:r w:rsidR="007D649D" w:rsidRPr="00FC6062">
        <w:rPr>
          <w:rFonts w:asciiTheme="minorHAnsi" w:hAnsiTheme="minorHAnsi" w:cstheme="minorHAnsi"/>
          <w:spacing w:val="-3"/>
          <w:lang w:val="en-GB"/>
        </w:rPr>
        <w:t xml:space="preserve">million, </w:t>
      </w:r>
      <w:r w:rsidR="00DE122A" w:rsidRPr="00FC6062">
        <w:rPr>
          <w:rFonts w:asciiTheme="minorHAnsi" w:hAnsiTheme="minorHAnsi" w:cstheme="minorHAnsi"/>
          <w:spacing w:val="-3"/>
          <w:lang w:val="en-GB"/>
        </w:rPr>
        <w:t xml:space="preserve">i.e. by </w:t>
      </w:r>
      <w:r w:rsidR="004C03F7" w:rsidRPr="00FC6062">
        <w:rPr>
          <w:rFonts w:asciiTheme="minorHAnsi" w:hAnsiTheme="minorHAnsi" w:cstheme="minorHAnsi"/>
          <w:spacing w:val="-3"/>
          <w:lang w:val="en-GB"/>
        </w:rPr>
        <w:t>4</w:t>
      </w:r>
      <w:r w:rsidR="00DC6AF1" w:rsidRPr="00FC6062">
        <w:rPr>
          <w:rFonts w:asciiTheme="minorHAnsi" w:hAnsiTheme="minorHAnsi" w:cstheme="minorHAnsi"/>
          <w:spacing w:val="-3"/>
          <w:lang w:val="en-GB"/>
        </w:rPr>
        <w:t>3</w:t>
      </w:r>
      <w:r w:rsidR="00DE122A" w:rsidRPr="00FC6062">
        <w:rPr>
          <w:rFonts w:asciiTheme="minorHAnsi" w:hAnsiTheme="minorHAnsi" w:cstheme="minorHAnsi"/>
          <w:spacing w:val="-3"/>
          <w:lang w:val="en-GB"/>
        </w:rPr>
        <w:t>.</w:t>
      </w:r>
      <w:r w:rsidR="006247E6">
        <w:rPr>
          <w:rFonts w:asciiTheme="minorHAnsi" w:hAnsiTheme="minorHAnsi" w:cstheme="minorHAnsi"/>
          <w:spacing w:val="-3"/>
          <w:lang w:val="en-GB"/>
        </w:rPr>
        <w:t>1</w:t>
      </w:r>
      <w:r w:rsidR="00FD4C02" w:rsidRPr="00FC6062">
        <w:rPr>
          <w:rFonts w:asciiTheme="minorHAnsi" w:hAnsiTheme="minorHAnsi" w:cstheme="minorHAnsi"/>
          <w:spacing w:val="-3"/>
          <w:lang w:val="en-GB"/>
        </w:rPr>
        <w:t xml:space="preserve"> p</w:t>
      </w:r>
      <w:r w:rsidR="00DE122A" w:rsidRPr="00FC6062">
        <w:rPr>
          <w:rFonts w:asciiTheme="minorHAnsi" w:hAnsiTheme="minorHAnsi" w:cstheme="minorHAnsi"/>
          <w:spacing w:val="-3"/>
          <w:lang w:val="en-GB"/>
        </w:rPr>
        <w:t>ercent</w:t>
      </w:r>
      <w:r w:rsidR="00FD4C02" w:rsidRPr="00FC6062">
        <w:rPr>
          <w:rFonts w:asciiTheme="minorHAnsi" w:hAnsiTheme="minorHAnsi" w:cstheme="minorHAnsi"/>
          <w:spacing w:val="-3"/>
          <w:lang w:val="en-GB"/>
        </w:rPr>
        <w:t>,</w:t>
      </w:r>
    </w:p>
    <w:p w:rsidR="006571D0" w:rsidRPr="00FC6062" w:rsidRDefault="00DE122A" w:rsidP="00250F38">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FC6062">
        <w:rPr>
          <w:rFonts w:asciiTheme="minorHAnsi" w:hAnsiTheme="minorHAnsi" w:cstheme="minorHAnsi"/>
          <w:spacing w:val="-3"/>
          <w:lang w:val="en-GB"/>
        </w:rPr>
        <w:t xml:space="preserve">Decrease in </w:t>
      </w:r>
      <w:r w:rsidR="00BF32EB" w:rsidRPr="00FC6062">
        <w:rPr>
          <w:rFonts w:asciiTheme="minorHAnsi" w:hAnsiTheme="minorHAnsi" w:cstheme="minorHAnsi"/>
          <w:spacing w:val="-3"/>
          <w:lang w:val="en-GB"/>
        </w:rPr>
        <w:t>losses from impairment and provisions in the amount of HRK</w:t>
      </w:r>
      <w:r w:rsidR="006571D0" w:rsidRPr="00FC6062">
        <w:rPr>
          <w:rFonts w:asciiTheme="minorHAnsi" w:hAnsiTheme="minorHAnsi" w:cstheme="minorHAnsi"/>
          <w:spacing w:val="-3"/>
          <w:lang w:val="en-GB"/>
        </w:rPr>
        <w:t xml:space="preserve"> </w:t>
      </w:r>
      <w:r w:rsidR="006843BC" w:rsidRPr="00FC6062">
        <w:rPr>
          <w:rFonts w:asciiTheme="minorHAnsi" w:hAnsiTheme="minorHAnsi" w:cstheme="minorHAnsi"/>
          <w:spacing w:val="-3"/>
          <w:lang w:val="en-GB"/>
        </w:rPr>
        <w:t>116</w:t>
      </w:r>
      <w:r w:rsidR="007D649D" w:rsidRPr="00FC6062">
        <w:rPr>
          <w:rFonts w:asciiTheme="minorHAnsi" w:hAnsiTheme="minorHAnsi" w:cstheme="minorHAnsi"/>
          <w:spacing w:val="-3"/>
          <w:lang w:val="en-GB"/>
        </w:rPr>
        <w:t>.</w:t>
      </w:r>
      <w:r w:rsidR="006843BC" w:rsidRPr="00FC6062">
        <w:rPr>
          <w:rFonts w:asciiTheme="minorHAnsi" w:hAnsiTheme="minorHAnsi" w:cstheme="minorHAnsi"/>
          <w:spacing w:val="-3"/>
          <w:lang w:val="en-GB"/>
        </w:rPr>
        <w:t>3</w:t>
      </w:r>
      <w:r w:rsidR="006571D0" w:rsidRPr="00FC6062">
        <w:rPr>
          <w:rFonts w:asciiTheme="minorHAnsi" w:hAnsiTheme="minorHAnsi" w:cstheme="minorHAnsi"/>
          <w:spacing w:val="-3"/>
          <w:lang w:val="en-GB"/>
        </w:rPr>
        <w:t xml:space="preserve"> </w:t>
      </w:r>
      <w:r w:rsidR="007D649D" w:rsidRPr="00FC6062">
        <w:rPr>
          <w:rFonts w:asciiTheme="minorHAnsi" w:hAnsiTheme="minorHAnsi" w:cstheme="minorHAnsi"/>
          <w:spacing w:val="-3"/>
          <w:lang w:val="en-GB"/>
        </w:rPr>
        <w:t>million</w:t>
      </w:r>
      <w:r w:rsidR="004C03F7" w:rsidRPr="00FC6062">
        <w:rPr>
          <w:rFonts w:asciiTheme="minorHAnsi" w:hAnsiTheme="minorHAnsi" w:cstheme="minorHAnsi"/>
          <w:spacing w:val="-3"/>
          <w:lang w:val="en-GB"/>
        </w:rPr>
        <w:t>,</w:t>
      </w:r>
    </w:p>
    <w:p w:rsidR="00B81116" w:rsidRPr="00FC6062" w:rsidRDefault="007D649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FC6062">
        <w:rPr>
          <w:rFonts w:asciiTheme="minorHAnsi" w:hAnsiTheme="minorHAnsi" w:cstheme="minorHAnsi"/>
          <w:spacing w:val="-3"/>
          <w:lang w:val="en-GB"/>
        </w:rPr>
        <w:t xml:space="preserve">Decrease in </w:t>
      </w:r>
      <w:r w:rsidR="00BF32EB" w:rsidRPr="00FC6062">
        <w:rPr>
          <w:rFonts w:asciiTheme="minorHAnsi" w:hAnsiTheme="minorHAnsi" w:cstheme="minorHAnsi"/>
          <w:spacing w:val="-3"/>
          <w:lang w:val="en-GB"/>
        </w:rPr>
        <w:t xml:space="preserve">operating expenses of HRK </w:t>
      </w:r>
      <w:r w:rsidR="006843BC" w:rsidRPr="00FC6062">
        <w:rPr>
          <w:rFonts w:asciiTheme="minorHAnsi" w:hAnsiTheme="minorHAnsi" w:cstheme="minorHAnsi"/>
          <w:spacing w:val="-3"/>
          <w:lang w:val="en-GB"/>
        </w:rPr>
        <w:t>3</w:t>
      </w:r>
      <w:r w:rsidRPr="00FC6062">
        <w:rPr>
          <w:rFonts w:asciiTheme="minorHAnsi" w:hAnsiTheme="minorHAnsi" w:cstheme="minorHAnsi"/>
          <w:spacing w:val="-3"/>
          <w:lang w:val="en-GB"/>
        </w:rPr>
        <w:t>.</w:t>
      </w:r>
      <w:r w:rsidR="006843BC" w:rsidRPr="00FC6062">
        <w:rPr>
          <w:rFonts w:asciiTheme="minorHAnsi" w:hAnsiTheme="minorHAnsi" w:cstheme="minorHAnsi"/>
          <w:spacing w:val="-3"/>
          <w:lang w:val="en-GB"/>
        </w:rPr>
        <w:t>0</w:t>
      </w:r>
      <w:r w:rsidRPr="00FC6062">
        <w:rPr>
          <w:rFonts w:asciiTheme="minorHAnsi" w:hAnsiTheme="minorHAnsi" w:cstheme="minorHAnsi"/>
          <w:spacing w:val="-3"/>
          <w:lang w:val="en-GB"/>
        </w:rPr>
        <w:t xml:space="preserve"> million, i.e. by</w:t>
      </w:r>
      <w:r w:rsidR="00B81116" w:rsidRPr="00FC6062">
        <w:rPr>
          <w:rFonts w:asciiTheme="minorHAnsi" w:hAnsiTheme="minorHAnsi" w:cstheme="minorHAnsi"/>
          <w:spacing w:val="-3"/>
          <w:lang w:val="en-GB"/>
        </w:rPr>
        <w:t xml:space="preserve"> </w:t>
      </w:r>
      <w:r w:rsidR="006843BC" w:rsidRPr="00FC6062">
        <w:rPr>
          <w:rFonts w:asciiTheme="minorHAnsi" w:hAnsiTheme="minorHAnsi" w:cstheme="minorHAnsi"/>
          <w:spacing w:val="-3"/>
          <w:lang w:val="en-GB"/>
        </w:rPr>
        <w:t>2</w:t>
      </w:r>
      <w:r w:rsidRPr="00FC6062">
        <w:rPr>
          <w:rFonts w:asciiTheme="minorHAnsi" w:hAnsiTheme="minorHAnsi" w:cstheme="minorHAnsi"/>
          <w:spacing w:val="-3"/>
          <w:lang w:val="en-GB"/>
        </w:rPr>
        <w:t>.</w:t>
      </w:r>
      <w:r w:rsidR="006843BC" w:rsidRPr="00FC6062">
        <w:rPr>
          <w:rFonts w:asciiTheme="minorHAnsi" w:hAnsiTheme="minorHAnsi" w:cstheme="minorHAnsi"/>
          <w:spacing w:val="-3"/>
          <w:lang w:val="en-GB"/>
        </w:rPr>
        <w:t>5</w:t>
      </w:r>
      <w:r w:rsidR="00B81116" w:rsidRPr="00FC6062">
        <w:rPr>
          <w:rFonts w:asciiTheme="minorHAnsi" w:hAnsiTheme="minorHAnsi" w:cstheme="minorHAnsi"/>
          <w:spacing w:val="-3"/>
          <w:lang w:val="en-GB"/>
        </w:rPr>
        <w:t xml:space="preserve"> p</w:t>
      </w:r>
      <w:r w:rsidRPr="00FC6062">
        <w:rPr>
          <w:rFonts w:asciiTheme="minorHAnsi" w:hAnsiTheme="minorHAnsi" w:cstheme="minorHAnsi"/>
          <w:spacing w:val="-3"/>
          <w:lang w:val="en-GB"/>
        </w:rPr>
        <w:t>ercent</w:t>
      </w:r>
      <w:r w:rsidR="00FD0B63" w:rsidRPr="00FC6062">
        <w:rPr>
          <w:rFonts w:asciiTheme="minorHAnsi" w:hAnsiTheme="minorHAnsi" w:cstheme="minorHAnsi"/>
          <w:spacing w:val="-3"/>
          <w:lang w:val="en-GB"/>
        </w:rPr>
        <w:t>,</w:t>
      </w:r>
    </w:p>
    <w:p w:rsidR="00FD0B63" w:rsidRPr="00FC6062" w:rsidRDefault="007D649D" w:rsidP="00FD0B63">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FC6062">
        <w:rPr>
          <w:rFonts w:asciiTheme="minorHAnsi" w:hAnsiTheme="minorHAnsi" w:cstheme="minorHAnsi"/>
          <w:spacing w:val="-3"/>
          <w:lang w:val="en-GB"/>
        </w:rPr>
        <w:t>Decrease in n</w:t>
      </w:r>
      <w:r w:rsidR="006843BC" w:rsidRPr="00FC6062">
        <w:rPr>
          <w:rFonts w:asciiTheme="minorHAnsi" w:hAnsiTheme="minorHAnsi" w:cstheme="minorHAnsi"/>
          <w:spacing w:val="-3"/>
          <w:lang w:val="en-GB"/>
        </w:rPr>
        <w:t>et</w:t>
      </w:r>
      <w:r w:rsidRPr="00FC6062">
        <w:rPr>
          <w:rFonts w:asciiTheme="minorHAnsi" w:hAnsiTheme="minorHAnsi" w:cstheme="minorHAnsi"/>
          <w:spacing w:val="-3"/>
          <w:lang w:val="en-GB"/>
        </w:rPr>
        <w:t xml:space="preserve"> </w:t>
      </w:r>
      <w:r w:rsidR="00BF32EB" w:rsidRPr="00FC6062">
        <w:rPr>
          <w:rFonts w:asciiTheme="minorHAnsi" w:hAnsiTheme="minorHAnsi" w:cstheme="minorHAnsi"/>
          <w:spacing w:val="-3"/>
          <w:lang w:val="en-GB"/>
        </w:rPr>
        <w:t>fee and commission income of HRK</w:t>
      </w:r>
      <w:r w:rsidR="00FD0B63" w:rsidRPr="00FC6062">
        <w:rPr>
          <w:rFonts w:asciiTheme="minorHAnsi" w:hAnsiTheme="minorHAnsi" w:cstheme="minorHAnsi"/>
          <w:spacing w:val="-3"/>
          <w:lang w:val="en-GB"/>
        </w:rPr>
        <w:t xml:space="preserve"> </w:t>
      </w:r>
      <w:r w:rsidR="002B48CA" w:rsidRPr="00FC6062">
        <w:rPr>
          <w:rFonts w:asciiTheme="minorHAnsi" w:hAnsiTheme="minorHAnsi" w:cstheme="minorHAnsi"/>
          <w:spacing w:val="-3"/>
          <w:lang w:val="en-GB"/>
        </w:rPr>
        <w:t>16</w:t>
      </w:r>
      <w:r w:rsidRPr="00FC6062">
        <w:rPr>
          <w:rFonts w:asciiTheme="minorHAnsi" w:hAnsiTheme="minorHAnsi" w:cstheme="minorHAnsi"/>
          <w:spacing w:val="-3"/>
          <w:lang w:val="en-GB"/>
        </w:rPr>
        <w:t>.</w:t>
      </w:r>
      <w:r w:rsidR="002B48CA" w:rsidRPr="00FC6062">
        <w:rPr>
          <w:rFonts w:asciiTheme="minorHAnsi" w:hAnsiTheme="minorHAnsi" w:cstheme="minorHAnsi"/>
          <w:spacing w:val="-3"/>
          <w:lang w:val="en-GB"/>
        </w:rPr>
        <w:t>5</w:t>
      </w:r>
      <w:r w:rsidR="00FD0B63" w:rsidRPr="00FC6062">
        <w:rPr>
          <w:rFonts w:asciiTheme="minorHAnsi" w:hAnsiTheme="minorHAnsi" w:cstheme="minorHAnsi"/>
          <w:spacing w:val="-3"/>
          <w:lang w:val="en-GB"/>
        </w:rPr>
        <w:t xml:space="preserve"> </w:t>
      </w:r>
      <w:r w:rsidRPr="00FC6062">
        <w:rPr>
          <w:rFonts w:asciiTheme="minorHAnsi" w:hAnsiTheme="minorHAnsi" w:cstheme="minorHAnsi"/>
          <w:spacing w:val="-3"/>
          <w:lang w:val="en-GB"/>
        </w:rPr>
        <w:t xml:space="preserve">million, i.e. by </w:t>
      </w:r>
      <w:r w:rsidR="002B48CA" w:rsidRPr="00FC6062">
        <w:rPr>
          <w:rFonts w:asciiTheme="minorHAnsi" w:hAnsiTheme="minorHAnsi" w:cstheme="minorHAnsi"/>
          <w:spacing w:val="-3"/>
          <w:lang w:val="en-GB"/>
        </w:rPr>
        <w:t>52</w:t>
      </w:r>
      <w:r w:rsidRPr="00FC6062">
        <w:rPr>
          <w:rFonts w:asciiTheme="minorHAnsi" w:hAnsiTheme="minorHAnsi" w:cstheme="minorHAnsi"/>
          <w:spacing w:val="-3"/>
          <w:lang w:val="en-GB"/>
        </w:rPr>
        <w:t>.</w:t>
      </w:r>
      <w:r w:rsidR="00E873C8">
        <w:rPr>
          <w:rFonts w:asciiTheme="minorHAnsi" w:hAnsiTheme="minorHAnsi" w:cstheme="minorHAnsi"/>
          <w:spacing w:val="-3"/>
          <w:lang w:val="en-GB"/>
        </w:rPr>
        <w:t>5</w:t>
      </w:r>
      <w:r w:rsidR="00FD0B63" w:rsidRPr="00FC6062">
        <w:rPr>
          <w:rFonts w:asciiTheme="minorHAnsi" w:hAnsiTheme="minorHAnsi" w:cstheme="minorHAnsi"/>
          <w:spacing w:val="-3"/>
          <w:lang w:val="en-GB"/>
        </w:rPr>
        <w:t xml:space="preserve"> p</w:t>
      </w:r>
      <w:r w:rsidRPr="00FC6062">
        <w:rPr>
          <w:rFonts w:asciiTheme="minorHAnsi" w:hAnsiTheme="minorHAnsi" w:cstheme="minorHAnsi"/>
          <w:spacing w:val="-3"/>
          <w:lang w:val="en-GB"/>
        </w:rPr>
        <w:t>ercent</w:t>
      </w:r>
      <w:r w:rsidR="00FD0B63" w:rsidRPr="00FC6062">
        <w:rPr>
          <w:rFonts w:asciiTheme="minorHAnsi" w:hAnsiTheme="minorHAnsi" w:cstheme="minorHAnsi"/>
          <w:spacing w:val="-3"/>
          <w:lang w:val="en-GB"/>
        </w:rPr>
        <w:t>.</w:t>
      </w:r>
    </w:p>
    <w:p w:rsidR="007D3F76" w:rsidRPr="00FC6062" w:rsidRDefault="007D3F76" w:rsidP="00BF17D9">
      <w:pPr>
        <w:tabs>
          <w:tab w:val="left" w:pos="-720"/>
        </w:tabs>
        <w:suppressAutoHyphens/>
        <w:spacing w:after="0" w:line="240" w:lineRule="auto"/>
        <w:jc w:val="both"/>
        <w:rPr>
          <w:rFonts w:cstheme="minorHAnsi"/>
          <w:spacing w:val="-3"/>
          <w:sz w:val="24"/>
          <w:szCs w:val="24"/>
          <w:lang w:val="en-GB"/>
        </w:rPr>
      </w:pPr>
    </w:p>
    <w:p w:rsidR="00BF17D9" w:rsidRPr="00FC6062" w:rsidRDefault="00105662"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A detailed description of trends is given for each category separately in the following text</w:t>
      </w:r>
      <w:r w:rsidR="00BF17D9" w:rsidRPr="00FC6062">
        <w:rPr>
          <w:rFonts w:cstheme="minorHAnsi"/>
          <w:spacing w:val="-3"/>
          <w:sz w:val="24"/>
          <w:szCs w:val="24"/>
          <w:lang w:val="en-GB"/>
        </w:rPr>
        <w:t>.</w:t>
      </w:r>
    </w:p>
    <w:p w:rsidR="00C16DA8" w:rsidRPr="00FC6062"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FC6062" w:rsidSect="00F24D36">
          <w:footerReference w:type="default" r:id="rId23"/>
          <w:pgSz w:w="11906" w:h="16838"/>
          <w:pgMar w:top="1417" w:right="1417" w:bottom="1417" w:left="1276" w:header="708" w:footer="708" w:gutter="0"/>
          <w:cols w:space="708"/>
          <w:docGrid w:linePitch="360"/>
        </w:sectPr>
      </w:pPr>
    </w:p>
    <w:p w:rsidR="00BF17D9" w:rsidRPr="00FC6062" w:rsidRDefault="00017764" w:rsidP="000479D6">
      <w:pPr>
        <w:tabs>
          <w:tab w:val="left" w:pos="-720"/>
        </w:tabs>
        <w:suppressAutoHyphens/>
        <w:spacing w:after="0" w:line="240" w:lineRule="auto"/>
        <w:ind w:left="-284" w:right="-426"/>
        <w:rPr>
          <w:rFonts w:eastAsia="Times New Roman" w:cs="Calibri"/>
          <w:b/>
          <w:i/>
          <w:spacing w:val="-3"/>
          <w:sz w:val="24"/>
          <w:szCs w:val="24"/>
          <w:lang w:val="en-GB" w:eastAsia="hr-HR"/>
        </w:rPr>
      </w:pPr>
      <w:r>
        <w:rPr>
          <w:rFonts w:eastAsia="Times New Roman" w:cs="Calibri"/>
          <w:b/>
          <w:i/>
          <w:noProof/>
          <w:spacing w:val="-3"/>
          <w:sz w:val="24"/>
          <w:szCs w:val="24"/>
          <w:lang w:val="en-GB" w:eastAsia="hr-HR"/>
        </w:rPr>
        <w:lastRenderedPageBreak/>
        <w:drawing>
          <wp:inline distT="0" distB="0" distL="0" distR="0" wp14:anchorId="619D73DC">
            <wp:extent cx="2834608" cy="3852000"/>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4608" cy="3852000"/>
                    </a:xfrm>
                    <a:prstGeom prst="rect">
                      <a:avLst/>
                    </a:prstGeom>
                    <a:noFill/>
                  </pic:spPr>
                </pic:pic>
              </a:graphicData>
            </a:graphic>
          </wp:inline>
        </w:drawing>
      </w:r>
      <w:r w:rsidR="00A35432" w:rsidRPr="00FC6062">
        <w:rPr>
          <w:rFonts w:eastAsia="Times New Roman" w:cs="Calibri"/>
          <w:b/>
          <w:i/>
          <w:spacing w:val="-3"/>
          <w:sz w:val="24"/>
          <w:szCs w:val="24"/>
          <w:lang w:val="en-GB" w:eastAsia="hr-HR"/>
        </w:rPr>
        <w:t xml:space="preserve"> </w:t>
      </w:r>
      <w:r w:rsidR="009D17A3" w:rsidRPr="00FC6062">
        <w:rPr>
          <w:rFonts w:eastAsia="Times New Roman" w:cs="Calibri"/>
          <w:b/>
          <w:i/>
          <w:spacing w:val="-3"/>
          <w:sz w:val="24"/>
          <w:szCs w:val="24"/>
          <w:lang w:val="en-GB" w:eastAsia="hr-HR"/>
        </w:rPr>
        <w:t xml:space="preserve">  </w:t>
      </w:r>
      <w:r w:rsidR="00E80C89">
        <w:rPr>
          <w:rFonts w:eastAsia="Times New Roman" w:cs="Calibri"/>
          <w:b/>
          <w:i/>
          <w:noProof/>
          <w:spacing w:val="-3"/>
          <w:sz w:val="24"/>
          <w:szCs w:val="24"/>
          <w:lang w:val="en-GB" w:eastAsia="hr-HR"/>
        </w:rPr>
        <w:drawing>
          <wp:inline distT="0" distB="0" distL="0" distR="0" wp14:anchorId="4CCA12B6">
            <wp:extent cx="2829069" cy="38520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9069" cy="3852000"/>
                    </a:xfrm>
                    <a:prstGeom prst="rect">
                      <a:avLst/>
                    </a:prstGeom>
                    <a:noFill/>
                  </pic:spPr>
                </pic:pic>
              </a:graphicData>
            </a:graphic>
          </wp:inline>
        </w:drawing>
      </w:r>
    </w:p>
    <w:p w:rsidR="00BF17D9" w:rsidRPr="00FC6062" w:rsidRDefault="00BF17D9" w:rsidP="00BF17D9">
      <w:pPr>
        <w:tabs>
          <w:tab w:val="left" w:pos="-720"/>
        </w:tabs>
        <w:suppressAutoHyphens/>
        <w:spacing w:after="0" w:line="240" w:lineRule="auto"/>
        <w:ind w:left="-142" w:right="-285"/>
        <w:jc w:val="both"/>
        <w:rPr>
          <w:rFonts w:eastAsia="Times New Roman" w:cs="Calibri"/>
          <w:b/>
          <w:i/>
          <w:spacing w:val="-3"/>
          <w:sz w:val="18"/>
          <w:szCs w:val="24"/>
          <w:lang w:val="en-GB" w:eastAsia="hr-HR"/>
        </w:rPr>
      </w:pPr>
    </w:p>
    <w:p w:rsidR="00BF17D9" w:rsidRPr="00FC6062" w:rsidRDefault="00BF17D9">
      <w:pPr>
        <w:tabs>
          <w:tab w:val="left" w:pos="-720"/>
        </w:tabs>
        <w:suppressAutoHyphens/>
        <w:spacing w:after="0" w:line="240" w:lineRule="auto"/>
        <w:ind w:left="-426" w:right="-285"/>
        <w:jc w:val="both"/>
        <w:rPr>
          <w:rFonts w:eastAsia="Times New Roman" w:cs="Calibri"/>
          <w:b/>
          <w:i/>
          <w:spacing w:val="-3"/>
          <w:sz w:val="24"/>
          <w:szCs w:val="24"/>
          <w:lang w:val="en-GB" w:eastAsia="hr-HR"/>
        </w:rPr>
      </w:pPr>
      <w:r w:rsidRPr="00FC6062">
        <w:rPr>
          <w:rFonts w:eastAsia="Times New Roman" w:cs="Calibri"/>
          <w:b/>
          <w:i/>
          <w:spacing w:val="-3"/>
          <w:sz w:val="24"/>
          <w:szCs w:val="24"/>
          <w:lang w:val="en-GB" w:eastAsia="hr-HR"/>
        </w:rPr>
        <w:t xml:space="preserve">   </w:t>
      </w:r>
      <w:r w:rsidR="009D17A3" w:rsidRPr="00FC6062">
        <w:rPr>
          <w:rFonts w:eastAsia="Times New Roman" w:cs="Calibri"/>
          <w:b/>
          <w:i/>
          <w:spacing w:val="-3"/>
          <w:sz w:val="24"/>
          <w:szCs w:val="24"/>
          <w:lang w:val="en-GB" w:eastAsia="hr-HR"/>
        </w:rPr>
        <w:t xml:space="preserve">  </w:t>
      </w:r>
      <w:r w:rsidR="00E80C89">
        <w:rPr>
          <w:rFonts w:eastAsia="Times New Roman" w:cs="Calibri"/>
          <w:b/>
          <w:i/>
          <w:noProof/>
          <w:spacing w:val="-3"/>
          <w:sz w:val="24"/>
          <w:szCs w:val="24"/>
          <w:lang w:val="en-GB" w:eastAsia="hr-HR"/>
        </w:rPr>
        <w:drawing>
          <wp:inline distT="0" distB="0" distL="0" distR="0" wp14:anchorId="74738ACC" wp14:editId="0FA0972B">
            <wp:extent cx="2819821" cy="385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9821" cy="3852000"/>
                    </a:xfrm>
                    <a:prstGeom prst="rect">
                      <a:avLst/>
                    </a:prstGeom>
                    <a:noFill/>
                  </pic:spPr>
                </pic:pic>
              </a:graphicData>
            </a:graphic>
          </wp:inline>
        </w:drawing>
      </w:r>
      <w:r w:rsidR="00DD7510">
        <w:rPr>
          <w:rFonts w:eastAsia="Times New Roman" w:cs="Calibri"/>
          <w:b/>
          <w:i/>
          <w:spacing w:val="-3"/>
          <w:sz w:val="24"/>
          <w:szCs w:val="24"/>
          <w:lang w:val="en-GB" w:eastAsia="hr-HR"/>
        </w:rPr>
        <w:t xml:space="preserve">  </w:t>
      </w:r>
      <w:r w:rsidR="00DD7510">
        <w:rPr>
          <w:rFonts w:eastAsia="Times New Roman" w:cs="Calibri"/>
          <w:b/>
          <w:i/>
          <w:noProof/>
          <w:spacing w:val="-3"/>
          <w:sz w:val="24"/>
          <w:szCs w:val="24"/>
          <w:lang w:val="en-GB" w:eastAsia="hr-HR"/>
        </w:rPr>
        <w:drawing>
          <wp:inline distT="0" distB="0" distL="0" distR="0" wp14:anchorId="036A1254">
            <wp:extent cx="2817049" cy="385200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7049" cy="3852000"/>
                    </a:xfrm>
                    <a:prstGeom prst="rect">
                      <a:avLst/>
                    </a:prstGeom>
                    <a:noFill/>
                  </pic:spPr>
                </pic:pic>
              </a:graphicData>
            </a:graphic>
          </wp:inline>
        </w:drawing>
      </w:r>
    </w:p>
    <w:p w:rsidR="00804E5B" w:rsidRPr="00FC6062" w:rsidRDefault="00804E5B" w:rsidP="00BF17D9">
      <w:pPr>
        <w:tabs>
          <w:tab w:val="left" w:pos="-720"/>
        </w:tabs>
        <w:suppressAutoHyphens/>
        <w:spacing w:after="0" w:line="240" w:lineRule="auto"/>
        <w:ind w:left="-426" w:right="-285"/>
        <w:jc w:val="both"/>
        <w:rPr>
          <w:rFonts w:eastAsia="Times New Roman" w:cs="Calibri"/>
          <w:b/>
          <w:i/>
          <w:spacing w:val="-3"/>
          <w:sz w:val="24"/>
          <w:szCs w:val="24"/>
          <w:lang w:val="en-GB" w:eastAsia="hr-HR"/>
        </w:rPr>
      </w:pPr>
    </w:p>
    <w:p w:rsidR="00B157D4" w:rsidRPr="00FC6062"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FC6062" w:rsidSect="00F24D36">
          <w:footerReference w:type="default" r:id="rId28"/>
          <w:pgSz w:w="11906" w:h="16838"/>
          <w:pgMar w:top="1417" w:right="1417" w:bottom="1417" w:left="1276" w:header="708" w:footer="708" w:gutter="0"/>
          <w:cols w:space="708"/>
          <w:docGrid w:linePitch="360"/>
        </w:sectPr>
      </w:pPr>
    </w:p>
    <w:p w:rsidR="00BF17D9" w:rsidRPr="00FC6062"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r w:rsidRPr="00FC6062">
        <w:rPr>
          <w:rFonts w:eastAsia="Times New Roman" w:cs="Calibri"/>
          <w:b/>
          <w:i/>
          <w:spacing w:val="-3"/>
          <w:sz w:val="24"/>
          <w:szCs w:val="24"/>
          <w:lang w:val="en-GB" w:eastAsia="hr-HR"/>
        </w:rPr>
        <w:lastRenderedPageBreak/>
        <w:t xml:space="preserve">Net </w:t>
      </w:r>
      <w:r w:rsidR="00105662" w:rsidRPr="00FC6062">
        <w:rPr>
          <w:rFonts w:eastAsia="Times New Roman" w:cs="Calibri"/>
          <w:b/>
          <w:i/>
          <w:spacing w:val="-3"/>
          <w:sz w:val="24"/>
          <w:szCs w:val="24"/>
          <w:lang w:val="en-GB" w:eastAsia="hr-HR"/>
        </w:rPr>
        <w:t xml:space="preserve">interest income </w:t>
      </w:r>
    </w:p>
    <w:p w:rsidR="00BF17D9" w:rsidRPr="00FC6062"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Net</w:t>
      </w:r>
      <w:r w:rsidR="00014847" w:rsidRPr="00FC6062">
        <w:rPr>
          <w:rFonts w:cstheme="minorHAnsi"/>
          <w:spacing w:val="-3"/>
          <w:sz w:val="24"/>
          <w:szCs w:val="24"/>
          <w:lang w:val="en-GB"/>
        </w:rPr>
        <w:t xml:space="preserve"> interest income amounted to HRK </w:t>
      </w:r>
      <w:r w:rsidR="00DC2860" w:rsidRPr="00FC6062">
        <w:rPr>
          <w:rFonts w:cstheme="minorHAnsi"/>
          <w:spacing w:val="-3"/>
          <w:sz w:val="24"/>
          <w:szCs w:val="24"/>
          <w:lang w:val="en-GB"/>
        </w:rPr>
        <w:t>245</w:t>
      </w:r>
      <w:r w:rsidR="00014847" w:rsidRPr="00FC6062">
        <w:rPr>
          <w:rFonts w:cstheme="minorHAnsi"/>
          <w:spacing w:val="-3"/>
          <w:sz w:val="24"/>
          <w:szCs w:val="24"/>
          <w:lang w:val="en-GB"/>
        </w:rPr>
        <w:t>.</w:t>
      </w:r>
      <w:r w:rsidR="00DC2860" w:rsidRPr="00FC6062">
        <w:rPr>
          <w:rFonts w:cstheme="minorHAnsi"/>
          <w:spacing w:val="-3"/>
          <w:sz w:val="24"/>
          <w:szCs w:val="24"/>
          <w:lang w:val="en-GB"/>
        </w:rPr>
        <w:t>7</w:t>
      </w:r>
      <w:r w:rsidR="00CE2728" w:rsidRPr="00FC6062">
        <w:rPr>
          <w:rFonts w:cstheme="minorHAnsi"/>
          <w:spacing w:val="-3"/>
          <w:sz w:val="24"/>
          <w:szCs w:val="24"/>
          <w:lang w:val="en-GB"/>
        </w:rPr>
        <w:t xml:space="preserve"> million, </w:t>
      </w:r>
      <w:r w:rsidR="00014847" w:rsidRPr="00FC6062">
        <w:rPr>
          <w:rFonts w:cstheme="minorHAnsi"/>
          <w:spacing w:val="-3"/>
          <w:sz w:val="24"/>
          <w:szCs w:val="24"/>
          <w:lang w:val="en-GB"/>
        </w:rPr>
        <w:t>a decrease of 2</w:t>
      </w:r>
      <w:r w:rsidR="00CE2728" w:rsidRPr="00FC6062">
        <w:rPr>
          <w:rFonts w:cstheme="minorHAnsi"/>
          <w:spacing w:val="-3"/>
          <w:sz w:val="24"/>
          <w:szCs w:val="24"/>
          <w:lang w:val="en-GB"/>
        </w:rPr>
        <w:t>0</w:t>
      </w:r>
      <w:r w:rsidR="00014847" w:rsidRPr="00FC6062">
        <w:rPr>
          <w:rFonts w:cstheme="minorHAnsi"/>
          <w:spacing w:val="-3"/>
          <w:sz w:val="24"/>
          <w:szCs w:val="24"/>
          <w:lang w:val="en-GB"/>
        </w:rPr>
        <w:t>.</w:t>
      </w:r>
      <w:r w:rsidR="00CE2728" w:rsidRPr="00FC6062">
        <w:rPr>
          <w:rFonts w:cstheme="minorHAnsi"/>
          <w:spacing w:val="-3"/>
          <w:sz w:val="24"/>
          <w:szCs w:val="24"/>
          <w:lang w:val="en-GB"/>
        </w:rPr>
        <w:t>0</w:t>
      </w:r>
      <w:r w:rsidR="00014847" w:rsidRPr="00FC6062">
        <w:rPr>
          <w:rFonts w:cstheme="minorHAnsi"/>
          <w:spacing w:val="-3"/>
          <w:sz w:val="24"/>
          <w:szCs w:val="24"/>
          <w:lang w:val="en-GB"/>
        </w:rPr>
        <w:t xml:space="preserve"> percent on the same period of the previous reporting year</w:t>
      </w:r>
      <w:r w:rsidR="00B276F2" w:rsidRPr="00FC6062">
        <w:rPr>
          <w:rFonts w:cstheme="minorHAnsi"/>
          <w:spacing w:val="-3"/>
          <w:sz w:val="24"/>
          <w:szCs w:val="24"/>
          <w:lang w:val="en-GB"/>
        </w:rPr>
        <w:t>.</w:t>
      </w:r>
      <w:r w:rsidRPr="00FC6062">
        <w:rPr>
          <w:rFonts w:cstheme="minorHAnsi"/>
          <w:spacing w:val="-3"/>
          <w:sz w:val="24"/>
          <w:szCs w:val="24"/>
          <w:lang w:val="en-GB"/>
        </w:rPr>
        <w:t xml:space="preserve"> </w:t>
      </w: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p>
    <w:p w:rsidR="00C16DA8" w:rsidRPr="00FC6062" w:rsidRDefault="00CE2728" w:rsidP="00C23C95">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Interest income amounted to HRK </w:t>
      </w:r>
      <w:r w:rsidR="00775B46" w:rsidRPr="00FC6062">
        <w:rPr>
          <w:rFonts w:cstheme="minorHAnsi"/>
          <w:spacing w:val="-3"/>
          <w:sz w:val="24"/>
          <w:szCs w:val="24"/>
          <w:lang w:val="en-GB"/>
        </w:rPr>
        <w:t>482</w:t>
      </w:r>
      <w:r w:rsidRPr="00FC6062">
        <w:rPr>
          <w:rFonts w:cstheme="minorHAnsi"/>
          <w:spacing w:val="-3"/>
          <w:sz w:val="24"/>
          <w:szCs w:val="24"/>
          <w:lang w:val="en-GB"/>
        </w:rPr>
        <w:t>.</w:t>
      </w:r>
      <w:r w:rsidR="00775B46" w:rsidRPr="00FC6062">
        <w:rPr>
          <w:rFonts w:cstheme="minorHAnsi"/>
          <w:spacing w:val="-3"/>
          <w:sz w:val="24"/>
          <w:szCs w:val="24"/>
          <w:lang w:val="en-GB"/>
        </w:rPr>
        <w:t>4</w:t>
      </w:r>
      <w:r w:rsidR="00B276F2" w:rsidRPr="00FC6062">
        <w:rPr>
          <w:rFonts w:cstheme="minorHAnsi"/>
          <w:spacing w:val="-3"/>
          <w:sz w:val="24"/>
          <w:szCs w:val="24"/>
          <w:lang w:val="en-GB"/>
        </w:rPr>
        <w:t xml:space="preserve"> </w:t>
      </w:r>
      <w:r w:rsidRPr="00FC6062">
        <w:rPr>
          <w:rFonts w:cstheme="minorHAnsi"/>
          <w:spacing w:val="-3"/>
          <w:sz w:val="24"/>
          <w:szCs w:val="24"/>
          <w:lang w:val="en-GB"/>
        </w:rPr>
        <w:t xml:space="preserve">million, a decrease of </w:t>
      </w:r>
      <w:r w:rsidR="00775B46" w:rsidRPr="00FC6062">
        <w:rPr>
          <w:rFonts w:cstheme="minorHAnsi"/>
          <w:spacing w:val="-3"/>
          <w:sz w:val="24"/>
          <w:szCs w:val="24"/>
          <w:lang w:val="en-GB"/>
        </w:rPr>
        <w:t>14</w:t>
      </w:r>
      <w:r w:rsidRPr="00FC6062">
        <w:rPr>
          <w:rFonts w:cstheme="minorHAnsi"/>
          <w:spacing w:val="-3"/>
          <w:sz w:val="24"/>
          <w:szCs w:val="24"/>
          <w:lang w:val="en-GB"/>
        </w:rPr>
        <w:t>.</w:t>
      </w:r>
      <w:r w:rsidR="00775B46" w:rsidRPr="00FC6062">
        <w:rPr>
          <w:rFonts w:cstheme="minorHAnsi"/>
          <w:spacing w:val="-3"/>
          <w:sz w:val="24"/>
          <w:szCs w:val="24"/>
          <w:lang w:val="en-GB"/>
        </w:rPr>
        <w:t>2</w:t>
      </w:r>
      <w:r w:rsidR="00DB6E07" w:rsidRPr="00FC6062">
        <w:rPr>
          <w:rFonts w:cstheme="minorHAnsi"/>
          <w:spacing w:val="-3"/>
          <w:sz w:val="24"/>
          <w:szCs w:val="24"/>
          <w:lang w:val="en-GB"/>
        </w:rPr>
        <w:t xml:space="preserve"> </w:t>
      </w:r>
      <w:r w:rsidR="00014847" w:rsidRPr="00FC6062">
        <w:rPr>
          <w:rFonts w:cstheme="minorHAnsi"/>
          <w:spacing w:val="-3"/>
          <w:sz w:val="24"/>
          <w:szCs w:val="24"/>
          <w:lang w:val="en-GB"/>
        </w:rPr>
        <w:t>percent on the same reporting period last year due to decreased interest income from long-term loans as a result of the long-term implementation of measures of interest rate reduction, reduction of interest income from interest rate subsidies, significant amounts of premature loan repayments in 2018</w:t>
      </w:r>
      <w:r w:rsidRPr="00FC6062">
        <w:rPr>
          <w:rFonts w:cstheme="minorHAnsi"/>
          <w:spacing w:val="-3"/>
          <w:sz w:val="24"/>
          <w:szCs w:val="24"/>
          <w:lang w:val="en-GB"/>
        </w:rPr>
        <w:t xml:space="preserve"> and 2019</w:t>
      </w:r>
      <w:r w:rsidR="00014847" w:rsidRPr="00FC6062">
        <w:rPr>
          <w:rFonts w:cstheme="minorHAnsi"/>
          <w:spacing w:val="-3"/>
          <w:sz w:val="24"/>
          <w:szCs w:val="24"/>
          <w:lang w:val="en-GB"/>
        </w:rPr>
        <w:t xml:space="preserve"> and the manner of recording of interest income from exposures classified to stage 3 and POCI assets (unwinding</w:t>
      </w:r>
      <w:r w:rsidR="00E6735F" w:rsidRPr="00FC6062">
        <w:rPr>
          <w:rFonts w:cstheme="minorHAnsi"/>
          <w:spacing w:val="-3"/>
          <w:sz w:val="24"/>
          <w:szCs w:val="24"/>
          <w:lang w:val="en-GB"/>
        </w:rPr>
        <w:t>).</w:t>
      </w:r>
    </w:p>
    <w:p w:rsidR="00EF2AF8" w:rsidRPr="00FC6062" w:rsidRDefault="00014847" w:rsidP="000479D6">
      <w:pPr>
        <w:tabs>
          <w:tab w:val="left" w:pos="9213"/>
        </w:tabs>
        <w:spacing w:after="0" w:line="240" w:lineRule="auto"/>
        <w:jc w:val="both"/>
        <w:rPr>
          <w:lang w:val="en-GB"/>
        </w:rPr>
      </w:pPr>
      <w:r w:rsidRPr="00FC6062">
        <w:rPr>
          <w:sz w:val="24"/>
          <w:szCs w:val="24"/>
          <w:lang w:val="en-GB"/>
        </w:rPr>
        <w:t xml:space="preserve">On this basis, from 1 January to 30 </w:t>
      </w:r>
      <w:r w:rsidR="00CE2728" w:rsidRPr="00FC6062">
        <w:rPr>
          <w:sz w:val="24"/>
          <w:szCs w:val="24"/>
          <w:lang w:val="en-GB"/>
        </w:rPr>
        <w:t xml:space="preserve">September </w:t>
      </w:r>
      <w:r w:rsidRPr="00FC6062">
        <w:rPr>
          <w:sz w:val="24"/>
          <w:szCs w:val="24"/>
          <w:lang w:val="en-GB"/>
        </w:rPr>
        <w:t xml:space="preserve">2019, interest income was reduced by HRK </w:t>
      </w:r>
      <w:r w:rsidR="00775B46" w:rsidRPr="00FC6062">
        <w:rPr>
          <w:sz w:val="24"/>
          <w:szCs w:val="24"/>
          <w:lang w:val="en-GB"/>
        </w:rPr>
        <w:t>25</w:t>
      </w:r>
      <w:r w:rsidR="00CE2728" w:rsidRPr="00FC6062">
        <w:rPr>
          <w:sz w:val="24"/>
          <w:szCs w:val="24"/>
          <w:lang w:val="en-GB"/>
        </w:rPr>
        <w:t>.</w:t>
      </w:r>
      <w:r w:rsidR="00775B46" w:rsidRPr="00FC6062">
        <w:rPr>
          <w:sz w:val="24"/>
          <w:szCs w:val="24"/>
          <w:lang w:val="en-GB"/>
        </w:rPr>
        <w:t>5</w:t>
      </w:r>
      <w:r w:rsidR="00CE2728" w:rsidRPr="00FC6062">
        <w:rPr>
          <w:sz w:val="24"/>
          <w:szCs w:val="24"/>
          <w:lang w:val="en-GB"/>
        </w:rPr>
        <w:t xml:space="preserve"> million</w:t>
      </w:r>
      <w:r w:rsidR="00EC57E5" w:rsidRPr="00FC6062">
        <w:rPr>
          <w:sz w:val="24"/>
          <w:szCs w:val="24"/>
          <w:lang w:val="en-GB"/>
        </w:rPr>
        <w:t>.</w:t>
      </w:r>
    </w:p>
    <w:p w:rsidR="00EC57E5" w:rsidRPr="00FC6062" w:rsidRDefault="00EC57E5" w:rsidP="00972857">
      <w:pPr>
        <w:spacing w:after="0" w:line="240" w:lineRule="auto"/>
        <w:jc w:val="both"/>
        <w:rPr>
          <w:rFonts w:cstheme="minorHAnsi"/>
          <w:spacing w:val="-3"/>
          <w:sz w:val="24"/>
          <w:szCs w:val="24"/>
          <w:lang w:val="en-GB"/>
        </w:rPr>
      </w:pPr>
    </w:p>
    <w:p w:rsidR="00F937F0" w:rsidRPr="00FC6062" w:rsidRDefault="00CE2728" w:rsidP="004C0C3A">
      <w:pPr>
        <w:spacing w:after="0" w:line="240" w:lineRule="auto"/>
        <w:jc w:val="both"/>
        <w:rPr>
          <w:rFonts w:eastAsia="Times New Roman" w:cstheme="minorHAnsi"/>
          <w:sz w:val="24"/>
          <w:szCs w:val="24"/>
          <w:lang w:val="en-GB" w:eastAsia="hr-HR"/>
        </w:rPr>
      </w:pPr>
      <w:r w:rsidRPr="00FC6062">
        <w:rPr>
          <w:rFonts w:cstheme="minorHAnsi"/>
          <w:spacing w:val="-3"/>
          <w:sz w:val="24"/>
          <w:szCs w:val="24"/>
          <w:lang w:val="en-GB"/>
        </w:rPr>
        <w:t xml:space="preserve">Interest expenses amounted to HRK </w:t>
      </w:r>
      <w:r w:rsidR="00775B46" w:rsidRPr="00FC6062">
        <w:rPr>
          <w:rFonts w:cstheme="minorHAnsi"/>
          <w:spacing w:val="-3"/>
          <w:sz w:val="24"/>
          <w:szCs w:val="24"/>
          <w:lang w:val="en-GB"/>
        </w:rPr>
        <w:t>236</w:t>
      </w:r>
      <w:r w:rsidRPr="00FC6062">
        <w:rPr>
          <w:rFonts w:cstheme="minorHAnsi"/>
          <w:spacing w:val="-3"/>
          <w:sz w:val="24"/>
          <w:szCs w:val="24"/>
          <w:lang w:val="en-GB"/>
        </w:rPr>
        <w:t>.</w:t>
      </w:r>
      <w:r w:rsidR="00775B46" w:rsidRPr="00FC6062">
        <w:rPr>
          <w:rFonts w:cstheme="minorHAnsi"/>
          <w:spacing w:val="-3"/>
          <w:sz w:val="24"/>
          <w:szCs w:val="24"/>
          <w:lang w:val="en-GB"/>
        </w:rPr>
        <w:t>7</w:t>
      </w:r>
      <w:r w:rsidR="00BF17D9" w:rsidRPr="00FC6062">
        <w:rPr>
          <w:rFonts w:cstheme="minorHAnsi"/>
          <w:spacing w:val="-3"/>
          <w:sz w:val="24"/>
          <w:szCs w:val="24"/>
          <w:lang w:val="en-GB"/>
        </w:rPr>
        <w:t xml:space="preserve"> </w:t>
      </w:r>
      <w:r w:rsidRPr="00FC6062">
        <w:rPr>
          <w:rFonts w:cstheme="minorHAnsi"/>
          <w:spacing w:val="-3"/>
          <w:sz w:val="24"/>
          <w:szCs w:val="24"/>
          <w:lang w:val="en-GB"/>
        </w:rPr>
        <w:t>million, a d</w:t>
      </w:r>
      <w:r w:rsidR="00014847" w:rsidRPr="00FC6062">
        <w:rPr>
          <w:rFonts w:cstheme="minorHAnsi"/>
          <w:spacing w:val="-3"/>
          <w:sz w:val="24"/>
          <w:szCs w:val="24"/>
          <w:lang w:val="en-GB"/>
        </w:rPr>
        <w:t xml:space="preserve">ecrease of </w:t>
      </w:r>
      <w:r w:rsidRPr="00FC6062">
        <w:rPr>
          <w:rFonts w:cstheme="minorHAnsi"/>
          <w:spacing w:val="-3"/>
          <w:sz w:val="24"/>
          <w:szCs w:val="24"/>
          <w:lang w:val="en-GB"/>
        </w:rPr>
        <w:t>7</w:t>
      </w:r>
      <w:r w:rsidR="00014847" w:rsidRPr="00FC6062">
        <w:rPr>
          <w:rFonts w:cstheme="minorHAnsi"/>
          <w:spacing w:val="-3"/>
          <w:sz w:val="24"/>
          <w:szCs w:val="24"/>
          <w:lang w:val="en-GB"/>
        </w:rPr>
        <w:t>.2 percent on the same reporting period last year</w:t>
      </w:r>
      <w:r w:rsidR="00F42B35" w:rsidRPr="00FC6062">
        <w:rPr>
          <w:rFonts w:cstheme="minorHAnsi"/>
          <w:spacing w:val="-3"/>
          <w:sz w:val="24"/>
          <w:szCs w:val="24"/>
          <w:lang w:val="en-GB"/>
        </w:rPr>
        <w:t>.</w:t>
      </w:r>
    </w:p>
    <w:p w:rsidR="00DA2F32" w:rsidRPr="00FC6062" w:rsidRDefault="00DA2F32" w:rsidP="00BF17D9">
      <w:pPr>
        <w:tabs>
          <w:tab w:val="left" w:pos="-720"/>
        </w:tabs>
        <w:suppressAutoHyphens/>
        <w:spacing w:after="0" w:line="240" w:lineRule="auto"/>
        <w:jc w:val="both"/>
        <w:rPr>
          <w:rFonts w:cstheme="minorHAnsi"/>
          <w:spacing w:val="-3"/>
          <w:sz w:val="24"/>
          <w:szCs w:val="24"/>
          <w:lang w:val="en-GB"/>
        </w:rPr>
      </w:pPr>
    </w:p>
    <w:p w:rsidR="00CD2131" w:rsidRPr="00FC6062" w:rsidRDefault="00014847" w:rsidP="00BF17D9">
      <w:pPr>
        <w:tabs>
          <w:tab w:val="left" w:pos="-720"/>
        </w:tabs>
        <w:suppressAutoHyphens/>
        <w:spacing w:after="0" w:line="240" w:lineRule="auto"/>
        <w:jc w:val="both"/>
        <w:rPr>
          <w:rFonts w:eastAsia="Times New Roman" w:cs="Calibri"/>
          <w:b/>
          <w:i/>
          <w:spacing w:val="-3"/>
          <w:sz w:val="24"/>
          <w:szCs w:val="24"/>
          <w:lang w:val="en-GB" w:eastAsia="hr-HR"/>
        </w:rPr>
      </w:pPr>
      <w:r w:rsidRPr="00FC6062">
        <w:rPr>
          <w:rFonts w:cs="Calibri"/>
          <w:spacing w:val="-3"/>
          <w:sz w:val="24"/>
          <w:szCs w:val="24"/>
          <w:lang w:val="en-GB"/>
        </w:rPr>
        <w:t>Having in mind the described trends in interest income and interest expenses, net interest margin decreased compared with the same reporting period last year and stood at 1.2 percent as against 1.5 percent in the same reporting period last year</w:t>
      </w:r>
      <w:r w:rsidR="00BF17D9" w:rsidRPr="00FC6062">
        <w:rPr>
          <w:rFonts w:cstheme="minorHAnsi"/>
          <w:spacing w:val="-3"/>
          <w:lang w:val="en-GB"/>
        </w:rPr>
        <w:t>.</w:t>
      </w:r>
    </w:p>
    <w:p w:rsidR="00CD2131" w:rsidRPr="00FC6062"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FC6062"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r w:rsidRPr="00FC6062">
        <w:rPr>
          <w:rFonts w:eastAsia="Times New Roman" w:cs="Calibri"/>
          <w:b/>
          <w:i/>
          <w:spacing w:val="-3"/>
          <w:sz w:val="24"/>
          <w:szCs w:val="24"/>
          <w:lang w:val="en-GB" w:eastAsia="hr-HR"/>
        </w:rPr>
        <w:t>Net</w:t>
      </w:r>
      <w:r w:rsidR="00CE2728" w:rsidRPr="00FC6062">
        <w:rPr>
          <w:rFonts w:eastAsia="Times New Roman" w:cs="Calibri"/>
          <w:b/>
          <w:i/>
          <w:spacing w:val="-3"/>
          <w:sz w:val="24"/>
          <w:szCs w:val="24"/>
          <w:lang w:val="en-GB" w:eastAsia="hr-HR"/>
        </w:rPr>
        <w:t xml:space="preserve"> fee and commission income </w:t>
      </w:r>
    </w:p>
    <w:p w:rsidR="00BF17D9" w:rsidRPr="00FC6062"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8C6E0E" w:rsidRPr="00FC6062" w:rsidRDefault="00BF17D9" w:rsidP="007B069A">
      <w:pPr>
        <w:tabs>
          <w:tab w:val="left" w:pos="-720"/>
        </w:tabs>
        <w:suppressAutoHyphens/>
        <w:spacing w:after="0" w:line="240" w:lineRule="auto"/>
        <w:jc w:val="both"/>
        <w:rPr>
          <w:rFonts w:eastAsia="Times New Roman" w:cs="Calibri"/>
          <w:spacing w:val="-3"/>
          <w:sz w:val="24"/>
          <w:szCs w:val="24"/>
          <w:lang w:val="en-GB" w:eastAsia="hr-HR"/>
        </w:rPr>
      </w:pPr>
      <w:r w:rsidRPr="00FC6062">
        <w:rPr>
          <w:rFonts w:cstheme="minorHAnsi"/>
          <w:spacing w:val="-3"/>
          <w:sz w:val="24"/>
          <w:szCs w:val="24"/>
          <w:lang w:val="en-GB"/>
        </w:rPr>
        <w:t>Net</w:t>
      </w:r>
      <w:r w:rsidR="00CE2728" w:rsidRPr="00FC6062">
        <w:rPr>
          <w:rFonts w:cstheme="minorHAnsi"/>
          <w:spacing w:val="-3"/>
          <w:sz w:val="24"/>
          <w:szCs w:val="24"/>
          <w:lang w:val="en-GB"/>
        </w:rPr>
        <w:t xml:space="preserve"> fee and commission income amounted to HRK </w:t>
      </w:r>
      <w:r w:rsidR="004319F1" w:rsidRPr="00FC6062">
        <w:rPr>
          <w:rFonts w:cstheme="minorHAnsi"/>
          <w:spacing w:val="-3"/>
          <w:sz w:val="24"/>
          <w:szCs w:val="24"/>
          <w:lang w:val="en-GB"/>
        </w:rPr>
        <w:t>14</w:t>
      </w:r>
      <w:r w:rsidR="00CE2728" w:rsidRPr="00FC6062">
        <w:rPr>
          <w:rFonts w:cstheme="minorHAnsi"/>
          <w:spacing w:val="-3"/>
          <w:sz w:val="24"/>
          <w:szCs w:val="24"/>
          <w:lang w:val="en-GB"/>
        </w:rPr>
        <w:t>.</w:t>
      </w:r>
      <w:r w:rsidR="004319F1" w:rsidRPr="00FC6062">
        <w:rPr>
          <w:rFonts w:cstheme="minorHAnsi"/>
          <w:spacing w:val="-3"/>
          <w:sz w:val="24"/>
          <w:szCs w:val="24"/>
          <w:lang w:val="en-GB"/>
        </w:rPr>
        <w:t>9</w:t>
      </w:r>
      <w:r w:rsidRPr="00FC6062">
        <w:rPr>
          <w:rFonts w:cstheme="minorHAnsi"/>
          <w:spacing w:val="-3"/>
          <w:sz w:val="24"/>
          <w:szCs w:val="24"/>
          <w:lang w:val="en-GB"/>
        </w:rPr>
        <w:t xml:space="preserve"> </w:t>
      </w:r>
      <w:r w:rsidR="00CE2728" w:rsidRPr="00FC6062">
        <w:rPr>
          <w:rFonts w:cstheme="minorHAnsi"/>
          <w:spacing w:val="-3"/>
          <w:sz w:val="24"/>
          <w:szCs w:val="24"/>
          <w:lang w:val="en-GB"/>
        </w:rPr>
        <w:t>million, a decrease of 52.</w:t>
      </w:r>
      <w:r w:rsidR="003E1C9D">
        <w:rPr>
          <w:rFonts w:cstheme="minorHAnsi"/>
          <w:spacing w:val="-3"/>
          <w:sz w:val="24"/>
          <w:szCs w:val="24"/>
          <w:lang w:val="en-GB"/>
        </w:rPr>
        <w:t>5</w:t>
      </w:r>
      <w:r w:rsidR="00CE2728" w:rsidRPr="00FC6062">
        <w:rPr>
          <w:rFonts w:cstheme="minorHAnsi"/>
          <w:spacing w:val="-3"/>
          <w:sz w:val="24"/>
          <w:szCs w:val="24"/>
          <w:lang w:val="en-GB"/>
        </w:rPr>
        <w:t xml:space="preserve"> percent compared with the same reporting period last year due to calls for payments under guarantees issued, thus decreasing the exposure under guarantees issued</w:t>
      </w:r>
      <w:r w:rsidR="00443A7D" w:rsidRPr="00FC6062">
        <w:rPr>
          <w:rFonts w:eastAsia="Times New Roman" w:cstheme="minorHAnsi"/>
          <w:spacing w:val="-3"/>
          <w:sz w:val="24"/>
          <w:szCs w:val="24"/>
          <w:lang w:val="en-GB" w:eastAsia="hr-HR"/>
        </w:rPr>
        <w:t>.</w:t>
      </w:r>
    </w:p>
    <w:p w:rsidR="00BF17D9" w:rsidRPr="00FC6062"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rsidR="00BF17D9" w:rsidRPr="00FC6062" w:rsidRDefault="00BF17D9" w:rsidP="00BF17D9">
      <w:pPr>
        <w:spacing w:after="0" w:line="240" w:lineRule="auto"/>
        <w:jc w:val="both"/>
        <w:rPr>
          <w:rFonts w:eastAsia="Times New Roman" w:cs="Calibri"/>
          <w:b/>
          <w:i/>
          <w:sz w:val="24"/>
          <w:szCs w:val="24"/>
          <w:lang w:val="en-GB" w:eastAsia="hr-HR"/>
        </w:rPr>
      </w:pPr>
      <w:r w:rsidRPr="00FC6062">
        <w:rPr>
          <w:rFonts w:eastAsia="Times New Roman" w:cs="Calibri"/>
          <w:b/>
          <w:i/>
          <w:sz w:val="24"/>
          <w:szCs w:val="24"/>
          <w:lang w:val="en-GB" w:eastAsia="hr-HR"/>
        </w:rPr>
        <w:t>N</w:t>
      </w:r>
      <w:r w:rsidR="00CE2728" w:rsidRPr="00FC6062">
        <w:rPr>
          <w:rFonts w:eastAsia="Times New Roman" w:cs="Calibri"/>
          <w:b/>
          <w:i/>
          <w:sz w:val="24"/>
          <w:szCs w:val="24"/>
          <w:lang w:val="en-GB" w:eastAsia="hr-HR"/>
        </w:rPr>
        <w:t>et gains/(losses) from financial activities</w:t>
      </w:r>
    </w:p>
    <w:p w:rsidR="00BF17D9" w:rsidRPr="00FC6062" w:rsidRDefault="00BF17D9" w:rsidP="00BF17D9">
      <w:pPr>
        <w:spacing w:after="0" w:line="240" w:lineRule="auto"/>
        <w:jc w:val="both"/>
        <w:rPr>
          <w:rFonts w:eastAsia="Times New Roman" w:cs="Calibri"/>
          <w:b/>
          <w:i/>
          <w:sz w:val="24"/>
          <w:szCs w:val="24"/>
          <w:lang w:val="en-GB" w:eastAsia="hr-HR"/>
        </w:rPr>
      </w:pPr>
    </w:p>
    <w:p w:rsidR="008C6E0E" w:rsidRPr="00FC6062" w:rsidRDefault="00BF17D9" w:rsidP="007B069A">
      <w:pPr>
        <w:tabs>
          <w:tab w:val="left" w:pos="-720"/>
        </w:tabs>
        <w:spacing w:after="0" w:line="240" w:lineRule="auto"/>
        <w:jc w:val="both"/>
        <w:rPr>
          <w:rFonts w:eastAsia="Times New Roman" w:cs="Calibri"/>
          <w:spacing w:val="-3"/>
          <w:sz w:val="24"/>
          <w:szCs w:val="24"/>
          <w:lang w:val="en-GB" w:eastAsia="hr-HR"/>
        </w:rPr>
      </w:pPr>
      <w:r w:rsidRPr="00FC6062">
        <w:rPr>
          <w:rFonts w:cstheme="minorHAnsi"/>
          <w:spacing w:val="-3"/>
          <w:sz w:val="24"/>
          <w:szCs w:val="24"/>
          <w:lang w:val="en-GB"/>
        </w:rPr>
        <w:t>Ne</w:t>
      </w:r>
      <w:r w:rsidR="00CE2728" w:rsidRPr="00FC6062">
        <w:rPr>
          <w:rFonts w:cstheme="minorHAnsi"/>
          <w:spacing w:val="-3"/>
          <w:sz w:val="24"/>
          <w:szCs w:val="24"/>
          <w:lang w:val="en-GB"/>
        </w:rPr>
        <w:t>t gains/(losses) from financial activities are comprised of net foreign exchange gains/(losses) on the principal amount of receivables and liabilities, net revenues or expenditures arising out of the loan contracts with embedded call option, gains/(losses) arising out of value adjustment of financial assets stated at fair value through profit or loss and realised gains/(losses) arising out of financial assets at fair value through other comprehensive income</w:t>
      </w:r>
      <w:r w:rsidR="008C6E0E" w:rsidRPr="00FC6062">
        <w:rPr>
          <w:rFonts w:eastAsia="Times New Roman" w:cs="Calibri"/>
          <w:spacing w:val="-3"/>
          <w:sz w:val="24"/>
          <w:szCs w:val="24"/>
          <w:lang w:val="en-GB" w:eastAsia="hr-HR"/>
        </w:rPr>
        <w:t>.</w:t>
      </w:r>
    </w:p>
    <w:p w:rsidR="008C6E0E" w:rsidRPr="00FC6062" w:rsidRDefault="008C6E0E" w:rsidP="007B069A">
      <w:pPr>
        <w:tabs>
          <w:tab w:val="left" w:pos="-720"/>
        </w:tabs>
        <w:spacing w:after="0" w:line="240" w:lineRule="auto"/>
        <w:jc w:val="both"/>
        <w:rPr>
          <w:rFonts w:eastAsia="Times New Roman" w:cs="Calibri"/>
          <w:spacing w:val="-3"/>
          <w:sz w:val="24"/>
          <w:szCs w:val="24"/>
          <w:lang w:val="en-GB" w:eastAsia="hr-HR"/>
        </w:rPr>
      </w:pPr>
      <w:r w:rsidRPr="00FC6062">
        <w:rPr>
          <w:rFonts w:eastAsia="Times New Roman" w:cs="Calibri"/>
          <w:spacing w:val="-3"/>
          <w:sz w:val="24"/>
          <w:szCs w:val="24"/>
          <w:lang w:val="en-GB" w:eastAsia="hr-HR"/>
        </w:rPr>
        <w:t xml:space="preserve"> </w:t>
      </w:r>
    </w:p>
    <w:p w:rsidR="00BF17D9" w:rsidRPr="00FC6062" w:rsidRDefault="00CE2728"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In the reporting period, net gains from financial activities amounted to HRK </w:t>
      </w:r>
      <w:r w:rsidR="004319F1" w:rsidRPr="00FC6062">
        <w:rPr>
          <w:rFonts w:cstheme="minorHAnsi"/>
          <w:spacing w:val="-3"/>
          <w:sz w:val="24"/>
          <w:szCs w:val="24"/>
          <w:lang w:val="en-GB"/>
        </w:rPr>
        <w:t>10</w:t>
      </w:r>
      <w:r w:rsidR="00F13358" w:rsidRPr="00FC6062">
        <w:rPr>
          <w:rFonts w:cstheme="minorHAnsi"/>
          <w:spacing w:val="-3"/>
          <w:sz w:val="24"/>
          <w:szCs w:val="24"/>
          <w:lang w:val="en-GB"/>
        </w:rPr>
        <w:t>.</w:t>
      </w:r>
      <w:r w:rsidR="004319F1" w:rsidRPr="00FC6062">
        <w:rPr>
          <w:rFonts w:cstheme="minorHAnsi"/>
          <w:spacing w:val="-3"/>
          <w:sz w:val="24"/>
          <w:szCs w:val="24"/>
          <w:lang w:val="en-GB"/>
        </w:rPr>
        <w:t>3</w:t>
      </w:r>
      <w:r w:rsidR="0042227E" w:rsidRPr="00FC6062">
        <w:rPr>
          <w:rFonts w:cstheme="minorHAnsi"/>
          <w:spacing w:val="-3"/>
          <w:sz w:val="24"/>
          <w:szCs w:val="24"/>
          <w:lang w:val="en-GB"/>
        </w:rPr>
        <w:t xml:space="preserve"> </w:t>
      </w:r>
      <w:r w:rsidRPr="00FC6062">
        <w:rPr>
          <w:rFonts w:cstheme="minorHAnsi"/>
          <w:spacing w:val="-3"/>
          <w:sz w:val="24"/>
          <w:szCs w:val="24"/>
          <w:lang w:val="en-GB"/>
        </w:rPr>
        <w:t>million,</w:t>
      </w:r>
      <w:r w:rsidR="00E00A45" w:rsidRPr="00FC6062">
        <w:rPr>
          <w:rFonts w:cstheme="minorHAnsi"/>
          <w:spacing w:val="-3"/>
          <w:sz w:val="24"/>
          <w:szCs w:val="24"/>
          <w:lang w:val="en-GB"/>
        </w:rPr>
        <w:t xml:space="preserve"> whereas net gains stood at HRK 7.2 million in the same period previous year</w:t>
      </w:r>
      <w:r w:rsidR="00B15497" w:rsidRPr="00FC6062">
        <w:rPr>
          <w:rFonts w:cstheme="minorHAnsi"/>
          <w:spacing w:val="-3"/>
          <w:sz w:val="24"/>
          <w:szCs w:val="24"/>
          <w:lang w:val="en-GB"/>
        </w:rPr>
        <w:t>.</w:t>
      </w:r>
      <w:r w:rsidR="00BF17D9" w:rsidRPr="00FC6062">
        <w:rPr>
          <w:rFonts w:cstheme="minorHAnsi"/>
          <w:spacing w:val="-3"/>
          <w:sz w:val="24"/>
          <w:szCs w:val="24"/>
          <w:lang w:val="en-GB"/>
        </w:rPr>
        <w:t xml:space="preserve"> </w:t>
      </w:r>
    </w:p>
    <w:p w:rsidR="00CD2131" w:rsidRPr="00FC6062" w:rsidRDefault="00CD2131" w:rsidP="00BF17D9">
      <w:pPr>
        <w:tabs>
          <w:tab w:val="left" w:pos="-720"/>
        </w:tabs>
        <w:suppressAutoHyphens/>
        <w:spacing w:after="0" w:line="240" w:lineRule="auto"/>
        <w:jc w:val="both"/>
        <w:rPr>
          <w:rFonts w:cstheme="minorHAnsi"/>
          <w:spacing w:val="-3"/>
          <w:sz w:val="24"/>
          <w:szCs w:val="24"/>
          <w:lang w:val="en-GB"/>
        </w:rPr>
        <w:sectPr w:rsidR="00CD2131" w:rsidRPr="00FC6062">
          <w:footerReference w:type="default" r:id="rId29"/>
          <w:pgSz w:w="11906" w:h="16838"/>
          <w:pgMar w:top="1417" w:right="1417" w:bottom="1417" w:left="1417" w:header="708" w:footer="708" w:gutter="0"/>
          <w:cols w:space="708"/>
          <w:docGrid w:linePitch="360"/>
        </w:sectPr>
      </w:pP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p>
    <w:p w:rsidR="00BF17D9" w:rsidRPr="00FC6062" w:rsidRDefault="0053275B"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A breakdown of changes in the exchange rate of HRK against the EUR and the USD</w:t>
      </w:r>
      <w:r w:rsidR="00BF17D9" w:rsidRPr="00FC6062">
        <w:rPr>
          <w:rFonts w:cstheme="minorHAnsi"/>
          <w:spacing w:val="-3"/>
          <w:sz w:val="24"/>
          <w:szCs w:val="24"/>
          <w:lang w:val="en-GB"/>
        </w:rPr>
        <w:t>:</w:t>
      </w: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p>
    <w:p w:rsidR="00427C09" w:rsidRDefault="00EC28B8" w:rsidP="00BF17D9">
      <w:pPr>
        <w:tabs>
          <w:tab w:val="left" w:pos="-720"/>
          <w:tab w:val="left" w:pos="4820"/>
        </w:tabs>
        <w:suppressAutoHyphens/>
        <w:spacing w:after="0" w:line="240" w:lineRule="auto"/>
        <w:ind w:left="-426" w:right="-567"/>
        <w:jc w:val="both"/>
        <w:rPr>
          <w:rFonts w:cstheme="minorHAnsi"/>
          <w:noProof/>
          <w:spacing w:val="-3"/>
          <w:sz w:val="24"/>
          <w:szCs w:val="24"/>
          <w:lang w:val="en-GB"/>
        </w:rPr>
      </w:pPr>
      <w:r w:rsidRPr="00FC6062">
        <w:rPr>
          <w:rFonts w:cstheme="minorHAnsi"/>
          <w:spacing w:val="-3"/>
          <w:sz w:val="24"/>
          <w:szCs w:val="24"/>
          <w:lang w:val="en-GB" w:eastAsia="hr-HR"/>
        </w:rPr>
        <w:t xml:space="preserve">   </w:t>
      </w:r>
      <w:r w:rsidR="002B1A0D" w:rsidRPr="00FC6062">
        <w:rPr>
          <w:rFonts w:cstheme="minorHAnsi"/>
          <w:spacing w:val="-3"/>
          <w:sz w:val="24"/>
          <w:szCs w:val="24"/>
          <w:lang w:val="en-GB" w:eastAsia="hr-HR"/>
        </w:rPr>
        <w:t xml:space="preserve"> </w:t>
      </w:r>
      <w:r w:rsidR="00427C09">
        <w:rPr>
          <w:rFonts w:cstheme="minorHAnsi"/>
          <w:noProof/>
          <w:spacing w:val="-3"/>
          <w:sz w:val="24"/>
          <w:szCs w:val="24"/>
          <w:lang w:val="en-GB" w:eastAsia="hr-HR"/>
        </w:rPr>
        <w:drawing>
          <wp:inline distT="0" distB="0" distL="0" distR="0" wp14:anchorId="1AD96F03">
            <wp:extent cx="2996390" cy="1904400"/>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6390" cy="1904400"/>
                    </a:xfrm>
                    <a:prstGeom prst="rect">
                      <a:avLst/>
                    </a:prstGeom>
                    <a:noFill/>
                  </pic:spPr>
                </pic:pic>
              </a:graphicData>
            </a:graphic>
          </wp:inline>
        </w:drawing>
      </w:r>
      <w:r w:rsidR="00BF17D9" w:rsidRPr="00FC6062">
        <w:rPr>
          <w:rFonts w:cstheme="minorHAnsi"/>
          <w:spacing w:val="-3"/>
          <w:sz w:val="24"/>
          <w:szCs w:val="24"/>
          <w:lang w:val="en-GB"/>
        </w:rPr>
        <w:t xml:space="preserve">   </w:t>
      </w:r>
      <w:r w:rsidR="00427C09">
        <w:rPr>
          <w:rFonts w:cstheme="minorHAnsi"/>
          <w:noProof/>
          <w:spacing w:val="-3"/>
          <w:sz w:val="24"/>
          <w:szCs w:val="24"/>
          <w:lang w:val="en-GB"/>
        </w:rPr>
        <w:drawing>
          <wp:inline distT="0" distB="0" distL="0" distR="0" wp14:anchorId="2858939B">
            <wp:extent cx="2996390" cy="1904400"/>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6390" cy="1904400"/>
                    </a:xfrm>
                    <a:prstGeom prst="rect">
                      <a:avLst/>
                    </a:prstGeom>
                    <a:noFill/>
                  </pic:spPr>
                </pic:pic>
              </a:graphicData>
            </a:graphic>
          </wp:inline>
        </w:drawing>
      </w:r>
    </w:p>
    <w:p w:rsidR="00BF17D9" w:rsidRPr="00FC6062" w:rsidRDefault="00BF17D9" w:rsidP="00BF17D9">
      <w:pPr>
        <w:tabs>
          <w:tab w:val="left" w:pos="-720"/>
          <w:tab w:val="left" w:pos="4820"/>
        </w:tabs>
        <w:suppressAutoHyphens/>
        <w:spacing w:after="0" w:line="240" w:lineRule="auto"/>
        <w:ind w:left="-426" w:right="-567"/>
        <w:jc w:val="both"/>
        <w:rPr>
          <w:rFonts w:cstheme="minorHAnsi"/>
          <w:spacing w:val="-3"/>
          <w:sz w:val="24"/>
          <w:szCs w:val="24"/>
          <w:lang w:val="en-GB"/>
        </w:rPr>
      </w:pPr>
    </w:p>
    <w:p w:rsidR="00BF17D9" w:rsidRPr="00FC6062"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rsidR="00BF17D9" w:rsidRPr="00FC6062"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FC6062">
        <w:rPr>
          <w:rFonts w:cstheme="minorHAnsi"/>
          <w:spacing w:val="-3"/>
          <w:sz w:val="24"/>
          <w:szCs w:val="24"/>
          <w:lang w:val="en-GB"/>
        </w:rPr>
        <w:t xml:space="preserve">    </w:t>
      </w:r>
      <w:r w:rsidR="00A72F02" w:rsidRPr="00FC6062">
        <w:rPr>
          <w:rFonts w:cstheme="minorHAnsi"/>
          <w:spacing w:val="-3"/>
          <w:sz w:val="24"/>
          <w:szCs w:val="24"/>
          <w:lang w:val="en-GB"/>
        </w:rPr>
        <w:t xml:space="preserve">     </w:t>
      </w:r>
      <w:r w:rsidRPr="00FC6062">
        <w:rPr>
          <w:rFonts w:cstheme="minorHAnsi"/>
          <w:color w:val="7F7F7F" w:themeColor="text1" w:themeTint="80"/>
          <w:spacing w:val="-3"/>
          <w:sz w:val="20"/>
          <w:szCs w:val="24"/>
          <w:lang w:val="en-GB"/>
        </w:rPr>
        <w:t>No</w:t>
      </w:r>
      <w:r w:rsidR="0053275B" w:rsidRPr="00FC6062">
        <w:rPr>
          <w:rFonts w:cstheme="minorHAnsi"/>
          <w:color w:val="7F7F7F" w:themeColor="text1" w:themeTint="80"/>
          <w:spacing w:val="-3"/>
          <w:sz w:val="20"/>
          <w:szCs w:val="24"/>
          <w:lang w:val="en-GB"/>
        </w:rPr>
        <w:t>t</w:t>
      </w:r>
      <w:r w:rsidRPr="00FC6062">
        <w:rPr>
          <w:rFonts w:cstheme="minorHAnsi"/>
          <w:color w:val="7F7F7F" w:themeColor="text1" w:themeTint="80"/>
          <w:spacing w:val="-3"/>
          <w:sz w:val="20"/>
          <w:szCs w:val="24"/>
          <w:lang w:val="en-GB"/>
        </w:rPr>
        <w:t>e:</w:t>
      </w:r>
    </w:p>
    <w:p w:rsidR="00BF17D9" w:rsidRPr="00FC6062"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FC6062">
        <w:rPr>
          <w:rFonts w:cstheme="minorHAnsi"/>
          <w:color w:val="7F7F7F" w:themeColor="text1" w:themeTint="80"/>
          <w:spacing w:val="-3"/>
          <w:sz w:val="20"/>
          <w:szCs w:val="24"/>
          <w:lang w:val="en-GB"/>
        </w:rPr>
        <w:t xml:space="preserve"> </w:t>
      </w:r>
      <w:r w:rsidR="00A72F02" w:rsidRPr="00FC6062">
        <w:rPr>
          <w:rFonts w:cstheme="minorHAnsi"/>
          <w:color w:val="7F7F7F" w:themeColor="text1" w:themeTint="80"/>
          <w:spacing w:val="-3"/>
          <w:sz w:val="20"/>
          <w:szCs w:val="24"/>
          <w:lang w:val="en-GB"/>
        </w:rPr>
        <w:t xml:space="preserve">         </w:t>
      </w:r>
      <w:r w:rsidRPr="00FC6062">
        <w:rPr>
          <w:rFonts w:cstheme="minorHAnsi"/>
          <w:color w:val="7F7F7F" w:themeColor="text1" w:themeTint="80"/>
          <w:spacing w:val="-3"/>
          <w:sz w:val="20"/>
          <w:szCs w:val="24"/>
          <w:lang w:val="en-GB"/>
        </w:rPr>
        <w:t xml:space="preserve"> </w:t>
      </w:r>
      <w:r w:rsidR="004D3C83" w:rsidRPr="00FC6062">
        <w:rPr>
          <w:rFonts w:cstheme="minorHAnsi"/>
          <w:color w:val="7F7F7F" w:themeColor="text1" w:themeTint="80"/>
          <w:spacing w:val="-3"/>
          <w:sz w:val="20"/>
          <w:szCs w:val="24"/>
          <w:lang w:val="en-GB"/>
        </w:rPr>
        <w:t>A</w:t>
      </w:r>
      <w:r w:rsidR="004D3C83" w:rsidRPr="00FC6062">
        <w:rPr>
          <w:rFonts w:cstheme="minorHAnsi"/>
          <w:color w:val="7F7F7F" w:themeColor="text1" w:themeTint="80"/>
          <w:spacing w:val="-3"/>
          <w:sz w:val="20"/>
          <w:szCs w:val="24"/>
          <w:vertAlign w:val="subscript"/>
          <w:lang w:val="en-GB"/>
        </w:rPr>
        <w:t>1</w:t>
      </w:r>
      <w:r w:rsidR="004D3C83" w:rsidRPr="00FC6062">
        <w:rPr>
          <w:rFonts w:cstheme="minorHAnsi"/>
          <w:color w:val="7F7F7F" w:themeColor="text1" w:themeTint="80"/>
          <w:spacing w:val="-3"/>
          <w:sz w:val="20"/>
          <w:szCs w:val="24"/>
          <w:lang w:val="en-GB"/>
        </w:rPr>
        <w:t xml:space="preserve"> </w:t>
      </w:r>
      <w:r w:rsidRPr="00FC6062">
        <w:rPr>
          <w:rFonts w:cstheme="minorHAnsi"/>
          <w:color w:val="7F7F7F" w:themeColor="text1" w:themeTint="80"/>
          <w:spacing w:val="-3"/>
          <w:sz w:val="20"/>
          <w:szCs w:val="24"/>
          <w:lang w:val="en-GB"/>
        </w:rPr>
        <w:t xml:space="preserve">= </w:t>
      </w:r>
      <w:r w:rsidR="0053275B" w:rsidRPr="00FC6062">
        <w:rPr>
          <w:rFonts w:cstheme="minorHAnsi"/>
          <w:color w:val="7F7F7F" w:themeColor="text1" w:themeTint="80"/>
          <w:spacing w:val="-3"/>
          <w:sz w:val="20"/>
          <w:szCs w:val="24"/>
          <w:lang w:val="en-GB"/>
        </w:rPr>
        <w:t xml:space="preserve">HRK appreciation </w:t>
      </w:r>
      <w:r w:rsidR="004D3C83" w:rsidRPr="00FC6062">
        <w:rPr>
          <w:rFonts w:cstheme="minorHAnsi"/>
          <w:color w:val="7F7F7F" w:themeColor="text1" w:themeTint="80"/>
          <w:spacing w:val="-3"/>
          <w:sz w:val="20"/>
          <w:szCs w:val="24"/>
          <w:lang w:val="en-GB"/>
        </w:rPr>
        <w:t>30</w:t>
      </w:r>
      <w:r w:rsidR="00E540AB" w:rsidRPr="00FC6062">
        <w:rPr>
          <w:rFonts w:cstheme="minorHAnsi"/>
          <w:color w:val="7F7F7F" w:themeColor="text1" w:themeTint="80"/>
          <w:spacing w:val="-3"/>
          <w:sz w:val="20"/>
          <w:szCs w:val="24"/>
          <w:lang w:val="en-GB"/>
        </w:rPr>
        <w:t>.</w:t>
      </w:r>
      <w:r w:rsidR="00335BF6" w:rsidRPr="00FC6062">
        <w:rPr>
          <w:rFonts w:cstheme="minorHAnsi"/>
          <w:color w:val="7F7F7F" w:themeColor="text1" w:themeTint="80"/>
          <w:spacing w:val="-3"/>
          <w:sz w:val="20"/>
          <w:szCs w:val="24"/>
          <w:lang w:val="en-GB"/>
        </w:rPr>
        <w:t>9</w:t>
      </w:r>
      <w:r w:rsidR="00E540AB" w:rsidRPr="00FC6062">
        <w:rPr>
          <w:rFonts w:cstheme="minorHAnsi"/>
          <w:color w:val="7F7F7F" w:themeColor="text1" w:themeTint="80"/>
          <w:spacing w:val="-3"/>
          <w:sz w:val="20"/>
          <w:szCs w:val="24"/>
          <w:lang w:val="en-GB"/>
        </w:rPr>
        <w:t>.</w:t>
      </w:r>
      <w:r w:rsidR="00B81C8B" w:rsidRPr="00FC6062">
        <w:rPr>
          <w:rFonts w:cstheme="minorHAnsi"/>
          <w:color w:val="7F7F7F" w:themeColor="text1" w:themeTint="80"/>
          <w:spacing w:val="-3"/>
          <w:sz w:val="20"/>
          <w:szCs w:val="24"/>
          <w:lang w:val="en-GB"/>
        </w:rPr>
        <w:t>2019</w:t>
      </w:r>
      <w:r w:rsidR="00E540AB" w:rsidRPr="00FC6062">
        <w:rPr>
          <w:rFonts w:cstheme="minorHAnsi"/>
          <w:color w:val="7F7F7F" w:themeColor="text1" w:themeTint="80"/>
          <w:spacing w:val="-3"/>
          <w:sz w:val="20"/>
          <w:szCs w:val="24"/>
          <w:lang w:val="en-GB"/>
        </w:rPr>
        <w:t>/31.12.</w:t>
      </w:r>
      <w:r w:rsidR="00B81C8B" w:rsidRPr="00FC6062">
        <w:rPr>
          <w:rFonts w:cstheme="minorHAnsi"/>
          <w:color w:val="7F7F7F" w:themeColor="text1" w:themeTint="80"/>
          <w:spacing w:val="-3"/>
          <w:sz w:val="20"/>
          <w:szCs w:val="24"/>
          <w:lang w:val="en-GB"/>
        </w:rPr>
        <w:t>2018</w:t>
      </w:r>
      <w:r w:rsidRPr="00FC6062">
        <w:rPr>
          <w:rFonts w:cstheme="minorHAnsi"/>
          <w:color w:val="7F7F7F" w:themeColor="text1" w:themeTint="80"/>
          <w:spacing w:val="-3"/>
          <w:sz w:val="20"/>
          <w:szCs w:val="24"/>
          <w:lang w:val="en-GB"/>
        </w:rPr>
        <w:tab/>
        <w:t xml:space="preserve">  </w:t>
      </w:r>
      <w:r w:rsidR="00A72F02" w:rsidRPr="00FC6062">
        <w:rPr>
          <w:rFonts w:cstheme="minorHAnsi"/>
          <w:color w:val="7F7F7F" w:themeColor="text1" w:themeTint="80"/>
          <w:spacing w:val="-3"/>
          <w:sz w:val="20"/>
          <w:szCs w:val="24"/>
          <w:lang w:val="en-GB"/>
        </w:rPr>
        <w:t xml:space="preserve">       </w:t>
      </w:r>
      <w:r w:rsidRPr="00FC6062">
        <w:rPr>
          <w:rFonts w:cstheme="minorHAnsi"/>
          <w:color w:val="7F7F7F" w:themeColor="text1" w:themeTint="80"/>
          <w:spacing w:val="-3"/>
          <w:sz w:val="20"/>
          <w:szCs w:val="24"/>
          <w:lang w:val="en-GB"/>
        </w:rPr>
        <w:t xml:space="preserve"> </w:t>
      </w:r>
      <w:r w:rsidR="00E540AB" w:rsidRPr="00FC6062">
        <w:rPr>
          <w:rFonts w:cstheme="minorHAnsi"/>
          <w:color w:val="7F7F7F" w:themeColor="text1" w:themeTint="80"/>
          <w:spacing w:val="-3"/>
          <w:sz w:val="20"/>
          <w:szCs w:val="24"/>
          <w:lang w:val="en-GB"/>
        </w:rPr>
        <w:t>D</w:t>
      </w:r>
      <w:r w:rsidRPr="00FC6062">
        <w:rPr>
          <w:rFonts w:cstheme="minorHAnsi"/>
          <w:color w:val="7F7F7F" w:themeColor="text1" w:themeTint="80"/>
          <w:spacing w:val="-3"/>
          <w:sz w:val="20"/>
          <w:szCs w:val="24"/>
          <w:vertAlign w:val="subscript"/>
          <w:lang w:val="en-GB"/>
        </w:rPr>
        <w:t>1</w:t>
      </w:r>
      <w:r w:rsidRPr="00FC6062">
        <w:rPr>
          <w:rFonts w:cstheme="minorHAnsi"/>
          <w:color w:val="7F7F7F" w:themeColor="text1" w:themeTint="80"/>
          <w:spacing w:val="-3"/>
          <w:sz w:val="20"/>
          <w:szCs w:val="24"/>
          <w:lang w:val="en-GB"/>
        </w:rPr>
        <w:t xml:space="preserve"> = </w:t>
      </w:r>
      <w:r w:rsidR="0053275B" w:rsidRPr="00FC6062">
        <w:rPr>
          <w:rFonts w:cstheme="minorHAnsi"/>
          <w:color w:val="7F7F7F" w:themeColor="text1" w:themeTint="80"/>
          <w:spacing w:val="-3"/>
          <w:sz w:val="20"/>
          <w:szCs w:val="24"/>
          <w:lang w:val="en-GB"/>
        </w:rPr>
        <w:t xml:space="preserve">HRK </w:t>
      </w:r>
      <w:r w:rsidR="00E540AB" w:rsidRPr="00FC6062">
        <w:rPr>
          <w:rFonts w:cstheme="minorHAnsi"/>
          <w:color w:val="7F7F7F" w:themeColor="text1" w:themeTint="80"/>
          <w:spacing w:val="-3"/>
          <w:sz w:val="20"/>
          <w:szCs w:val="24"/>
          <w:lang w:val="en-GB"/>
        </w:rPr>
        <w:t>deprecia</w:t>
      </w:r>
      <w:r w:rsidR="0053275B" w:rsidRPr="00FC6062">
        <w:rPr>
          <w:rFonts w:cstheme="minorHAnsi"/>
          <w:color w:val="7F7F7F" w:themeColor="text1" w:themeTint="80"/>
          <w:spacing w:val="-3"/>
          <w:sz w:val="20"/>
          <w:szCs w:val="24"/>
          <w:lang w:val="en-GB"/>
        </w:rPr>
        <w:t>t</w:t>
      </w:r>
      <w:r w:rsidR="00E540AB" w:rsidRPr="00FC6062">
        <w:rPr>
          <w:rFonts w:cstheme="minorHAnsi"/>
          <w:color w:val="7F7F7F" w:themeColor="text1" w:themeTint="80"/>
          <w:spacing w:val="-3"/>
          <w:sz w:val="20"/>
          <w:szCs w:val="24"/>
          <w:lang w:val="en-GB"/>
        </w:rPr>
        <w:t>i</w:t>
      </w:r>
      <w:r w:rsidR="0053275B" w:rsidRPr="00FC6062">
        <w:rPr>
          <w:rFonts w:cstheme="minorHAnsi"/>
          <w:color w:val="7F7F7F" w:themeColor="text1" w:themeTint="80"/>
          <w:spacing w:val="-3"/>
          <w:sz w:val="20"/>
          <w:szCs w:val="24"/>
          <w:lang w:val="en-GB"/>
        </w:rPr>
        <w:t>on</w:t>
      </w:r>
      <w:r w:rsidR="00E540AB" w:rsidRPr="00FC6062">
        <w:rPr>
          <w:rFonts w:cstheme="minorHAnsi"/>
          <w:color w:val="7F7F7F" w:themeColor="text1" w:themeTint="80"/>
          <w:spacing w:val="-3"/>
          <w:sz w:val="20"/>
          <w:szCs w:val="24"/>
          <w:lang w:val="en-GB"/>
        </w:rPr>
        <w:t xml:space="preserve"> </w:t>
      </w:r>
      <w:r w:rsidR="004D3C83" w:rsidRPr="00FC6062">
        <w:rPr>
          <w:rFonts w:cstheme="minorHAnsi"/>
          <w:color w:val="7F7F7F" w:themeColor="text1" w:themeTint="80"/>
          <w:spacing w:val="-3"/>
          <w:sz w:val="20"/>
          <w:szCs w:val="24"/>
          <w:lang w:val="en-GB"/>
        </w:rPr>
        <w:t>30</w:t>
      </w:r>
      <w:r w:rsidR="00E540AB" w:rsidRPr="00FC6062">
        <w:rPr>
          <w:rFonts w:cstheme="minorHAnsi"/>
          <w:color w:val="7F7F7F" w:themeColor="text1" w:themeTint="80"/>
          <w:spacing w:val="-3"/>
          <w:sz w:val="20"/>
          <w:szCs w:val="24"/>
          <w:lang w:val="en-GB"/>
        </w:rPr>
        <w:t>.</w:t>
      </w:r>
      <w:r w:rsidR="00335BF6" w:rsidRPr="00FC6062">
        <w:rPr>
          <w:rFonts w:cstheme="minorHAnsi"/>
          <w:color w:val="7F7F7F" w:themeColor="text1" w:themeTint="80"/>
          <w:spacing w:val="-3"/>
          <w:sz w:val="20"/>
          <w:szCs w:val="24"/>
          <w:lang w:val="en-GB"/>
        </w:rPr>
        <w:t>9</w:t>
      </w:r>
      <w:r w:rsidR="00E540AB" w:rsidRPr="00FC6062">
        <w:rPr>
          <w:rFonts w:cstheme="minorHAnsi"/>
          <w:color w:val="7F7F7F" w:themeColor="text1" w:themeTint="80"/>
          <w:spacing w:val="-3"/>
          <w:sz w:val="20"/>
          <w:szCs w:val="24"/>
          <w:lang w:val="en-GB"/>
        </w:rPr>
        <w:t>.</w:t>
      </w:r>
      <w:r w:rsidR="00B81C8B" w:rsidRPr="00FC6062">
        <w:rPr>
          <w:rFonts w:cstheme="minorHAnsi"/>
          <w:color w:val="7F7F7F" w:themeColor="text1" w:themeTint="80"/>
          <w:spacing w:val="-3"/>
          <w:sz w:val="20"/>
          <w:szCs w:val="24"/>
          <w:lang w:val="en-GB"/>
        </w:rPr>
        <w:t>2019</w:t>
      </w:r>
      <w:r w:rsidR="00E540AB" w:rsidRPr="00FC6062">
        <w:rPr>
          <w:rFonts w:cstheme="minorHAnsi"/>
          <w:color w:val="7F7F7F" w:themeColor="text1" w:themeTint="80"/>
          <w:spacing w:val="-3"/>
          <w:sz w:val="20"/>
          <w:szCs w:val="24"/>
          <w:lang w:val="en-GB"/>
        </w:rPr>
        <w:t>/31.12.</w:t>
      </w:r>
      <w:r w:rsidR="00B81C8B" w:rsidRPr="00FC6062">
        <w:rPr>
          <w:rFonts w:cstheme="minorHAnsi"/>
          <w:color w:val="7F7F7F" w:themeColor="text1" w:themeTint="80"/>
          <w:spacing w:val="-3"/>
          <w:sz w:val="20"/>
          <w:szCs w:val="24"/>
          <w:lang w:val="en-GB"/>
        </w:rPr>
        <w:t>2018</w:t>
      </w:r>
    </w:p>
    <w:p w:rsidR="00BF17D9" w:rsidRPr="00FC6062" w:rsidRDefault="00A72F02"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FC6062">
        <w:rPr>
          <w:rFonts w:cstheme="minorHAnsi"/>
          <w:color w:val="7F7F7F" w:themeColor="text1" w:themeTint="80"/>
          <w:spacing w:val="-3"/>
          <w:sz w:val="20"/>
          <w:szCs w:val="24"/>
          <w:lang w:val="en-GB"/>
        </w:rPr>
        <w:t xml:space="preserve">         </w:t>
      </w:r>
      <w:r w:rsidR="00BF17D9" w:rsidRPr="00FC6062">
        <w:rPr>
          <w:rFonts w:cstheme="minorHAnsi"/>
          <w:color w:val="7F7F7F" w:themeColor="text1" w:themeTint="80"/>
          <w:spacing w:val="-3"/>
          <w:sz w:val="20"/>
          <w:szCs w:val="24"/>
          <w:lang w:val="en-GB"/>
        </w:rPr>
        <w:t xml:space="preserve">  </w:t>
      </w:r>
      <w:r w:rsidR="00335BF6" w:rsidRPr="00FC6062">
        <w:rPr>
          <w:rFonts w:cstheme="minorHAnsi"/>
          <w:color w:val="7F7F7F" w:themeColor="text1" w:themeTint="80"/>
          <w:spacing w:val="-3"/>
          <w:sz w:val="20"/>
          <w:szCs w:val="24"/>
          <w:lang w:val="en-GB"/>
        </w:rPr>
        <w:t>A</w:t>
      </w:r>
      <w:r w:rsidR="004D3C83" w:rsidRPr="00FC6062">
        <w:rPr>
          <w:rFonts w:cstheme="minorHAnsi"/>
          <w:color w:val="7F7F7F" w:themeColor="text1" w:themeTint="80"/>
          <w:spacing w:val="-3"/>
          <w:sz w:val="20"/>
          <w:szCs w:val="24"/>
          <w:vertAlign w:val="subscript"/>
          <w:lang w:val="en-GB"/>
        </w:rPr>
        <w:t>2</w:t>
      </w:r>
      <w:r w:rsidR="004D3C83" w:rsidRPr="00FC6062">
        <w:rPr>
          <w:rFonts w:cstheme="minorHAnsi"/>
          <w:color w:val="7F7F7F" w:themeColor="text1" w:themeTint="80"/>
          <w:spacing w:val="-3"/>
          <w:sz w:val="20"/>
          <w:szCs w:val="24"/>
          <w:lang w:val="en-GB"/>
        </w:rPr>
        <w:t xml:space="preserve"> </w:t>
      </w:r>
      <w:r w:rsidR="00BF17D9" w:rsidRPr="00FC6062">
        <w:rPr>
          <w:rFonts w:cstheme="minorHAnsi"/>
          <w:color w:val="7F7F7F" w:themeColor="text1" w:themeTint="80"/>
          <w:spacing w:val="-3"/>
          <w:sz w:val="20"/>
          <w:szCs w:val="24"/>
          <w:lang w:val="en-GB"/>
        </w:rPr>
        <w:t xml:space="preserve">= </w:t>
      </w:r>
      <w:r w:rsidR="0053275B" w:rsidRPr="00FC6062">
        <w:rPr>
          <w:rFonts w:cstheme="minorHAnsi"/>
          <w:color w:val="7F7F7F" w:themeColor="text1" w:themeTint="80"/>
          <w:spacing w:val="-3"/>
          <w:sz w:val="20"/>
          <w:szCs w:val="24"/>
          <w:lang w:val="en-GB"/>
        </w:rPr>
        <w:t xml:space="preserve">HRK </w:t>
      </w:r>
      <w:r w:rsidR="0007317D" w:rsidRPr="00FC6062">
        <w:rPr>
          <w:rFonts w:cstheme="minorHAnsi"/>
          <w:color w:val="7F7F7F" w:themeColor="text1" w:themeTint="80"/>
          <w:spacing w:val="-3"/>
          <w:sz w:val="20"/>
          <w:szCs w:val="24"/>
          <w:lang w:val="en-GB"/>
        </w:rPr>
        <w:t>a</w:t>
      </w:r>
      <w:r w:rsidR="0053275B" w:rsidRPr="00FC6062">
        <w:rPr>
          <w:rFonts w:cstheme="minorHAnsi"/>
          <w:color w:val="7F7F7F" w:themeColor="text1" w:themeTint="80"/>
          <w:spacing w:val="-3"/>
          <w:sz w:val="20"/>
          <w:szCs w:val="24"/>
          <w:lang w:val="en-GB"/>
        </w:rPr>
        <w:t>p</w:t>
      </w:r>
      <w:r w:rsidR="0007317D" w:rsidRPr="00FC6062">
        <w:rPr>
          <w:rFonts w:cstheme="minorHAnsi"/>
          <w:color w:val="7F7F7F" w:themeColor="text1" w:themeTint="80"/>
          <w:spacing w:val="-3"/>
          <w:sz w:val="20"/>
          <w:szCs w:val="24"/>
          <w:lang w:val="en-GB"/>
        </w:rPr>
        <w:t>precia</w:t>
      </w:r>
      <w:r w:rsidR="0053275B" w:rsidRPr="00FC6062">
        <w:rPr>
          <w:rFonts w:cstheme="minorHAnsi"/>
          <w:color w:val="7F7F7F" w:themeColor="text1" w:themeTint="80"/>
          <w:spacing w:val="-3"/>
          <w:sz w:val="20"/>
          <w:szCs w:val="24"/>
          <w:lang w:val="en-GB"/>
        </w:rPr>
        <w:t>t</w:t>
      </w:r>
      <w:r w:rsidR="0007317D" w:rsidRPr="00FC6062">
        <w:rPr>
          <w:rFonts w:cstheme="minorHAnsi"/>
          <w:color w:val="7F7F7F" w:themeColor="text1" w:themeTint="80"/>
          <w:spacing w:val="-3"/>
          <w:sz w:val="20"/>
          <w:szCs w:val="24"/>
          <w:lang w:val="en-GB"/>
        </w:rPr>
        <w:t>i</w:t>
      </w:r>
      <w:r w:rsidR="0053275B" w:rsidRPr="00FC6062">
        <w:rPr>
          <w:rFonts w:cstheme="minorHAnsi"/>
          <w:color w:val="7F7F7F" w:themeColor="text1" w:themeTint="80"/>
          <w:spacing w:val="-3"/>
          <w:sz w:val="20"/>
          <w:szCs w:val="24"/>
          <w:lang w:val="en-GB"/>
        </w:rPr>
        <w:t>on</w:t>
      </w:r>
      <w:r w:rsidR="00E540AB" w:rsidRPr="00FC6062">
        <w:rPr>
          <w:rFonts w:cstheme="minorHAnsi"/>
          <w:color w:val="7F7F7F" w:themeColor="text1" w:themeTint="80"/>
          <w:spacing w:val="-3"/>
          <w:sz w:val="20"/>
          <w:szCs w:val="24"/>
          <w:lang w:val="en-GB"/>
        </w:rPr>
        <w:t xml:space="preserve"> </w:t>
      </w:r>
      <w:r w:rsidR="004D3C83" w:rsidRPr="00FC6062">
        <w:rPr>
          <w:rFonts w:cstheme="minorHAnsi"/>
          <w:color w:val="7F7F7F" w:themeColor="text1" w:themeTint="80"/>
          <w:spacing w:val="-3"/>
          <w:sz w:val="20"/>
          <w:szCs w:val="24"/>
          <w:lang w:val="en-GB"/>
        </w:rPr>
        <w:t>30</w:t>
      </w:r>
      <w:r w:rsidR="00B81C8B" w:rsidRPr="00FC6062">
        <w:rPr>
          <w:rFonts w:cstheme="minorHAnsi"/>
          <w:color w:val="7F7F7F" w:themeColor="text1" w:themeTint="80"/>
          <w:spacing w:val="-3"/>
          <w:sz w:val="20"/>
          <w:szCs w:val="24"/>
          <w:lang w:val="en-GB"/>
        </w:rPr>
        <w:t>.</w:t>
      </w:r>
      <w:r w:rsidR="00335BF6" w:rsidRPr="00FC6062">
        <w:rPr>
          <w:rFonts w:cstheme="minorHAnsi"/>
          <w:color w:val="7F7F7F" w:themeColor="text1" w:themeTint="80"/>
          <w:spacing w:val="-3"/>
          <w:sz w:val="20"/>
          <w:szCs w:val="24"/>
          <w:lang w:val="en-GB"/>
        </w:rPr>
        <w:t>9</w:t>
      </w:r>
      <w:r w:rsidR="00B81C8B" w:rsidRPr="00FC6062">
        <w:rPr>
          <w:rFonts w:cstheme="minorHAnsi"/>
          <w:color w:val="7F7F7F" w:themeColor="text1" w:themeTint="80"/>
          <w:spacing w:val="-3"/>
          <w:sz w:val="20"/>
          <w:szCs w:val="24"/>
          <w:lang w:val="en-GB"/>
        </w:rPr>
        <w:t>.2019/</w:t>
      </w:r>
      <w:r w:rsidR="004D3C83" w:rsidRPr="00FC6062">
        <w:rPr>
          <w:rFonts w:cstheme="minorHAnsi"/>
          <w:color w:val="7F7F7F" w:themeColor="text1" w:themeTint="80"/>
          <w:spacing w:val="-3"/>
          <w:sz w:val="20"/>
          <w:szCs w:val="24"/>
          <w:lang w:val="en-GB"/>
        </w:rPr>
        <w:t>30</w:t>
      </w:r>
      <w:r w:rsidR="00B81C8B" w:rsidRPr="00FC6062">
        <w:rPr>
          <w:rFonts w:cstheme="minorHAnsi"/>
          <w:color w:val="7F7F7F" w:themeColor="text1" w:themeTint="80"/>
          <w:spacing w:val="-3"/>
          <w:sz w:val="20"/>
          <w:szCs w:val="24"/>
          <w:lang w:val="en-GB"/>
        </w:rPr>
        <w:t>.</w:t>
      </w:r>
      <w:r w:rsidR="00335BF6" w:rsidRPr="00FC6062">
        <w:rPr>
          <w:rFonts w:cstheme="minorHAnsi"/>
          <w:color w:val="7F7F7F" w:themeColor="text1" w:themeTint="80"/>
          <w:spacing w:val="-3"/>
          <w:sz w:val="20"/>
          <w:szCs w:val="24"/>
          <w:lang w:val="en-GB"/>
        </w:rPr>
        <w:t>9</w:t>
      </w:r>
      <w:r w:rsidR="00B81C8B" w:rsidRPr="00FC6062">
        <w:rPr>
          <w:rFonts w:cstheme="minorHAnsi"/>
          <w:color w:val="7F7F7F" w:themeColor="text1" w:themeTint="80"/>
          <w:spacing w:val="-3"/>
          <w:sz w:val="20"/>
          <w:szCs w:val="24"/>
          <w:lang w:val="en-GB"/>
        </w:rPr>
        <w:t>.2018</w:t>
      </w:r>
      <w:r w:rsidR="00BF17D9" w:rsidRPr="00FC6062">
        <w:rPr>
          <w:rFonts w:cstheme="minorHAnsi"/>
          <w:color w:val="7F7F7F" w:themeColor="text1" w:themeTint="80"/>
          <w:spacing w:val="-3"/>
          <w:sz w:val="20"/>
          <w:szCs w:val="24"/>
          <w:lang w:val="en-GB"/>
        </w:rPr>
        <w:tab/>
      </w:r>
      <w:r w:rsidRPr="00FC6062">
        <w:rPr>
          <w:rFonts w:cstheme="minorHAnsi"/>
          <w:color w:val="7F7F7F" w:themeColor="text1" w:themeTint="80"/>
          <w:spacing w:val="-3"/>
          <w:sz w:val="20"/>
          <w:szCs w:val="24"/>
          <w:lang w:val="en-GB"/>
        </w:rPr>
        <w:t xml:space="preserve">     </w:t>
      </w:r>
      <w:r w:rsidR="00BF17D9" w:rsidRPr="00FC6062">
        <w:rPr>
          <w:rFonts w:cstheme="minorHAnsi"/>
          <w:color w:val="7F7F7F" w:themeColor="text1" w:themeTint="80"/>
          <w:spacing w:val="-3"/>
          <w:sz w:val="20"/>
          <w:szCs w:val="24"/>
          <w:lang w:val="en-GB"/>
        </w:rPr>
        <w:t xml:space="preserve"> </w:t>
      </w:r>
      <w:r w:rsidRPr="00FC6062">
        <w:rPr>
          <w:rFonts w:cstheme="minorHAnsi"/>
          <w:color w:val="7F7F7F" w:themeColor="text1" w:themeTint="80"/>
          <w:spacing w:val="-3"/>
          <w:sz w:val="20"/>
          <w:szCs w:val="24"/>
          <w:lang w:val="en-GB"/>
        </w:rPr>
        <w:t xml:space="preserve">  </w:t>
      </w:r>
      <w:r w:rsidR="00BF17D9" w:rsidRPr="00FC6062">
        <w:rPr>
          <w:rFonts w:cstheme="minorHAnsi"/>
          <w:color w:val="7F7F7F" w:themeColor="text1" w:themeTint="80"/>
          <w:spacing w:val="-3"/>
          <w:sz w:val="20"/>
          <w:szCs w:val="24"/>
          <w:lang w:val="en-GB"/>
        </w:rPr>
        <w:t xml:space="preserve">  </w:t>
      </w:r>
      <w:r w:rsidR="00C94693" w:rsidRPr="00FC6062">
        <w:rPr>
          <w:rFonts w:cstheme="minorHAnsi"/>
          <w:color w:val="7F7F7F" w:themeColor="text1" w:themeTint="80"/>
          <w:spacing w:val="-3"/>
          <w:sz w:val="20"/>
          <w:szCs w:val="24"/>
          <w:lang w:val="en-GB"/>
        </w:rPr>
        <w:t>D</w:t>
      </w:r>
      <w:r w:rsidR="00C94693" w:rsidRPr="00FC6062">
        <w:rPr>
          <w:rFonts w:cstheme="minorHAnsi"/>
          <w:color w:val="7F7F7F" w:themeColor="text1" w:themeTint="80"/>
          <w:spacing w:val="-3"/>
          <w:sz w:val="20"/>
          <w:szCs w:val="24"/>
          <w:vertAlign w:val="subscript"/>
          <w:lang w:val="en-GB"/>
        </w:rPr>
        <w:t>2</w:t>
      </w:r>
      <w:r w:rsidR="00C94693" w:rsidRPr="00FC6062">
        <w:rPr>
          <w:rFonts w:cstheme="minorHAnsi"/>
          <w:color w:val="7F7F7F" w:themeColor="text1" w:themeTint="80"/>
          <w:spacing w:val="-3"/>
          <w:sz w:val="20"/>
          <w:szCs w:val="24"/>
          <w:lang w:val="en-GB"/>
        </w:rPr>
        <w:t xml:space="preserve"> </w:t>
      </w:r>
      <w:r w:rsidR="00BF17D9" w:rsidRPr="00FC6062">
        <w:rPr>
          <w:rFonts w:cstheme="minorHAnsi"/>
          <w:color w:val="7F7F7F" w:themeColor="text1" w:themeTint="80"/>
          <w:spacing w:val="-3"/>
          <w:sz w:val="20"/>
          <w:szCs w:val="24"/>
          <w:lang w:val="en-GB"/>
        </w:rPr>
        <w:t xml:space="preserve">= </w:t>
      </w:r>
      <w:r w:rsidR="0053275B" w:rsidRPr="00FC6062">
        <w:rPr>
          <w:rFonts w:cstheme="minorHAnsi"/>
          <w:color w:val="7F7F7F" w:themeColor="text1" w:themeTint="80"/>
          <w:spacing w:val="-3"/>
          <w:sz w:val="20"/>
          <w:szCs w:val="24"/>
          <w:lang w:val="en-GB"/>
        </w:rPr>
        <w:t xml:space="preserve">HRK </w:t>
      </w:r>
      <w:r w:rsidR="004065CD" w:rsidRPr="00FC6062">
        <w:rPr>
          <w:rFonts w:cstheme="minorHAnsi"/>
          <w:color w:val="7F7F7F" w:themeColor="text1" w:themeTint="80"/>
          <w:spacing w:val="-3"/>
          <w:sz w:val="20"/>
          <w:szCs w:val="24"/>
          <w:lang w:val="en-GB"/>
        </w:rPr>
        <w:t>deprecia</w:t>
      </w:r>
      <w:r w:rsidR="0053275B" w:rsidRPr="00FC6062">
        <w:rPr>
          <w:rFonts w:cstheme="minorHAnsi"/>
          <w:color w:val="7F7F7F" w:themeColor="text1" w:themeTint="80"/>
          <w:spacing w:val="-3"/>
          <w:sz w:val="20"/>
          <w:szCs w:val="24"/>
          <w:lang w:val="en-GB"/>
        </w:rPr>
        <w:t>t</w:t>
      </w:r>
      <w:r w:rsidR="004065CD" w:rsidRPr="00FC6062">
        <w:rPr>
          <w:rFonts w:cstheme="minorHAnsi"/>
          <w:color w:val="7F7F7F" w:themeColor="text1" w:themeTint="80"/>
          <w:spacing w:val="-3"/>
          <w:sz w:val="20"/>
          <w:szCs w:val="24"/>
          <w:lang w:val="en-GB"/>
        </w:rPr>
        <w:t>i</w:t>
      </w:r>
      <w:r w:rsidR="0053275B" w:rsidRPr="00FC6062">
        <w:rPr>
          <w:rFonts w:cstheme="minorHAnsi"/>
          <w:color w:val="7F7F7F" w:themeColor="text1" w:themeTint="80"/>
          <w:spacing w:val="-3"/>
          <w:sz w:val="20"/>
          <w:szCs w:val="24"/>
          <w:lang w:val="en-GB"/>
        </w:rPr>
        <w:t>on</w:t>
      </w:r>
      <w:r w:rsidR="00E540AB" w:rsidRPr="00FC6062">
        <w:rPr>
          <w:rFonts w:cstheme="minorHAnsi"/>
          <w:color w:val="7F7F7F" w:themeColor="text1" w:themeTint="80"/>
          <w:spacing w:val="-3"/>
          <w:sz w:val="20"/>
          <w:szCs w:val="24"/>
          <w:lang w:val="en-GB"/>
        </w:rPr>
        <w:t xml:space="preserve"> 3</w:t>
      </w:r>
      <w:r w:rsidR="004D3C83" w:rsidRPr="00FC6062">
        <w:rPr>
          <w:rFonts w:cstheme="minorHAnsi"/>
          <w:color w:val="7F7F7F" w:themeColor="text1" w:themeTint="80"/>
          <w:spacing w:val="-3"/>
          <w:sz w:val="20"/>
          <w:szCs w:val="24"/>
          <w:lang w:val="en-GB"/>
        </w:rPr>
        <w:t>0.</w:t>
      </w:r>
      <w:r w:rsidR="00335BF6" w:rsidRPr="00FC6062">
        <w:rPr>
          <w:rFonts w:cstheme="minorHAnsi"/>
          <w:color w:val="7F7F7F" w:themeColor="text1" w:themeTint="80"/>
          <w:spacing w:val="-3"/>
          <w:sz w:val="20"/>
          <w:szCs w:val="24"/>
          <w:lang w:val="en-GB"/>
        </w:rPr>
        <w:t>9</w:t>
      </w:r>
      <w:r w:rsidR="00E540AB" w:rsidRPr="00FC6062">
        <w:rPr>
          <w:rFonts w:cstheme="minorHAnsi"/>
          <w:color w:val="7F7F7F" w:themeColor="text1" w:themeTint="80"/>
          <w:spacing w:val="-3"/>
          <w:sz w:val="20"/>
          <w:szCs w:val="24"/>
          <w:lang w:val="en-GB"/>
        </w:rPr>
        <w:t>.</w:t>
      </w:r>
      <w:r w:rsidR="00B81C8B" w:rsidRPr="00FC6062">
        <w:rPr>
          <w:rFonts w:cstheme="minorHAnsi"/>
          <w:color w:val="7F7F7F" w:themeColor="text1" w:themeTint="80"/>
          <w:spacing w:val="-3"/>
          <w:sz w:val="20"/>
          <w:szCs w:val="24"/>
          <w:lang w:val="en-GB"/>
        </w:rPr>
        <w:t>2019</w:t>
      </w:r>
      <w:r w:rsidR="00E540AB" w:rsidRPr="00FC6062">
        <w:rPr>
          <w:rFonts w:cstheme="minorHAnsi"/>
          <w:color w:val="7F7F7F" w:themeColor="text1" w:themeTint="80"/>
          <w:spacing w:val="-3"/>
          <w:sz w:val="20"/>
          <w:szCs w:val="24"/>
          <w:lang w:val="en-GB"/>
        </w:rPr>
        <w:t>/</w:t>
      </w:r>
      <w:r w:rsidR="004D3C83" w:rsidRPr="00FC6062">
        <w:rPr>
          <w:rFonts w:cstheme="minorHAnsi"/>
          <w:color w:val="7F7F7F" w:themeColor="text1" w:themeTint="80"/>
          <w:spacing w:val="-3"/>
          <w:sz w:val="20"/>
          <w:szCs w:val="24"/>
          <w:lang w:val="en-GB"/>
        </w:rPr>
        <w:t>30</w:t>
      </w:r>
      <w:r w:rsidR="00E540AB" w:rsidRPr="00FC6062">
        <w:rPr>
          <w:rFonts w:cstheme="minorHAnsi"/>
          <w:color w:val="7F7F7F" w:themeColor="text1" w:themeTint="80"/>
          <w:spacing w:val="-3"/>
          <w:sz w:val="20"/>
          <w:szCs w:val="24"/>
          <w:lang w:val="en-GB"/>
        </w:rPr>
        <w:t>.</w:t>
      </w:r>
      <w:r w:rsidR="00335BF6" w:rsidRPr="00FC6062">
        <w:rPr>
          <w:rFonts w:cstheme="minorHAnsi"/>
          <w:color w:val="7F7F7F" w:themeColor="text1" w:themeTint="80"/>
          <w:spacing w:val="-3"/>
          <w:sz w:val="20"/>
          <w:szCs w:val="24"/>
          <w:lang w:val="en-GB"/>
        </w:rPr>
        <w:t>9</w:t>
      </w:r>
      <w:r w:rsidR="00E540AB" w:rsidRPr="00FC6062">
        <w:rPr>
          <w:rFonts w:cstheme="minorHAnsi"/>
          <w:color w:val="7F7F7F" w:themeColor="text1" w:themeTint="80"/>
          <w:spacing w:val="-3"/>
          <w:sz w:val="20"/>
          <w:szCs w:val="24"/>
          <w:lang w:val="en-GB"/>
        </w:rPr>
        <w:t>.</w:t>
      </w:r>
      <w:r w:rsidR="00B81C8B" w:rsidRPr="00FC6062">
        <w:rPr>
          <w:rFonts w:cstheme="minorHAnsi"/>
          <w:color w:val="7F7F7F" w:themeColor="text1" w:themeTint="80"/>
          <w:spacing w:val="-3"/>
          <w:sz w:val="20"/>
          <w:szCs w:val="24"/>
          <w:lang w:val="en-GB"/>
        </w:rPr>
        <w:t>2018</w:t>
      </w:r>
    </w:p>
    <w:p w:rsidR="00BF17D9" w:rsidRPr="00FC6062" w:rsidRDefault="00BF17D9" w:rsidP="00BF17D9">
      <w:pPr>
        <w:tabs>
          <w:tab w:val="left" w:pos="-720"/>
        </w:tabs>
        <w:suppressAutoHyphens/>
        <w:spacing w:after="0" w:line="240" w:lineRule="auto"/>
        <w:jc w:val="both"/>
        <w:rPr>
          <w:rFonts w:cstheme="minorHAnsi"/>
          <w:spacing w:val="-3"/>
          <w:sz w:val="20"/>
          <w:szCs w:val="24"/>
          <w:lang w:val="en-GB"/>
        </w:rPr>
      </w:pP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p>
    <w:p w:rsidR="00BF17D9" w:rsidRPr="00FC6062" w:rsidRDefault="006D2A6B"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FC6062">
        <w:rPr>
          <w:rFonts w:cstheme="minorHAnsi"/>
          <w:spacing w:val="-3"/>
          <w:sz w:val="24"/>
          <w:szCs w:val="24"/>
          <w:lang w:val="en-GB"/>
        </w:rPr>
        <w:t xml:space="preserve">. </w:t>
      </w:r>
    </w:p>
    <w:p w:rsidR="00BF17D9" w:rsidRPr="00FC6062" w:rsidRDefault="00BF17D9" w:rsidP="00BF17D9">
      <w:pPr>
        <w:tabs>
          <w:tab w:val="left" w:pos="-720"/>
        </w:tabs>
        <w:suppressAutoHyphens/>
        <w:spacing w:after="0" w:line="240" w:lineRule="auto"/>
        <w:jc w:val="both"/>
        <w:rPr>
          <w:rFonts w:cstheme="minorHAnsi"/>
          <w:spacing w:val="-3"/>
          <w:sz w:val="24"/>
          <w:szCs w:val="24"/>
          <w:lang w:val="en-GB"/>
        </w:rPr>
      </w:pPr>
    </w:p>
    <w:p w:rsidR="00BF17D9" w:rsidRPr="00FC6062" w:rsidRDefault="006D2A6B"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Foreign currency revenues and expenditures are converted in accordance with the exchange rate at the transaction date. The resulting foreign exchange gains or losses are recorded in the </w:t>
      </w:r>
      <w:r w:rsidR="00AA4C08">
        <w:rPr>
          <w:rFonts w:cstheme="minorHAnsi"/>
          <w:spacing w:val="-3"/>
          <w:sz w:val="24"/>
          <w:szCs w:val="24"/>
          <w:lang w:val="en-GB"/>
        </w:rPr>
        <w:t xml:space="preserve">Income Statement </w:t>
      </w:r>
      <w:r w:rsidRPr="00FC6062">
        <w:rPr>
          <w:rFonts w:cstheme="minorHAnsi"/>
          <w:spacing w:val="-3"/>
          <w:sz w:val="24"/>
          <w:szCs w:val="24"/>
          <w:lang w:val="en-GB"/>
        </w:rPr>
        <w:t>in net figures</w:t>
      </w:r>
      <w:r w:rsidR="00BF17D9" w:rsidRPr="00FC6062">
        <w:rPr>
          <w:rFonts w:cstheme="minorHAnsi"/>
          <w:spacing w:val="-3"/>
          <w:sz w:val="24"/>
          <w:szCs w:val="24"/>
          <w:lang w:val="en-GB"/>
        </w:rPr>
        <w:t>.</w:t>
      </w:r>
    </w:p>
    <w:p w:rsidR="00045721" w:rsidRPr="00FC6062" w:rsidRDefault="00045721" w:rsidP="00BF17D9">
      <w:pPr>
        <w:spacing w:after="0" w:line="240" w:lineRule="auto"/>
        <w:jc w:val="both"/>
        <w:rPr>
          <w:rFonts w:eastAsia="Times New Roman" w:cs="Calibri"/>
          <w:b/>
          <w:i/>
          <w:sz w:val="24"/>
          <w:szCs w:val="24"/>
          <w:lang w:val="en-GB" w:eastAsia="hr-HR"/>
        </w:rPr>
      </w:pPr>
    </w:p>
    <w:p w:rsidR="00045721" w:rsidRPr="00FC6062" w:rsidRDefault="00045721" w:rsidP="00BF17D9">
      <w:pPr>
        <w:spacing w:after="0" w:line="240" w:lineRule="auto"/>
        <w:jc w:val="both"/>
        <w:rPr>
          <w:rFonts w:eastAsia="Times New Roman" w:cs="Calibri"/>
          <w:b/>
          <w:i/>
          <w:sz w:val="24"/>
          <w:szCs w:val="24"/>
          <w:lang w:val="en-GB" w:eastAsia="hr-HR"/>
        </w:rPr>
        <w:sectPr w:rsidR="00045721" w:rsidRPr="00FC6062">
          <w:footerReference w:type="default" r:id="rId32"/>
          <w:pgSz w:w="11906" w:h="16838"/>
          <w:pgMar w:top="1417" w:right="1417" w:bottom="1417" w:left="1417" w:header="708" w:footer="708" w:gutter="0"/>
          <w:cols w:space="708"/>
          <w:docGrid w:linePitch="360"/>
        </w:sectPr>
      </w:pPr>
    </w:p>
    <w:p w:rsidR="00BF17D9" w:rsidRPr="00FC6062" w:rsidRDefault="00BF17D9" w:rsidP="00BF17D9">
      <w:pPr>
        <w:spacing w:after="0" w:line="240" w:lineRule="auto"/>
        <w:jc w:val="both"/>
        <w:rPr>
          <w:rFonts w:eastAsia="Times New Roman" w:cs="Calibri"/>
          <w:b/>
          <w:i/>
          <w:sz w:val="24"/>
          <w:szCs w:val="24"/>
          <w:lang w:val="en-GB" w:eastAsia="hr-HR"/>
        </w:rPr>
      </w:pPr>
      <w:r w:rsidRPr="00FC6062">
        <w:rPr>
          <w:rFonts w:eastAsia="Times New Roman" w:cs="Calibri"/>
          <w:b/>
          <w:i/>
          <w:sz w:val="24"/>
          <w:szCs w:val="24"/>
          <w:lang w:val="en-GB" w:eastAsia="hr-HR"/>
        </w:rPr>
        <w:lastRenderedPageBreak/>
        <w:t>Operatin</w:t>
      </w:r>
      <w:r w:rsidR="007B6860" w:rsidRPr="00FC6062">
        <w:rPr>
          <w:rFonts w:eastAsia="Times New Roman" w:cs="Calibri"/>
          <w:b/>
          <w:i/>
          <w:sz w:val="24"/>
          <w:szCs w:val="24"/>
          <w:lang w:val="en-GB" w:eastAsia="hr-HR"/>
        </w:rPr>
        <w:t>g expenses</w:t>
      </w:r>
    </w:p>
    <w:p w:rsidR="00BF17D9" w:rsidRPr="00FC6062" w:rsidRDefault="00BF17D9" w:rsidP="00BF17D9">
      <w:pPr>
        <w:spacing w:after="0" w:line="240" w:lineRule="auto"/>
        <w:jc w:val="both"/>
        <w:rPr>
          <w:rFonts w:eastAsia="Times New Roman" w:cs="Calibri"/>
          <w:b/>
          <w:sz w:val="24"/>
          <w:szCs w:val="24"/>
          <w:lang w:val="en-GB" w:eastAsia="hr-HR"/>
        </w:rPr>
      </w:pPr>
    </w:p>
    <w:p w:rsidR="00850100" w:rsidRPr="00FC6062" w:rsidRDefault="00BF17D9" w:rsidP="00BF17D9">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O</w:t>
      </w:r>
      <w:r w:rsidR="007B6860" w:rsidRPr="00FC6062">
        <w:rPr>
          <w:rFonts w:cstheme="minorHAnsi"/>
          <w:spacing w:val="-3"/>
          <w:sz w:val="24"/>
          <w:szCs w:val="24"/>
          <w:lang w:val="en-GB"/>
        </w:rPr>
        <w:t xml:space="preserve">perating expenses that include general and administrative expenses and other operating expenses stood at HRK </w:t>
      </w:r>
      <w:r w:rsidR="00C32F6A" w:rsidRPr="00FC6062">
        <w:rPr>
          <w:rFonts w:cstheme="minorHAnsi"/>
          <w:spacing w:val="-3"/>
          <w:sz w:val="24"/>
          <w:szCs w:val="24"/>
          <w:lang w:val="en-GB"/>
        </w:rPr>
        <w:t>116</w:t>
      </w:r>
      <w:r w:rsidR="00051457" w:rsidRPr="00FC6062">
        <w:rPr>
          <w:rFonts w:cstheme="minorHAnsi"/>
          <w:spacing w:val="-3"/>
          <w:sz w:val="24"/>
          <w:szCs w:val="24"/>
          <w:lang w:val="en-GB"/>
        </w:rPr>
        <w:t>.</w:t>
      </w:r>
      <w:r w:rsidR="00C32F6A" w:rsidRPr="00FC6062">
        <w:rPr>
          <w:rFonts w:cstheme="minorHAnsi"/>
          <w:spacing w:val="-3"/>
          <w:sz w:val="24"/>
          <w:szCs w:val="24"/>
          <w:lang w:val="en-GB"/>
        </w:rPr>
        <w:t>5</w:t>
      </w:r>
      <w:r w:rsidR="00AB02E4" w:rsidRPr="00FC6062">
        <w:rPr>
          <w:rFonts w:cstheme="minorHAnsi"/>
          <w:spacing w:val="-3"/>
          <w:sz w:val="24"/>
          <w:szCs w:val="24"/>
          <w:lang w:val="en-GB"/>
        </w:rPr>
        <w:t xml:space="preserve"> </w:t>
      </w:r>
      <w:r w:rsidR="00051457" w:rsidRPr="00FC6062">
        <w:rPr>
          <w:rFonts w:cstheme="minorHAnsi"/>
          <w:spacing w:val="-3"/>
          <w:sz w:val="24"/>
          <w:szCs w:val="24"/>
          <w:lang w:val="en-GB"/>
        </w:rPr>
        <w:t xml:space="preserve">million, a decrease of </w:t>
      </w:r>
      <w:r w:rsidR="00C32F6A" w:rsidRPr="00FC6062">
        <w:rPr>
          <w:rFonts w:cstheme="minorHAnsi"/>
          <w:spacing w:val="-3"/>
          <w:sz w:val="24"/>
          <w:szCs w:val="24"/>
          <w:lang w:val="en-GB"/>
        </w:rPr>
        <w:t>2</w:t>
      </w:r>
      <w:r w:rsidR="00051457" w:rsidRPr="00FC6062">
        <w:rPr>
          <w:rFonts w:cstheme="minorHAnsi"/>
          <w:spacing w:val="-3"/>
          <w:sz w:val="24"/>
          <w:szCs w:val="24"/>
          <w:lang w:val="en-GB"/>
        </w:rPr>
        <w:t>.</w:t>
      </w:r>
      <w:r w:rsidR="00C32F6A" w:rsidRPr="00FC6062">
        <w:rPr>
          <w:rFonts w:cstheme="minorHAnsi"/>
          <w:spacing w:val="-3"/>
          <w:sz w:val="24"/>
          <w:szCs w:val="24"/>
          <w:lang w:val="en-GB"/>
        </w:rPr>
        <w:t>5</w:t>
      </w:r>
      <w:r w:rsidR="00710AC0" w:rsidRPr="00FC6062">
        <w:rPr>
          <w:rFonts w:cstheme="minorHAnsi"/>
          <w:spacing w:val="-3"/>
          <w:sz w:val="24"/>
          <w:szCs w:val="24"/>
          <w:lang w:val="en-GB"/>
        </w:rPr>
        <w:t xml:space="preserve"> </w:t>
      </w:r>
      <w:r w:rsidR="00A3128E" w:rsidRPr="00FC6062">
        <w:rPr>
          <w:rFonts w:cstheme="minorHAnsi"/>
          <w:spacing w:val="-3"/>
          <w:sz w:val="24"/>
          <w:szCs w:val="24"/>
          <w:lang w:val="en-GB"/>
        </w:rPr>
        <w:t>p</w:t>
      </w:r>
      <w:r w:rsidR="00051457" w:rsidRPr="00FC6062">
        <w:rPr>
          <w:rFonts w:cstheme="minorHAnsi"/>
          <w:spacing w:val="-3"/>
          <w:sz w:val="24"/>
          <w:szCs w:val="24"/>
          <w:lang w:val="en-GB"/>
        </w:rPr>
        <w:t>ercent compared with the same reporting period last year</w:t>
      </w:r>
      <w:r w:rsidR="001651B8" w:rsidRPr="00FC6062">
        <w:rPr>
          <w:rFonts w:cstheme="minorHAnsi"/>
          <w:spacing w:val="-3"/>
          <w:sz w:val="24"/>
          <w:szCs w:val="24"/>
          <w:lang w:val="en-GB"/>
        </w:rPr>
        <w:t xml:space="preserve">. </w:t>
      </w:r>
      <w:r w:rsidR="00A65D28">
        <w:rPr>
          <w:rFonts w:cstheme="minorHAnsi"/>
          <w:spacing w:val="-3"/>
          <w:sz w:val="24"/>
          <w:szCs w:val="24"/>
          <w:lang w:val="en-GB"/>
        </w:rPr>
        <w:t xml:space="preserve">The most significant impact had </w:t>
      </w:r>
      <w:r w:rsidR="006E02CA">
        <w:rPr>
          <w:rFonts w:cstheme="minorHAnsi"/>
          <w:spacing w:val="-3"/>
          <w:sz w:val="24"/>
          <w:szCs w:val="24"/>
          <w:lang w:val="en-GB"/>
        </w:rPr>
        <w:t xml:space="preserve">the item of </w:t>
      </w:r>
      <w:r w:rsidR="00A65D28">
        <w:rPr>
          <w:rFonts w:cstheme="minorHAnsi"/>
          <w:spacing w:val="-3"/>
          <w:sz w:val="24"/>
          <w:szCs w:val="24"/>
          <w:lang w:val="en-GB"/>
        </w:rPr>
        <w:t xml:space="preserve">other </w:t>
      </w:r>
      <w:r w:rsidR="006E02CA">
        <w:rPr>
          <w:rFonts w:cstheme="minorHAnsi"/>
          <w:spacing w:val="-3"/>
          <w:sz w:val="24"/>
          <w:szCs w:val="24"/>
          <w:lang w:val="en-GB"/>
        </w:rPr>
        <w:t xml:space="preserve">expenses </w:t>
      </w:r>
      <w:r w:rsidR="00A65D28">
        <w:rPr>
          <w:rFonts w:cstheme="minorHAnsi"/>
          <w:spacing w:val="-3"/>
          <w:sz w:val="24"/>
          <w:szCs w:val="24"/>
          <w:lang w:val="en-GB"/>
        </w:rPr>
        <w:t xml:space="preserve">that decreased by HRK 6.0 million on the same period previous year. </w:t>
      </w:r>
      <w:r w:rsidR="00051457" w:rsidRPr="00FC6062">
        <w:rPr>
          <w:rFonts w:cstheme="minorHAnsi"/>
          <w:spacing w:val="-3"/>
          <w:sz w:val="24"/>
          <w:szCs w:val="24"/>
          <w:lang w:val="en-GB"/>
        </w:rPr>
        <w:t xml:space="preserve">To be precise, in the same period in </w:t>
      </w:r>
      <w:r w:rsidR="001651B8" w:rsidRPr="00FC6062">
        <w:rPr>
          <w:rFonts w:cstheme="minorHAnsi"/>
          <w:spacing w:val="-3"/>
          <w:sz w:val="24"/>
          <w:szCs w:val="24"/>
          <w:lang w:val="en-GB"/>
        </w:rPr>
        <w:t>2018</w:t>
      </w:r>
      <w:r w:rsidR="00051457" w:rsidRPr="00FC6062">
        <w:rPr>
          <w:rFonts w:cstheme="minorHAnsi"/>
          <w:spacing w:val="-3"/>
          <w:sz w:val="24"/>
          <w:szCs w:val="24"/>
          <w:lang w:val="en-GB"/>
        </w:rPr>
        <w:t xml:space="preserve">, </w:t>
      </w:r>
      <w:r w:rsidR="00377894" w:rsidRPr="00FC6062">
        <w:rPr>
          <w:rFonts w:cstheme="minorHAnsi"/>
          <w:spacing w:val="-3"/>
          <w:sz w:val="24"/>
          <w:szCs w:val="24"/>
          <w:lang w:val="en-GB"/>
        </w:rPr>
        <w:t xml:space="preserve">financial instruments recalculation </w:t>
      </w:r>
      <w:r w:rsidR="001732A1">
        <w:rPr>
          <w:rFonts w:cstheme="minorHAnsi"/>
          <w:spacing w:val="-3"/>
          <w:sz w:val="24"/>
          <w:szCs w:val="24"/>
          <w:lang w:val="en-GB"/>
        </w:rPr>
        <w:t xml:space="preserve">expenses </w:t>
      </w:r>
      <w:r w:rsidR="00377894" w:rsidRPr="00FC6062">
        <w:rPr>
          <w:rFonts w:cstheme="minorHAnsi"/>
          <w:spacing w:val="-3"/>
          <w:sz w:val="24"/>
          <w:szCs w:val="24"/>
          <w:lang w:val="en-GB"/>
        </w:rPr>
        <w:t xml:space="preserve">rose by </w:t>
      </w:r>
      <w:r w:rsidR="001651B8" w:rsidRPr="00FC6062">
        <w:rPr>
          <w:rFonts w:cstheme="minorHAnsi"/>
          <w:spacing w:val="-3"/>
          <w:sz w:val="24"/>
          <w:szCs w:val="24"/>
          <w:lang w:val="en-GB"/>
        </w:rPr>
        <w:t>12</w:t>
      </w:r>
      <w:r w:rsidR="00377894" w:rsidRPr="00FC6062">
        <w:rPr>
          <w:rFonts w:cstheme="minorHAnsi"/>
          <w:spacing w:val="-3"/>
          <w:sz w:val="24"/>
          <w:szCs w:val="24"/>
          <w:lang w:val="en-GB"/>
        </w:rPr>
        <w:t>.</w:t>
      </w:r>
      <w:r w:rsidR="001651B8" w:rsidRPr="00FC6062">
        <w:rPr>
          <w:rFonts w:cstheme="minorHAnsi"/>
          <w:spacing w:val="-3"/>
          <w:sz w:val="24"/>
          <w:szCs w:val="24"/>
          <w:lang w:val="en-GB"/>
        </w:rPr>
        <w:t xml:space="preserve">0 </w:t>
      </w:r>
      <w:r w:rsidR="00377894" w:rsidRPr="00FC6062">
        <w:rPr>
          <w:rFonts w:cstheme="minorHAnsi"/>
          <w:spacing w:val="-3"/>
          <w:sz w:val="24"/>
          <w:szCs w:val="24"/>
          <w:lang w:val="en-GB"/>
        </w:rPr>
        <w:t xml:space="preserve">million on </w:t>
      </w:r>
      <w:r w:rsidR="001651B8" w:rsidRPr="00FC6062">
        <w:rPr>
          <w:rFonts w:cstheme="minorHAnsi"/>
          <w:spacing w:val="-3"/>
          <w:sz w:val="24"/>
          <w:szCs w:val="24"/>
          <w:lang w:val="en-GB"/>
        </w:rPr>
        <w:t xml:space="preserve">2019, </w:t>
      </w:r>
      <w:r w:rsidR="00377894" w:rsidRPr="00FC6062">
        <w:rPr>
          <w:rFonts w:cstheme="minorHAnsi"/>
          <w:spacing w:val="-3"/>
          <w:sz w:val="24"/>
          <w:szCs w:val="24"/>
          <w:lang w:val="en-GB"/>
        </w:rPr>
        <w:t xml:space="preserve">whereas in 2019 the </w:t>
      </w:r>
      <w:proofErr w:type="gramStart"/>
      <w:r w:rsidR="00377894" w:rsidRPr="00FC6062">
        <w:rPr>
          <w:rFonts w:cstheme="minorHAnsi"/>
          <w:spacing w:val="-3"/>
          <w:sz w:val="24"/>
          <w:szCs w:val="24"/>
          <w:lang w:val="en-GB"/>
        </w:rPr>
        <w:t>amount</w:t>
      </w:r>
      <w:proofErr w:type="gramEnd"/>
      <w:r w:rsidR="00377894" w:rsidRPr="00FC6062">
        <w:rPr>
          <w:rFonts w:cstheme="minorHAnsi"/>
          <w:spacing w:val="-3"/>
          <w:sz w:val="24"/>
          <w:szCs w:val="24"/>
          <w:lang w:val="en-GB"/>
        </w:rPr>
        <w:t xml:space="preserve"> of receivables written off stood at HRK </w:t>
      </w:r>
      <w:r w:rsidR="001651B8" w:rsidRPr="00FC6062">
        <w:rPr>
          <w:rFonts w:cstheme="minorHAnsi"/>
          <w:spacing w:val="-3"/>
          <w:sz w:val="24"/>
          <w:szCs w:val="24"/>
          <w:lang w:val="en-GB"/>
        </w:rPr>
        <w:t>5</w:t>
      </w:r>
      <w:r w:rsidR="00377894" w:rsidRPr="00FC6062">
        <w:rPr>
          <w:rFonts w:cstheme="minorHAnsi"/>
          <w:spacing w:val="-3"/>
          <w:sz w:val="24"/>
          <w:szCs w:val="24"/>
          <w:lang w:val="en-GB"/>
        </w:rPr>
        <w:t>.</w:t>
      </w:r>
      <w:r w:rsidR="001651B8" w:rsidRPr="00FC6062">
        <w:rPr>
          <w:rFonts w:cstheme="minorHAnsi"/>
          <w:spacing w:val="-3"/>
          <w:sz w:val="24"/>
          <w:szCs w:val="24"/>
          <w:lang w:val="en-GB"/>
        </w:rPr>
        <w:t xml:space="preserve">6 </w:t>
      </w:r>
      <w:r w:rsidR="00377894" w:rsidRPr="00FC6062">
        <w:rPr>
          <w:rFonts w:cstheme="minorHAnsi"/>
          <w:spacing w:val="-3"/>
          <w:sz w:val="24"/>
          <w:szCs w:val="24"/>
          <w:lang w:val="en-GB"/>
        </w:rPr>
        <w:t xml:space="preserve">million and the amount of HRK </w:t>
      </w:r>
      <w:r w:rsidR="001651B8" w:rsidRPr="00FC6062">
        <w:rPr>
          <w:rFonts w:cstheme="minorHAnsi"/>
          <w:spacing w:val="-3"/>
          <w:sz w:val="24"/>
          <w:szCs w:val="24"/>
          <w:lang w:val="en-GB"/>
        </w:rPr>
        <w:t>0</w:t>
      </w:r>
      <w:r w:rsidR="00377894" w:rsidRPr="00FC6062">
        <w:rPr>
          <w:rFonts w:cstheme="minorHAnsi"/>
          <w:spacing w:val="-3"/>
          <w:sz w:val="24"/>
          <w:szCs w:val="24"/>
          <w:lang w:val="en-GB"/>
        </w:rPr>
        <w:t>.</w:t>
      </w:r>
      <w:r w:rsidR="001651B8" w:rsidRPr="00FC6062">
        <w:rPr>
          <w:rFonts w:cstheme="minorHAnsi"/>
          <w:spacing w:val="-3"/>
          <w:sz w:val="24"/>
          <w:szCs w:val="24"/>
          <w:lang w:val="en-GB"/>
        </w:rPr>
        <w:t xml:space="preserve">4 </w:t>
      </w:r>
      <w:r w:rsidR="00377894" w:rsidRPr="00FC6062">
        <w:rPr>
          <w:rFonts w:cstheme="minorHAnsi"/>
          <w:spacing w:val="-3"/>
          <w:sz w:val="24"/>
          <w:szCs w:val="24"/>
          <w:lang w:val="en-GB"/>
        </w:rPr>
        <w:t>related to others</w:t>
      </w:r>
      <w:r w:rsidR="001651B8" w:rsidRPr="00FC6062">
        <w:rPr>
          <w:rFonts w:cstheme="minorHAnsi"/>
          <w:spacing w:val="-3"/>
          <w:sz w:val="24"/>
          <w:szCs w:val="24"/>
          <w:lang w:val="en-GB"/>
        </w:rPr>
        <w:t xml:space="preserve">.  </w:t>
      </w:r>
    </w:p>
    <w:p w:rsidR="00BF17D9" w:rsidRPr="00FC6062" w:rsidRDefault="00BF17D9" w:rsidP="00BF17D9">
      <w:pPr>
        <w:tabs>
          <w:tab w:val="left" w:pos="-720"/>
        </w:tabs>
        <w:suppressAutoHyphens/>
        <w:spacing w:after="0" w:line="240" w:lineRule="auto"/>
        <w:jc w:val="both"/>
        <w:rPr>
          <w:rFonts w:cstheme="minorHAnsi"/>
          <w:spacing w:val="-3"/>
          <w:sz w:val="20"/>
          <w:szCs w:val="20"/>
          <w:lang w:val="en-GB"/>
        </w:rPr>
      </w:pPr>
    </w:p>
    <w:p w:rsidR="00615087" w:rsidRPr="00FC6062" w:rsidRDefault="007B6860" w:rsidP="000479D6">
      <w:pPr>
        <w:spacing w:after="0" w:line="240" w:lineRule="auto"/>
        <w:jc w:val="both"/>
        <w:rPr>
          <w:rFonts w:ascii="Calibri" w:eastAsia="Times New Roman" w:hAnsi="Calibri" w:cs="Times New Roman"/>
          <w:sz w:val="24"/>
          <w:szCs w:val="24"/>
          <w:lang w:val="en-GB"/>
        </w:rPr>
      </w:pPr>
      <w:r w:rsidRPr="00FC6062">
        <w:rPr>
          <w:rFonts w:cstheme="minorHAnsi"/>
          <w:sz w:val="24"/>
          <w:szCs w:val="24"/>
          <w:lang w:val="en-GB"/>
        </w:rPr>
        <w:t xml:space="preserve">On 30 </w:t>
      </w:r>
      <w:r w:rsidR="00377894" w:rsidRPr="00FC6062">
        <w:rPr>
          <w:rFonts w:cstheme="minorHAnsi"/>
          <w:sz w:val="24"/>
          <w:szCs w:val="24"/>
          <w:lang w:val="en-GB"/>
        </w:rPr>
        <w:t xml:space="preserve">September </w:t>
      </w:r>
      <w:r w:rsidRPr="00FC6062">
        <w:rPr>
          <w:rFonts w:cstheme="minorHAnsi"/>
          <w:sz w:val="24"/>
          <w:szCs w:val="24"/>
          <w:lang w:val="en-GB"/>
        </w:rPr>
        <w:t>2019, HBOR had 36</w:t>
      </w:r>
      <w:r w:rsidR="00377894" w:rsidRPr="00FC6062">
        <w:rPr>
          <w:rFonts w:cstheme="minorHAnsi"/>
          <w:sz w:val="24"/>
          <w:szCs w:val="24"/>
          <w:lang w:val="en-GB"/>
        </w:rPr>
        <w:t>6</w:t>
      </w:r>
      <w:r w:rsidRPr="00FC6062">
        <w:rPr>
          <w:rFonts w:cstheme="minorHAnsi"/>
          <w:sz w:val="24"/>
          <w:szCs w:val="24"/>
          <w:lang w:val="en-GB"/>
        </w:rPr>
        <w:t xml:space="preserve"> employees (on 30 </w:t>
      </w:r>
      <w:r w:rsidR="00377894" w:rsidRPr="00FC6062">
        <w:rPr>
          <w:rFonts w:cstheme="minorHAnsi"/>
          <w:sz w:val="24"/>
          <w:szCs w:val="24"/>
          <w:lang w:val="en-GB"/>
        </w:rPr>
        <w:t xml:space="preserve">September </w:t>
      </w:r>
      <w:r w:rsidRPr="00FC6062">
        <w:rPr>
          <w:rFonts w:cstheme="minorHAnsi"/>
          <w:sz w:val="24"/>
          <w:szCs w:val="24"/>
          <w:lang w:val="en-GB"/>
        </w:rPr>
        <w:t>2018: 37</w:t>
      </w:r>
      <w:r w:rsidR="00377894" w:rsidRPr="00FC6062">
        <w:rPr>
          <w:rFonts w:cstheme="minorHAnsi"/>
          <w:sz w:val="24"/>
          <w:szCs w:val="24"/>
          <w:lang w:val="en-GB"/>
        </w:rPr>
        <w:t>1</w:t>
      </w:r>
      <w:r w:rsidRPr="00FC6062">
        <w:rPr>
          <w:rFonts w:cstheme="minorHAnsi"/>
          <w:sz w:val="24"/>
          <w:szCs w:val="24"/>
          <w:lang w:val="en-GB"/>
        </w:rPr>
        <w:t xml:space="preserve"> employees</w:t>
      </w:r>
      <w:r w:rsidR="005A1E16" w:rsidRPr="00FC6062">
        <w:rPr>
          <w:rFonts w:cstheme="minorHAnsi"/>
          <w:sz w:val="24"/>
          <w:szCs w:val="24"/>
          <w:lang w:val="en-GB"/>
        </w:rPr>
        <w:t>)</w:t>
      </w:r>
      <w:r w:rsidR="00615087" w:rsidRPr="00FC6062">
        <w:rPr>
          <w:rFonts w:ascii="Calibri" w:eastAsia="Times New Roman" w:hAnsi="Calibri" w:cs="Times New Roman"/>
          <w:sz w:val="24"/>
          <w:szCs w:val="24"/>
          <w:lang w:val="en-GB"/>
        </w:rPr>
        <w:t>.</w:t>
      </w:r>
      <w:r w:rsidR="00615087" w:rsidRPr="00FC6062" w:rsidDel="009D6D4D">
        <w:rPr>
          <w:rFonts w:ascii="Calibri" w:eastAsia="Times New Roman" w:hAnsi="Calibri" w:cs="Times New Roman"/>
          <w:sz w:val="24"/>
          <w:szCs w:val="24"/>
          <w:lang w:val="en-GB"/>
        </w:rPr>
        <w:t xml:space="preserve"> </w:t>
      </w:r>
    </w:p>
    <w:p w:rsidR="00BF17D9" w:rsidRPr="00FC6062" w:rsidRDefault="00BF17D9" w:rsidP="00BF17D9">
      <w:pPr>
        <w:spacing w:after="0" w:line="240" w:lineRule="auto"/>
        <w:jc w:val="both"/>
        <w:rPr>
          <w:rFonts w:eastAsia="Times New Roman" w:cs="Calibri"/>
          <w:b/>
          <w:i/>
          <w:spacing w:val="-3"/>
          <w:sz w:val="20"/>
          <w:szCs w:val="20"/>
          <w:lang w:val="en-GB" w:eastAsia="hr-HR"/>
        </w:rPr>
      </w:pPr>
    </w:p>
    <w:p w:rsidR="00615087" w:rsidRPr="00FC6062" w:rsidRDefault="00615087" w:rsidP="00BF17D9">
      <w:pPr>
        <w:spacing w:after="0" w:line="240" w:lineRule="auto"/>
        <w:jc w:val="both"/>
        <w:rPr>
          <w:rFonts w:eastAsia="Times New Roman" w:cs="Calibri"/>
          <w:b/>
          <w:i/>
          <w:spacing w:val="-3"/>
          <w:sz w:val="20"/>
          <w:szCs w:val="20"/>
          <w:lang w:val="en-GB" w:eastAsia="hr-HR"/>
        </w:rPr>
      </w:pPr>
    </w:p>
    <w:p w:rsidR="00BF17D9" w:rsidRPr="00FC6062" w:rsidRDefault="007B6860" w:rsidP="00BF17D9">
      <w:pPr>
        <w:spacing w:after="0" w:line="240" w:lineRule="auto"/>
        <w:jc w:val="both"/>
        <w:rPr>
          <w:rFonts w:eastAsia="Times New Roman" w:cs="Calibri"/>
          <w:b/>
          <w:i/>
          <w:sz w:val="24"/>
          <w:szCs w:val="24"/>
          <w:lang w:val="en-GB" w:eastAsia="hr-HR"/>
        </w:rPr>
      </w:pPr>
      <w:r w:rsidRPr="00FC6062">
        <w:rPr>
          <w:rFonts w:eastAsia="Times New Roman" w:cs="Calibri"/>
          <w:b/>
          <w:i/>
          <w:spacing w:val="-3"/>
          <w:sz w:val="24"/>
          <w:szCs w:val="24"/>
          <w:lang w:val="en-GB" w:eastAsia="hr-HR"/>
        </w:rPr>
        <w:t>Impairment gain/(loss) and provisions</w:t>
      </w:r>
      <w:r w:rsidR="00BF17D9" w:rsidRPr="00FC6062">
        <w:rPr>
          <w:rFonts w:eastAsia="Times New Roman" w:cs="Calibri"/>
          <w:b/>
          <w:i/>
          <w:sz w:val="24"/>
          <w:szCs w:val="24"/>
          <w:lang w:val="en-GB" w:eastAsia="hr-HR"/>
        </w:rPr>
        <w:t xml:space="preserve"> </w:t>
      </w:r>
    </w:p>
    <w:p w:rsidR="00BF17D9" w:rsidRPr="00FC6062" w:rsidRDefault="00BF17D9" w:rsidP="00BF17D9">
      <w:pPr>
        <w:spacing w:after="0" w:line="240" w:lineRule="auto"/>
        <w:jc w:val="both"/>
        <w:rPr>
          <w:rFonts w:eastAsia="Times New Roman" w:cs="Calibri"/>
          <w:b/>
          <w:i/>
          <w:sz w:val="20"/>
          <w:szCs w:val="20"/>
          <w:lang w:val="en-GB" w:eastAsia="hr-HR"/>
        </w:rPr>
      </w:pPr>
    </w:p>
    <w:p w:rsidR="00081940" w:rsidRPr="00FC6062" w:rsidRDefault="00081940" w:rsidP="007B069A">
      <w:pPr>
        <w:tabs>
          <w:tab w:val="left" w:pos="-720"/>
        </w:tabs>
        <w:spacing w:after="0" w:line="240" w:lineRule="auto"/>
        <w:jc w:val="both"/>
        <w:rPr>
          <w:rFonts w:cstheme="minorHAnsi"/>
          <w:spacing w:val="-3"/>
          <w:sz w:val="20"/>
          <w:szCs w:val="20"/>
          <w:lang w:val="en-GB"/>
        </w:rPr>
      </w:pPr>
    </w:p>
    <w:p w:rsidR="00C85D58" w:rsidRPr="00FC6062" w:rsidRDefault="007B6860" w:rsidP="007B069A">
      <w:pPr>
        <w:tabs>
          <w:tab w:val="left" w:pos="-720"/>
        </w:tabs>
        <w:spacing w:after="0" w:line="240" w:lineRule="auto"/>
        <w:jc w:val="both"/>
        <w:rPr>
          <w:rFonts w:cstheme="minorHAnsi"/>
          <w:sz w:val="24"/>
          <w:szCs w:val="24"/>
          <w:lang w:val="en-GB"/>
        </w:rPr>
      </w:pPr>
      <w:r w:rsidRPr="00FC6062">
        <w:rPr>
          <w:rFonts w:cstheme="minorHAnsi"/>
          <w:spacing w:val="-3"/>
          <w:sz w:val="24"/>
          <w:szCs w:val="24"/>
          <w:lang w:val="en-GB"/>
        </w:rPr>
        <w:t>In the reporting period, placement impairment net losses stood at HRK</w:t>
      </w:r>
      <w:r w:rsidR="00C85D58" w:rsidRPr="00FC6062">
        <w:rPr>
          <w:rFonts w:cstheme="minorHAnsi"/>
          <w:spacing w:val="-3"/>
          <w:sz w:val="24"/>
          <w:szCs w:val="24"/>
          <w:lang w:val="en-GB"/>
        </w:rPr>
        <w:t xml:space="preserve"> </w:t>
      </w:r>
      <w:r w:rsidR="00F87931" w:rsidRPr="00FC6062">
        <w:rPr>
          <w:rFonts w:cstheme="minorHAnsi"/>
          <w:spacing w:val="-3"/>
          <w:sz w:val="24"/>
          <w:szCs w:val="24"/>
          <w:lang w:val="en-GB"/>
        </w:rPr>
        <w:t>18</w:t>
      </w:r>
      <w:r w:rsidR="00CD4522" w:rsidRPr="00FC6062">
        <w:rPr>
          <w:rFonts w:cstheme="minorHAnsi"/>
          <w:spacing w:val="-3"/>
          <w:sz w:val="24"/>
          <w:szCs w:val="24"/>
          <w:lang w:val="en-GB"/>
        </w:rPr>
        <w:t>.</w:t>
      </w:r>
      <w:r w:rsidR="00F87931" w:rsidRPr="00FC6062">
        <w:rPr>
          <w:rFonts w:cstheme="minorHAnsi"/>
          <w:spacing w:val="-3"/>
          <w:sz w:val="24"/>
          <w:szCs w:val="24"/>
          <w:lang w:val="en-GB"/>
        </w:rPr>
        <w:t>1</w:t>
      </w:r>
      <w:r w:rsidR="00C85D58" w:rsidRPr="00FC6062">
        <w:rPr>
          <w:rFonts w:cstheme="minorHAnsi"/>
          <w:spacing w:val="-3"/>
          <w:sz w:val="24"/>
          <w:szCs w:val="24"/>
          <w:lang w:val="en-GB"/>
        </w:rPr>
        <w:t xml:space="preserve"> </w:t>
      </w:r>
      <w:r w:rsidR="00CD4522" w:rsidRPr="00FC6062">
        <w:rPr>
          <w:rFonts w:cstheme="minorHAnsi"/>
          <w:spacing w:val="-3"/>
          <w:sz w:val="24"/>
          <w:szCs w:val="24"/>
          <w:lang w:val="en-GB"/>
        </w:rPr>
        <w:t>million</w:t>
      </w:r>
      <w:r w:rsidR="009877D9">
        <w:rPr>
          <w:rFonts w:cstheme="minorHAnsi"/>
          <w:spacing w:val="-3"/>
          <w:sz w:val="24"/>
          <w:szCs w:val="24"/>
          <w:lang w:val="en-GB"/>
        </w:rPr>
        <w:t>.</w:t>
      </w:r>
      <w:r w:rsidR="004D3C83" w:rsidRPr="00FC6062">
        <w:rPr>
          <w:lang w:val="en-GB"/>
        </w:rPr>
        <w:t xml:space="preserve"> </w:t>
      </w:r>
    </w:p>
    <w:p w:rsidR="00C85D58" w:rsidRPr="00FC6062" w:rsidRDefault="00C85D58" w:rsidP="00BF17D9">
      <w:pPr>
        <w:tabs>
          <w:tab w:val="left" w:pos="-720"/>
        </w:tabs>
        <w:spacing w:after="0" w:line="240" w:lineRule="auto"/>
        <w:jc w:val="both"/>
        <w:rPr>
          <w:rFonts w:cstheme="minorHAnsi"/>
          <w:spacing w:val="-3"/>
          <w:sz w:val="20"/>
          <w:szCs w:val="20"/>
          <w:lang w:val="en-GB"/>
        </w:rPr>
      </w:pPr>
    </w:p>
    <w:p w:rsidR="00BF17D9" w:rsidRPr="00FC6062" w:rsidRDefault="007B6860" w:rsidP="00BF17D9">
      <w:pPr>
        <w:tabs>
          <w:tab w:val="left" w:pos="-720"/>
        </w:tabs>
        <w:spacing w:after="0" w:line="240" w:lineRule="auto"/>
        <w:jc w:val="both"/>
        <w:rPr>
          <w:rFonts w:cstheme="minorHAnsi"/>
          <w:spacing w:val="-3"/>
          <w:sz w:val="24"/>
          <w:szCs w:val="24"/>
          <w:lang w:val="en-GB"/>
        </w:rPr>
      </w:pPr>
      <w:r w:rsidRPr="00FC6062">
        <w:rPr>
          <w:rFonts w:cstheme="minorHAnsi"/>
          <w:spacing w:val="-3"/>
          <w:sz w:val="24"/>
          <w:szCs w:val="24"/>
          <w:lang w:val="en-GB"/>
        </w:rPr>
        <w:t>The text to follow contains a breakdown of portfolio quality</w:t>
      </w:r>
      <w:r w:rsidR="00BF17D9" w:rsidRPr="00FC6062">
        <w:rPr>
          <w:rFonts w:cstheme="minorHAnsi"/>
          <w:spacing w:val="-3"/>
          <w:sz w:val="24"/>
          <w:szCs w:val="24"/>
          <w:lang w:val="en-GB"/>
        </w:rPr>
        <w:t>:</w:t>
      </w:r>
      <w:r w:rsidR="008C05EC" w:rsidRPr="00FC6062">
        <w:rPr>
          <w:lang w:val="en-GB" w:eastAsia="hr-HR"/>
        </w:rPr>
        <w:t xml:space="preserve"> </w:t>
      </w:r>
    </w:p>
    <w:p w:rsidR="005B58C5" w:rsidRPr="00FC6062" w:rsidRDefault="005B58C5" w:rsidP="00BF17D9">
      <w:pPr>
        <w:tabs>
          <w:tab w:val="left" w:pos="-720"/>
        </w:tabs>
        <w:suppressAutoHyphens/>
        <w:spacing w:after="0" w:line="240" w:lineRule="auto"/>
        <w:jc w:val="both"/>
        <w:rPr>
          <w:lang w:val="en-GB"/>
        </w:rPr>
      </w:pPr>
    </w:p>
    <w:p w:rsidR="00A60DAD" w:rsidRPr="00FC6062" w:rsidRDefault="00A60DAD" w:rsidP="00BF17D9">
      <w:pPr>
        <w:tabs>
          <w:tab w:val="left" w:pos="-720"/>
        </w:tabs>
        <w:suppressAutoHyphens/>
        <w:spacing w:after="0" w:line="240" w:lineRule="auto"/>
        <w:jc w:val="both"/>
        <w:rPr>
          <w:lang w:val="en-GB"/>
        </w:rPr>
      </w:pPr>
    </w:p>
    <w:p w:rsidR="001564EC" w:rsidRPr="00FC6062" w:rsidRDefault="00BF17D9" w:rsidP="00BF17D9">
      <w:pPr>
        <w:tabs>
          <w:tab w:val="left" w:pos="4536"/>
        </w:tabs>
        <w:spacing w:after="0" w:line="240" w:lineRule="auto"/>
        <w:ind w:right="-285" w:hanging="284"/>
        <w:jc w:val="both"/>
        <w:rPr>
          <w:rFonts w:eastAsia="Times New Roman" w:cs="Calibri"/>
          <w:b/>
          <w:spacing w:val="-3"/>
          <w:sz w:val="24"/>
          <w:szCs w:val="24"/>
          <w:lang w:val="en-GB" w:eastAsia="hr-HR"/>
        </w:rPr>
      </w:pPr>
      <w:r w:rsidRPr="00FC6062">
        <w:rPr>
          <w:rFonts w:eastAsia="Times New Roman" w:cs="Calibri"/>
          <w:b/>
          <w:spacing w:val="-3"/>
          <w:sz w:val="24"/>
          <w:szCs w:val="24"/>
          <w:lang w:val="en-GB" w:eastAsia="hr-HR"/>
        </w:rPr>
        <w:t xml:space="preserve"> </w:t>
      </w:r>
      <w:r w:rsidR="00427C09">
        <w:rPr>
          <w:rFonts w:eastAsia="Times New Roman" w:cs="Calibri"/>
          <w:b/>
          <w:noProof/>
          <w:spacing w:val="-3"/>
          <w:sz w:val="24"/>
          <w:szCs w:val="24"/>
          <w:lang w:val="en-GB" w:eastAsia="hr-HR"/>
        </w:rPr>
        <w:drawing>
          <wp:inline distT="0" distB="0" distL="0" distR="0" wp14:anchorId="4016C4F5">
            <wp:extent cx="3001010" cy="2757539"/>
            <wp:effectExtent l="0" t="0" r="889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8880" cy="2764771"/>
                    </a:xfrm>
                    <a:prstGeom prst="rect">
                      <a:avLst/>
                    </a:prstGeom>
                    <a:noFill/>
                  </pic:spPr>
                </pic:pic>
              </a:graphicData>
            </a:graphic>
          </wp:inline>
        </w:drawing>
      </w:r>
      <w:r w:rsidRPr="00FC6062">
        <w:rPr>
          <w:rFonts w:eastAsia="Times New Roman" w:cs="Calibri"/>
          <w:b/>
          <w:spacing w:val="-3"/>
          <w:sz w:val="24"/>
          <w:szCs w:val="24"/>
          <w:lang w:val="en-GB" w:eastAsia="hr-HR"/>
        </w:rPr>
        <w:t xml:space="preserve"> </w:t>
      </w:r>
      <w:r w:rsidR="00A60DAD" w:rsidRPr="00FC6062">
        <w:rPr>
          <w:rFonts w:eastAsia="Times New Roman" w:cs="Calibri"/>
          <w:b/>
          <w:spacing w:val="-3"/>
          <w:sz w:val="24"/>
          <w:szCs w:val="24"/>
          <w:lang w:val="en-GB" w:eastAsia="hr-HR"/>
        </w:rPr>
        <w:t xml:space="preserve"> </w:t>
      </w:r>
      <w:r w:rsidR="009B4C6C" w:rsidRPr="00FC6062">
        <w:rPr>
          <w:rFonts w:eastAsia="Times New Roman" w:cs="Calibri"/>
          <w:b/>
          <w:spacing w:val="-3"/>
          <w:sz w:val="24"/>
          <w:szCs w:val="24"/>
          <w:lang w:val="en-GB" w:eastAsia="hr-HR"/>
        </w:rPr>
        <w:t xml:space="preserve"> </w:t>
      </w:r>
      <w:r w:rsidR="00977A4E">
        <w:rPr>
          <w:rFonts w:eastAsia="Times New Roman" w:cs="Calibri"/>
          <w:b/>
          <w:noProof/>
          <w:spacing w:val="-3"/>
          <w:sz w:val="24"/>
          <w:szCs w:val="24"/>
          <w:lang w:val="en-GB" w:eastAsia="hr-HR"/>
        </w:rPr>
        <w:drawing>
          <wp:inline distT="0" distB="0" distL="0" distR="0" wp14:anchorId="55758FC3">
            <wp:extent cx="2995798" cy="275760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95798" cy="2757600"/>
                    </a:xfrm>
                    <a:prstGeom prst="rect">
                      <a:avLst/>
                    </a:prstGeom>
                    <a:noFill/>
                  </pic:spPr>
                </pic:pic>
              </a:graphicData>
            </a:graphic>
          </wp:inline>
        </w:drawing>
      </w:r>
    </w:p>
    <w:p w:rsidR="00495531" w:rsidRDefault="00495531" w:rsidP="00F13DAE">
      <w:pPr>
        <w:tabs>
          <w:tab w:val="left" w:pos="4536"/>
        </w:tabs>
        <w:spacing w:after="0" w:line="240" w:lineRule="auto"/>
        <w:ind w:right="-285"/>
        <w:jc w:val="both"/>
        <w:rPr>
          <w:rFonts w:eastAsia="Times New Roman" w:cs="Calibri"/>
          <w:spacing w:val="-3"/>
          <w:sz w:val="18"/>
          <w:szCs w:val="18"/>
          <w:lang w:val="en-GB" w:eastAsia="hr-HR"/>
        </w:rPr>
      </w:pPr>
    </w:p>
    <w:p w:rsidR="004010B4" w:rsidRPr="00FC6062" w:rsidRDefault="004010B4" w:rsidP="00F13DAE">
      <w:pPr>
        <w:tabs>
          <w:tab w:val="left" w:pos="4536"/>
        </w:tabs>
        <w:spacing w:after="0" w:line="240" w:lineRule="auto"/>
        <w:ind w:right="-285"/>
        <w:jc w:val="both"/>
        <w:rPr>
          <w:rFonts w:eastAsia="Times New Roman" w:cs="Calibri"/>
          <w:spacing w:val="-3"/>
          <w:sz w:val="18"/>
          <w:szCs w:val="18"/>
          <w:lang w:val="en-GB" w:eastAsia="hr-HR"/>
        </w:rPr>
      </w:pPr>
    </w:p>
    <w:p w:rsidR="00F13DAE" w:rsidRPr="00FC6062"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FC6062">
          <w:footerReference w:type="default" r:id="rId35"/>
          <w:pgSz w:w="11906" w:h="16838"/>
          <w:pgMar w:top="1417" w:right="1417" w:bottom="1417" w:left="1417" w:header="708" w:footer="708" w:gutter="0"/>
          <w:cols w:space="708"/>
          <w:docGrid w:linePitch="360"/>
        </w:sectPr>
      </w:pPr>
    </w:p>
    <w:p w:rsidR="00BF17D9" w:rsidRPr="00FC6062"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34"/>
        <w:gridCol w:w="2009"/>
        <w:gridCol w:w="1512"/>
        <w:gridCol w:w="1898"/>
        <w:gridCol w:w="1670"/>
      </w:tblGrid>
      <w:tr w:rsidR="00BF17D9" w:rsidRPr="00FC6062" w:rsidTr="007B069A">
        <w:trPr>
          <w:trHeight w:val="420"/>
        </w:trPr>
        <w:tc>
          <w:tcPr>
            <w:tcW w:w="2834" w:type="dxa"/>
            <w:shd w:val="clear" w:color="auto" w:fill="auto"/>
            <w:vAlign w:val="center"/>
            <w:hideMark/>
          </w:tcPr>
          <w:p w:rsidR="00BF17D9" w:rsidRPr="00FC6062" w:rsidRDefault="00BF17D9" w:rsidP="00417B56">
            <w:pPr>
              <w:spacing w:after="0" w:line="240" w:lineRule="auto"/>
              <w:rPr>
                <w:rFonts w:ascii="Times New Roman" w:eastAsia="Times New Roman" w:hAnsi="Times New Roman" w:cs="Times New Roman"/>
                <w:sz w:val="24"/>
                <w:szCs w:val="24"/>
                <w:lang w:val="en-GB" w:eastAsia="hr-HR"/>
              </w:rPr>
            </w:pPr>
          </w:p>
        </w:tc>
        <w:tc>
          <w:tcPr>
            <w:tcW w:w="3521" w:type="dxa"/>
            <w:gridSpan w:val="2"/>
            <w:shd w:val="clear" w:color="auto" w:fill="auto"/>
            <w:vAlign w:val="center"/>
            <w:hideMark/>
          </w:tcPr>
          <w:p w:rsidR="00BF17D9" w:rsidRPr="00FC6062" w:rsidRDefault="00BF17D9" w:rsidP="00417B56">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31</w:t>
            </w:r>
            <w:r w:rsidR="00405D91" w:rsidRPr="00FC6062">
              <w:rPr>
                <w:rFonts w:ascii="Calibri" w:eastAsia="Times New Roman" w:hAnsi="Calibri" w:cs="Times New Roman"/>
                <w:b/>
                <w:bCs/>
                <w:color w:val="000000"/>
                <w:lang w:val="en-GB" w:eastAsia="hr-HR"/>
              </w:rPr>
              <w:t xml:space="preserve"> December </w:t>
            </w:r>
            <w:r w:rsidR="00FC3544" w:rsidRPr="00FC6062">
              <w:rPr>
                <w:rFonts w:ascii="Calibri" w:eastAsia="Times New Roman" w:hAnsi="Calibri" w:cs="Times New Roman"/>
                <w:b/>
                <w:bCs/>
                <w:color w:val="000000"/>
                <w:lang w:val="en-GB" w:eastAsia="hr-HR"/>
              </w:rPr>
              <w:t>2018</w:t>
            </w:r>
          </w:p>
        </w:tc>
        <w:tc>
          <w:tcPr>
            <w:tcW w:w="3568" w:type="dxa"/>
            <w:gridSpan w:val="2"/>
            <w:shd w:val="clear" w:color="auto" w:fill="auto"/>
            <w:vAlign w:val="center"/>
            <w:hideMark/>
          </w:tcPr>
          <w:p w:rsidR="00BF17D9" w:rsidRPr="00FC6062" w:rsidRDefault="000F54DB">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30</w:t>
            </w:r>
            <w:r w:rsidR="00405D91" w:rsidRPr="00FC6062">
              <w:rPr>
                <w:rFonts w:ascii="Calibri" w:eastAsia="Times New Roman" w:hAnsi="Calibri" w:cs="Times New Roman"/>
                <w:b/>
                <w:bCs/>
                <w:color w:val="000000"/>
                <w:lang w:val="en-GB" w:eastAsia="hr-HR"/>
              </w:rPr>
              <w:t xml:space="preserve"> September </w:t>
            </w:r>
            <w:r w:rsidR="00FC3544" w:rsidRPr="00FC6062">
              <w:rPr>
                <w:rFonts w:ascii="Calibri" w:eastAsia="Times New Roman" w:hAnsi="Calibri" w:cs="Times New Roman"/>
                <w:b/>
                <w:bCs/>
                <w:color w:val="000000"/>
                <w:lang w:val="en-GB" w:eastAsia="hr-HR"/>
              </w:rPr>
              <w:t>2019</w:t>
            </w:r>
          </w:p>
        </w:tc>
      </w:tr>
      <w:tr w:rsidR="00BF17D9" w:rsidRPr="00FC6062" w:rsidTr="007B069A">
        <w:trPr>
          <w:trHeight w:val="873"/>
        </w:trPr>
        <w:tc>
          <w:tcPr>
            <w:tcW w:w="2834" w:type="dxa"/>
            <w:shd w:val="clear" w:color="auto" w:fill="auto"/>
            <w:vAlign w:val="center"/>
            <w:hideMark/>
          </w:tcPr>
          <w:p w:rsidR="00BF17D9" w:rsidRPr="00FC6062" w:rsidRDefault="00BF17D9" w:rsidP="00417B56">
            <w:pPr>
              <w:spacing w:after="0" w:line="240" w:lineRule="auto"/>
              <w:jc w:val="center"/>
              <w:rPr>
                <w:rFonts w:ascii="Calibri" w:eastAsia="Times New Roman" w:hAnsi="Calibri" w:cs="Times New Roman"/>
                <w:b/>
                <w:bCs/>
                <w:color w:val="000000"/>
                <w:lang w:val="en-GB" w:eastAsia="hr-HR"/>
              </w:rPr>
            </w:pPr>
          </w:p>
        </w:tc>
        <w:tc>
          <w:tcPr>
            <w:tcW w:w="2009" w:type="dxa"/>
            <w:shd w:val="clear" w:color="auto" w:fill="auto"/>
            <w:vAlign w:val="center"/>
            <w:hideMark/>
          </w:tcPr>
          <w:p w:rsidR="00BF17D9" w:rsidRPr="00FC6062" w:rsidRDefault="00405D91" w:rsidP="00417B56">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rsidR="00BF17D9" w:rsidRPr="00FC6062" w:rsidRDefault="00405D91" w:rsidP="00417B56">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 xml:space="preserve">Breakdown </w:t>
            </w:r>
          </w:p>
          <w:p w:rsidR="00BF17D9" w:rsidRPr="00FC6062" w:rsidRDefault="00BF17D9" w:rsidP="00417B56">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w:t>
            </w:r>
            <w:r w:rsidR="00B7101B" w:rsidRPr="00FC6062">
              <w:rPr>
                <w:rFonts w:ascii="Calibri" w:eastAsia="Times New Roman" w:hAnsi="Calibri" w:cs="Times New Roman"/>
                <w:b/>
                <w:bCs/>
                <w:color w:val="000000"/>
                <w:lang w:val="en-GB" w:eastAsia="hr-HR"/>
              </w:rPr>
              <w:t>p</w:t>
            </w:r>
            <w:r w:rsidR="00405D91" w:rsidRPr="00FC6062">
              <w:rPr>
                <w:rFonts w:ascii="Calibri" w:eastAsia="Times New Roman" w:hAnsi="Calibri" w:cs="Times New Roman"/>
                <w:b/>
                <w:bCs/>
                <w:color w:val="000000"/>
                <w:lang w:val="en-GB" w:eastAsia="hr-HR"/>
              </w:rPr>
              <w:t>ercent</w:t>
            </w:r>
            <w:r w:rsidRPr="00FC6062">
              <w:rPr>
                <w:rFonts w:ascii="Calibri" w:eastAsia="Times New Roman" w:hAnsi="Calibri" w:cs="Times New Roman"/>
                <w:b/>
                <w:bCs/>
                <w:color w:val="000000"/>
                <w:lang w:val="en-GB" w:eastAsia="hr-HR"/>
              </w:rPr>
              <w:t>)</w:t>
            </w:r>
          </w:p>
        </w:tc>
        <w:tc>
          <w:tcPr>
            <w:tcW w:w="1898" w:type="dxa"/>
            <w:shd w:val="clear" w:color="auto" w:fill="auto"/>
            <w:vAlign w:val="center"/>
            <w:hideMark/>
          </w:tcPr>
          <w:p w:rsidR="00BF17D9" w:rsidRPr="00FC6062" w:rsidRDefault="00405D91" w:rsidP="00417B56">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In HRK millions</w:t>
            </w:r>
          </w:p>
        </w:tc>
        <w:tc>
          <w:tcPr>
            <w:tcW w:w="1670" w:type="dxa"/>
            <w:shd w:val="clear" w:color="auto" w:fill="auto"/>
            <w:vAlign w:val="center"/>
            <w:hideMark/>
          </w:tcPr>
          <w:p w:rsidR="00BF17D9" w:rsidRPr="00FC6062" w:rsidRDefault="00405D91" w:rsidP="00405D91">
            <w:pPr>
              <w:spacing w:after="0" w:line="240" w:lineRule="auto"/>
              <w:jc w:val="center"/>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 xml:space="preserve">Breakdown </w:t>
            </w:r>
            <w:r w:rsidR="00BF17D9" w:rsidRPr="00FC6062">
              <w:rPr>
                <w:rFonts w:ascii="Calibri" w:eastAsia="Times New Roman" w:hAnsi="Calibri" w:cs="Times New Roman"/>
                <w:b/>
                <w:bCs/>
                <w:color w:val="000000"/>
                <w:lang w:val="en-GB" w:eastAsia="hr-HR"/>
              </w:rPr>
              <w:t>(</w:t>
            </w:r>
            <w:r w:rsidR="00B7101B" w:rsidRPr="00FC6062">
              <w:rPr>
                <w:rFonts w:ascii="Calibri" w:eastAsia="Times New Roman" w:hAnsi="Calibri" w:cs="Times New Roman"/>
                <w:b/>
                <w:bCs/>
                <w:color w:val="000000"/>
                <w:lang w:val="en-GB" w:eastAsia="hr-HR"/>
              </w:rPr>
              <w:t>p</w:t>
            </w:r>
            <w:r w:rsidRPr="00FC6062">
              <w:rPr>
                <w:rFonts w:ascii="Calibri" w:eastAsia="Times New Roman" w:hAnsi="Calibri" w:cs="Times New Roman"/>
                <w:b/>
                <w:bCs/>
                <w:color w:val="000000"/>
                <w:lang w:val="en-GB" w:eastAsia="hr-HR"/>
              </w:rPr>
              <w:t>ercent</w:t>
            </w:r>
            <w:r w:rsidR="00BF17D9" w:rsidRPr="00FC6062">
              <w:rPr>
                <w:rFonts w:ascii="Calibri" w:eastAsia="Times New Roman" w:hAnsi="Calibri" w:cs="Times New Roman"/>
                <w:b/>
                <w:bCs/>
                <w:color w:val="000000"/>
                <w:lang w:val="en-GB" w:eastAsia="hr-HR"/>
              </w:rPr>
              <w:t>)</w:t>
            </w:r>
          </w:p>
        </w:tc>
      </w:tr>
      <w:tr w:rsidR="007F60A8" w:rsidRPr="00FC6062" w:rsidTr="00B305E7">
        <w:trPr>
          <w:trHeight w:val="411"/>
        </w:trPr>
        <w:tc>
          <w:tcPr>
            <w:tcW w:w="2834" w:type="dxa"/>
            <w:shd w:val="clear" w:color="auto" w:fill="auto"/>
            <w:vAlign w:val="bottom"/>
            <w:hideMark/>
          </w:tcPr>
          <w:p w:rsidR="007F60A8" w:rsidRPr="00FC6062" w:rsidRDefault="00405D91" w:rsidP="007F60A8">
            <w:pPr>
              <w:spacing w:after="0" w:line="240" w:lineRule="auto"/>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 xml:space="preserve">Total gross </w:t>
            </w:r>
            <w:r w:rsidR="007F60A8" w:rsidRPr="00FC6062">
              <w:rPr>
                <w:rFonts w:ascii="Calibri" w:eastAsia="Times New Roman" w:hAnsi="Calibri" w:cs="Times New Roman"/>
                <w:b/>
                <w:bCs/>
                <w:color w:val="000000"/>
                <w:lang w:val="en-GB" w:eastAsia="hr-HR"/>
              </w:rPr>
              <w:t>portf</w:t>
            </w:r>
            <w:r w:rsidRPr="00FC6062">
              <w:rPr>
                <w:rFonts w:ascii="Calibri" w:eastAsia="Times New Roman" w:hAnsi="Calibri" w:cs="Times New Roman"/>
                <w:b/>
                <w:bCs/>
                <w:color w:val="000000"/>
                <w:lang w:val="en-GB" w:eastAsia="hr-HR"/>
              </w:rPr>
              <w:t>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FC6062" w:rsidRDefault="00FC3544" w:rsidP="005014DC">
            <w:pPr>
              <w:spacing w:after="0" w:line="240" w:lineRule="auto"/>
              <w:jc w:val="center"/>
              <w:rPr>
                <w:rFonts w:ascii="Calibri" w:eastAsia="Times New Roman" w:hAnsi="Calibri" w:cs="Times New Roman"/>
                <w:b/>
                <w:bCs/>
                <w:color w:val="000000"/>
                <w:lang w:val="en-GB" w:eastAsia="hr-HR"/>
              </w:rPr>
            </w:pPr>
            <w:r w:rsidRPr="00FC6062">
              <w:rPr>
                <w:b/>
                <w:bCs/>
                <w:color w:val="000000"/>
                <w:lang w:val="en-GB"/>
              </w:rPr>
              <w:t>35</w:t>
            </w:r>
            <w:r w:rsidR="00405D91" w:rsidRPr="00FC6062">
              <w:rPr>
                <w:b/>
                <w:bCs/>
                <w:color w:val="000000"/>
                <w:lang w:val="en-GB"/>
              </w:rPr>
              <w:t>,</w:t>
            </w:r>
            <w:r w:rsidRPr="00FC6062">
              <w:rPr>
                <w:b/>
                <w:bCs/>
                <w:color w:val="000000"/>
                <w:lang w:val="en-GB"/>
              </w:rPr>
              <w:t>808</w:t>
            </w:r>
            <w:r w:rsidR="00405D91" w:rsidRPr="00FC6062">
              <w:rPr>
                <w:b/>
                <w:bCs/>
                <w:color w:val="000000"/>
                <w:lang w:val="en-GB"/>
              </w:rPr>
              <w:t>.</w:t>
            </w:r>
            <w:r w:rsidRPr="00FC6062">
              <w:rPr>
                <w:b/>
                <w:bCs/>
                <w:color w:val="000000"/>
                <w:lang w:val="en-GB"/>
              </w:rPr>
              <w:t>1</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FC6062" w:rsidRDefault="007F60A8" w:rsidP="007F60A8">
            <w:pPr>
              <w:spacing w:after="0" w:line="240" w:lineRule="auto"/>
              <w:jc w:val="center"/>
              <w:rPr>
                <w:rFonts w:ascii="Calibri" w:eastAsia="Times New Roman" w:hAnsi="Calibri" w:cs="Times New Roman"/>
                <w:b/>
                <w:bCs/>
                <w:color w:val="000000"/>
                <w:lang w:val="en-GB" w:eastAsia="hr-HR"/>
              </w:rPr>
            </w:pPr>
            <w:r w:rsidRPr="00FC6062">
              <w:rPr>
                <w:b/>
                <w:bCs/>
                <w:color w:val="000000"/>
                <w:lang w:val="en-GB"/>
              </w:rPr>
              <w:t>100</w:t>
            </w:r>
            <w:r w:rsidR="00405D91" w:rsidRPr="00FC6062">
              <w:rPr>
                <w:b/>
                <w:bCs/>
                <w:color w:val="000000"/>
                <w:lang w:val="en-GB"/>
              </w:rPr>
              <w:t>.</w:t>
            </w:r>
            <w:r w:rsidRPr="00FC6062">
              <w:rPr>
                <w:b/>
                <w:bCs/>
                <w:color w:val="000000"/>
                <w:lang w:val="en-GB"/>
              </w:rPr>
              <w:t>00</w:t>
            </w:r>
          </w:p>
        </w:tc>
        <w:tc>
          <w:tcPr>
            <w:tcW w:w="1898" w:type="dxa"/>
            <w:shd w:val="clear" w:color="auto" w:fill="auto"/>
            <w:vAlign w:val="bottom"/>
          </w:tcPr>
          <w:p w:rsidR="007F60A8" w:rsidRPr="00FC6062" w:rsidRDefault="00F87931" w:rsidP="00FA78FA">
            <w:pPr>
              <w:spacing w:after="0" w:line="240" w:lineRule="auto"/>
              <w:jc w:val="center"/>
              <w:rPr>
                <w:b/>
                <w:bCs/>
                <w:color w:val="000000"/>
                <w:lang w:val="en-GB"/>
              </w:rPr>
            </w:pPr>
            <w:r w:rsidRPr="00FC6062">
              <w:rPr>
                <w:b/>
                <w:bCs/>
                <w:color w:val="000000"/>
                <w:lang w:val="en-GB"/>
              </w:rPr>
              <w:t>34</w:t>
            </w:r>
            <w:r w:rsidR="00405D91" w:rsidRPr="00FC6062">
              <w:rPr>
                <w:b/>
                <w:bCs/>
                <w:color w:val="000000"/>
                <w:lang w:val="en-GB"/>
              </w:rPr>
              <w:t>,</w:t>
            </w:r>
            <w:r w:rsidRPr="00FC6062">
              <w:rPr>
                <w:b/>
                <w:bCs/>
                <w:color w:val="000000"/>
                <w:lang w:val="en-GB"/>
              </w:rPr>
              <w:t>242</w:t>
            </w:r>
            <w:r w:rsidR="00405D91" w:rsidRPr="00FC6062">
              <w:rPr>
                <w:b/>
                <w:bCs/>
                <w:color w:val="000000"/>
                <w:lang w:val="en-GB"/>
              </w:rPr>
              <w:t>.</w:t>
            </w:r>
            <w:r w:rsidRPr="00FC6062">
              <w:rPr>
                <w:b/>
                <w:bCs/>
                <w:color w:val="000000"/>
                <w:lang w:val="en-GB"/>
              </w:rPr>
              <w:t>4</w:t>
            </w:r>
          </w:p>
        </w:tc>
        <w:tc>
          <w:tcPr>
            <w:tcW w:w="1670" w:type="dxa"/>
            <w:shd w:val="clear" w:color="auto" w:fill="auto"/>
            <w:vAlign w:val="bottom"/>
          </w:tcPr>
          <w:p w:rsidR="007F60A8" w:rsidRPr="00FC6062" w:rsidRDefault="007F60A8" w:rsidP="000E4ABB">
            <w:pPr>
              <w:spacing w:after="0" w:line="240" w:lineRule="auto"/>
              <w:jc w:val="center"/>
              <w:rPr>
                <w:b/>
                <w:bCs/>
                <w:color w:val="000000"/>
                <w:lang w:val="en-GB"/>
              </w:rPr>
            </w:pPr>
            <w:r w:rsidRPr="00FC6062">
              <w:rPr>
                <w:b/>
                <w:bCs/>
                <w:color w:val="000000"/>
                <w:lang w:val="en-GB"/>
              </w:rPr>
              <w:t>100</w:t>
            </w:r>
            <w:r w:rsidR="00405D91" w:rsidRPr="00FC6062">
              <w:rPr>
                <w:b/>
                <w:bCs/>
                <w:color w:val="000000"/>
                <w:lang w:val="en-GB"/>
              </w:rPr>
              <w:t>.</w:t>
            </w:r>
            <w:r w:rsidRPr="00FC6062">
              <w:rPr>
                <w:b/>
                <w:bCs/>
                <w:color w:val="000000"/>
                <w:lang w:val="en-GB"/>
              </w:rPr>
              <w:t>00</w:t>
            </w:r>
          </w:p>
        </w:tc>
      </w:tr>
      <w:tr w:rsidR="007F60A8" w:rsidRPr="00FC6062" w:rsidTr="007B069A">
        <w:trPr>
          <w:trHeight w:val="246"/>
        </w:trPr>
        <w:tc>
          <w:tcPr>
            <w:tcW w:w="2834" w:type="dxa"/>
            <w:shd w:val="clear" w:color="auto" w:fill="auto"/>
            <w:vAlign w:val="bottom"/>
            <w:hideMark/>
          </w:tcPr>
          <w:p w:rsidR="007F60A8" w:rsidRPr="00FC6062" w:rsidRDefault="007F60A8" w:rsidP="007F60A8">
            <w:pPr>
              <w:spacing w:after="0" w:line="240" w:lineRule="auto"/>
              <w:rPr>
                <w:rFonts w:ascii="Calibri" w:eastAsia="Times New Roman" w:hAnsi="Calibri" w:cs="Times New Roman"/>
                <w:color w:val="000000"/>
                <w:lang w:val="en-GB" w:eastAsia="hr-HR"/>
              </w:rPr>
            </w:pPr>
            <w:r w:rsidRPr="00FC6062">
              <w:rPr>
                <w:rFonts w:ascii="Calibri" w:eastAsia="Times New Roman" w:hAnsi="Calibri" w:cs="Times New Roman"/>
                <w:color w:val="000000"/>
                <w:lang w:val="en-GB" w:eastAsia="hr-HR"/>
              </w:rPr>
              <w:t xml:space="preserve"> O</w:t>
            </w:r>
            <w:r w:rsidR="00405D91" w:rsidRPr="00FC6062">
              <w:rPr>
                <w:rFonts w:ascii="Calibri" w:eastAsia="Times New Roman" w:hAnsi="Calibri" w:cs="Times New Roman"/>
                <w:color w:val="000000"/>
                <w:lang w:val="en-GB" w:eastAsia="hr-HR"/>
              </w:rPr>
              <w:t>f which</w:t>
            </w:r>
            <w:r w:rsidRPr="00FC6062">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FC6062" w:rsidRDefault="007F60A8" w:rsidP="007F60A8">
            <w:pPr>
              <w:spacing w:after="0" w:line="240" w:lineRule="auto"/>
              <w:jc w:val="center"/>
              <w:rPr>
                <w:b/>
                <w:bCs/>
                <w:color w:val="000000"/>
                <w:lang w:val="en-GB"/>
              </w:rPr>
            </w:pPr>
          </w:p>
        </w:tc>
        <w:tc>
          <w:tcPr>
            <w:tcW w:w="1670" w:type="dxa"/>
            <w:shd w:val="clear" w:color="auto" w:fill="auto"/>
            <w:vAlign w:val="bottom"/>
          </w:tcPr>
          <w:p w:rsidR="007F60A8" w:rsidRPr="00FC6062" w:rsidRDefault="007F60A8" w:rsidP="007F60A8">
            <w:pPr>
              <w:spacing w:after="0" w:line="240" w:lineRule="auto"/>
              <w:jc w:val="center"/>
              <w:rPr>
                <w:b/>
                <w:bCs/>
                <w:color w:val="000000"/>
                <w:lang w:val="en-GB"/>
              </w:rPr>
            </w:pPr>
          </w:p>
        </w:tc>
      </w:tr>
      <w:tr w:rsidR="007F60A8" w:rsidRPr="00FC6062" w:rsidTr="007B069A">
        <w:trPr>
          <w:trHeight w:val="246"/>
        </w:trPr>
        <w:tc>
          <w:tcPr>
            <w:tcW w:w="2834" w:type="dxa"/>
            <w:shd w:val="clear" w:color="auto" w:fill="auto"/>
            <w:vAlign w:val="bottom"/>
            <w:hideMark/>
          </w:tcPr>
          <w:p w:rsidR="007F60A8" w:rsidRPr="00FC6062" w:rsidRDefault="007F60A8" w:rsidP="007F60A8">
            <w:pPr>
              <w:spacing w:after="0" w:line="240" w:lineRule="auto"/>
              <w:rPr>
                <w:rFonts w:ascii="Calibri" w:eastAsia="Times New Roman" w:hAnsi="Calibri" w:cs="Times New Roman"/>
                <w:color w:val="000000"/>
                <w:lang w:val="en-GB" w:eastAsia="hr-HR"/>
              </w:rPr>
            </w:pPr>
            <w:r w:rsidRPr="00FC6062">
              <w:rPr>
                <w:rFonts w:ascii="Calibri" w:eastAsia="Times New Roman" w:hAnsi="Calibri" w:cs="Times New Roman"/>
                <w:color w:val="000000"/>
                <w:lang w:val="en-GB" w:eastAsia="hr-HR"/>
              </w:rPr>
              <w:t xml:space="preserve">    - financi</w:t>
            </w:r>
            <w:r w:rsidR="00405D91" w:rsidRPr="00FC6062">
              <w:rPr>
                <w:rFonts w:ascii="Calibri" w:eastAsia="Times New Roman" w:hAnsi="Calibri" w:cs="Times New Roman"/>
                <w:color w:val="000000"/>
                <w:lang w:val="en-GB" w:eastAsia="hr-HR"/>
              </w:rPr>
              <w:t xml:space="preserve">al </w:t>
            </w:r>
            <w:r w:rsidRPr="00FC6062">
              <w:rPr>
                <w:rFonts w:ascii="Calibri" w:eastAsia="Times New Roman" w:hAnsi="Calibri" w:cs="Times New Roman"/>
                <w:color w:val="000000"/>
                <w:lang w:val="en-GB" w:eastAsia="hr-HR"/>
              </w:rPr>
              <w:t>institu</w:t>
            </w:r>
            <w:r w:rsidR="00405D91" w:rsidRPr="00FC6062">
              <w:rPr>
                <w:rFonts w:ascii="Calibri" w:eastAsia="Times New Roman" w:hAnsi="Calibri" w:cs="Times New Roman"/>
                <w:color w:val="000000"/>
                <w:lang w:val="en-GB" w:eastAsia="hr-HR"/>
              </w:rPr>
              <w:t>t</w:t>
            </w:r>
            <w:r w:rsidRPr="00FC6062">
              <w:rPr>
                <w:rFonts w:ascii="Calibri" w:eastAsia="Times New Roman" w:hAnsi="Calibri" w:cs="Times New Roman"/>
                <w:color w:val="000000"/>
                <w:lang w:val="en-GB" w:eastAsia="hr-HR"/>
              </w:rPr>
              <w:t>i</w:t>
            </w:r>
            <w:r w:rsidR="00405D91" w:rsidRPr="00FC6062">
              <w:rPr>
                <w:rFonts w:ascii="Calibri" w:eastAsia="Times New Roman" w:hAnsi="Calibri" w:cs="Times New Roman"/>
                <w:color w:val="000000"/>
                <w:lang w:val="en-GB" w:eastAsia="hr-HR"/>
              </w:rPr>
              <w:t>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13</w:t>
            </w:r>
            <w:r w:rsidR="00405D91" w:rsidRPr="00FC6062">
              <w:rPr>
                <w:color w:val="000000"/>
                <w:lang w:val="en-GB"/>
              </w:rPr>
              <w:t>,</w:t>
            </w:r>
            <w:r w:rsidRPr="00FC6062">
              <w:rPr>
                <w:color w:val="000000"/>
                <w:lang w:val="en-GB"/>
              </w:rPr>
              <w:t>194</w:t>
            </w:r>
            <w:r w:rsidR="00405D91" w:rsidRPr="00FC6062">
              <w:rPr>
                <w:color w:val="000000"/>
                <w:lang w:val="en-GB"/>
              </w:rPr>
              <w:t>.</w:t>
            </w:r>
            <w:r w:rsidRPr="00FC6062">
              <w:rPr>
                <w:color w:val="000000"/>
                <w:lang w:val="en-GB"/>
              </w:rPr>
              <w:t>5</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36</w:t>
            </w:r>
            <w:r w:rsidR="00405D91" w:rsidRPr="00FC6062">
              <w:rPr>
                <w:color w:val="000000"/>
                <w:lang w:val="en-GB"/>
              </w:rPr>
              <w:t>.</w:t>
            </w:r>
            <w:r w:rsidRPr="00FC6062">
              <w:rPr>
                <w:color w:val="000000"/>
                <w:lang w:val="en-GB"/>
              </w:rPr>
              <w:t>8</w:t>
            </w:r>
          </w:p>
        </w:tc>
        <w:tc>
          <w:tcPr>
            <w:tcW w:w="1898" w:type="dxa"/>
            <w:shd w:val="clear" w:color="auto" w:fill="auto"/>
            <w:vAlign w:val="bottom"/>
          </w:tcPr>
          <w:p w:rsidR="007F60A8" w:rsidRPr="00FC6062" w:rsidRDefault="00201768" w:rsidP="007F60A8">
            <w:pPr>
              <w:spacing w:after="0" w:line="240" w:lineRule="auto"/>
              <w:jc w:val="center"/>
              <w:rPr>
                <w:bCs/>
                <w:color w:val="000000"/>
                <w:lang w:val="en-GB"/>
              </w:rPr>
            </w:pPr>
            <w:r w:rsidRPr="00FC6062">
              <w:rPr>
                <w:bCs/>
                <w:color w:val="000000"/>
                <w:lang w:val="en-GB"/>
              </w:rPr>
              <w:t>13</w:t>
            </w:r>
            <w:r w:rsidR="00405D91" w:rsidRPr="00FC6062">
              <w:rPr>
                <w:bCs/>
                <w:color w:val="000000"/>
                <w:lang w:val="en-GB"/>
              </w:rPr>
              <w:t>,</w:t>
            </w:r>
            <w:r w:rsidR="00F87931" w:rsidRPr="00FC6062">
              <w:rPr>
                <w:bCs/>
                <w:color w:val="000000"/>
                <w:lang w:val="en-GB"/>
              </w:rPr>
              <w:t>541</w:t>
            </w:r>
            <w:r w:rsidR="00405D91" w:rsidRPr="00FC6062">
              <w:rPr>
                <w:bCs/>
                <w:color w:val="000000"/>
                <w:lang w:val="en-GB"/>
              </w:rPr>
              <w:t>.</w:t>
            </w:r>
            <w:r w:rsidR="00F87931" w:rsidRPr="00FC6062">
              <w:rPr>
                <w:bCs/>
                <w:color w:val="000000"/>
                <w:lang w:val="en-GB"/>
              </w:rPr>
              <w:t>1</w:t>
            </w:r>
          </w:p>
        </w:tc>
        <w:tc>
          <w:tcPr>
            <w:tcW w:w="1670" w:type="dxa"/>
            <w:shd w:val="clear" w:color="auto" w:fill="auto"/>
            <w:vAlign w:val="bottom"/>
          </w:tcPr>
          <w:p w:rsidR="007F60A8" w:rsidRPr="00FC6062" w:rsidRDefault="00201768" w:rsidP="007F60A8">
            <w:pPr>
              <w:spacing w:after="0" w:line="240" w:lineRule="auto"/>
              <w:jc w:val="center"/>
              <w:rPr>
                <w:color w:val="000000"/>
                <w:lang w:val="en-GB"/>
              </w:rPr>
            </w:pPr>
            <w:r w:rsidRPr="00FC6062">
              <w:rPr>
                <w:color w:val="000000"/>
                <w:lang w:val="en-GB"/>
              </w:rPr>
              <w:t>39</w:t>
            </w:r>
            <w:r w:rsidR="00405D91" w:rsidRPr="00FC6062">
              <w:rPr>
                <w:color w:val="000000"/>
                <w:lang w:val="en-GB"/>
              </w:rPr>
              <w:t>.</w:t>
            </w:r>
            <w:r w:rsidR="00F87931" w:rsidRPr="00FC6062">
              <w:rPr>
                <w:color w:val="000000"/>
                <w:lang w:val="en-GB"/>
              </w:rPr>
              <w:t>5</w:t>
            </w:r>
          </w:p>
        </w:tc>
      </w:tr>
      <w:tr w:rsidR="007F60A8" w:rsidRPr="00FC6062" w:rsidTr="007B069A">
        <w:trPr>
          <w:trHeight w:val="205"/>
        </w:trPr>
        <w:tc>
          <w:tcPr>
            <w:tcW w:w="2834" w:type="dxa"/>
            <w:shd w:val="clear" w:color="auto" w:fill="auto"/>
            <w:vAlign w:val="bottom"/>
            <w:hideMark/>
          </w:tcPr>
          <w:p w:rsidR="007F60A8" w:rsidRPr="00FC6062" w:rsidRDefault="007F60A8" w:rsidP="007F60A8">
            <w:pPr>
              <w:spacing w:after="0" w:line="240" w:lineRule="auto"/>
              <w:rPr>
                <w:rFonts w:ascii="Calibri" w:eastAsia="Times New Roman" w:hAnsi="Calibri" w:cs="Times New Roman"/>
                <w:color w:val="000000"/>
                <w:lang w:val="en-GB" w:eastAsia="hr-HR"/>
              </w:rPr>
            </w:pPr>
            <w:r w:rsidRPr="00FC6062">
              <w:rPr>
                <w:rFonts w:ascii="Calibri" w:eastAsia="Times New Roman" w:hAnsi="Calibri" w:cs="Times New Roman"/>
                <w:color w:val="000000"/>
                <w:lang w:val="en-GB" w:eastAsia="hr-HR"/>
              </w:rPr>
              <w:t xml:space="preserve">    - dire</w:t>
            </w:r>
            <w:r w:rsidR="00405D91" w:rsidRPr="00FC6062">
              <w:rPr>
                <w:rFonts w:ascii="Calibri" w:eastAsia="Times New Roman" w:hAnsi="Calibri" w:cs="Times New Roman"/>
                <w:color w:val="000000"/>
                <w:lang w:val="en-GB" w:eastAsia="hr-HR"/>
              </w:rPr>
              <w:t>c</w:t>
            </w:r>
            <w:r w:rsidRPr="00FC6062">
              <w:rPr>
                <w:rFonts w:ascii="Calibri" w:eastAsia="Times New Roman" w:hAnsi="Calibri" w:cs="Times New Roman"/>
                <w:color w:val="000000"/>
                <w:lang w:val="en-GB" w:eastAsia="hr-HR"/>
              </w:rPr>
              <w:t>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22</w:t>
            </w:r>
            <w:r w:rsidR="00405D91" w:rsidRPr="00FC6062">
              <w:rPr>
                <w:color w:val="000000"/>
                <w:lang w:val="en-GB"/>
              </w:rPr>
              <w:t>,</w:t>
            </w:r>
            <w:r w:rsidRPr="00FC6062">
              <w:rPr>
                <w:color w:val="000000"/>
                <w:lang w:val="en-GB"/>
              </w:rPr>
              <w:t>613</w:t>
            </w:r>
            <w:r w:rsidR="00405D91" w:rsidRPr="00FC6062">
              <w:rPr>
                <w:color w:val="000000"/>
                <w:lang w:val="en-GB"/>
              </w:rPr>
              <w:t>.</w:t>
            </w:r>
            <w:r w:rsidRPr="00FC6062">
              <w:rPr>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63</w:t>
            </w:r>
            <w:r w:rsidR="00405D91" w:rsidRPr="00FC6062">
              <w:rPr>
                <w:color w:val="000000"/>
                <w:lang w:val="en-GB"/>
              </w:rPr>
              <w:t>.</w:t>
            </w:r>
            <w:r w:rsidRPr="00FC6062">
              <w:rPr>
                <w:color w:val="000000"/>
                <w:lang w:val="en-GB"/>
              </w:rPr>
              <w:t>2</w:t>
            </w:r>
          </w:p>
        </w:tc>
        <w:tc>
          <w:tcPr>
            <w:tcW w:w="1898" w:type="dxa"/>
            <w:shd w:val="clear" w:color="auto" w:fill="auto"/>
            <w:vAlign w:val="bottom"/>
          </w:tcPr>
          <w:p w:rsidR="007F60A8" w:rsidRPr="00FC6062" w:rsidRDefault="00F87931">
            <w:pPr>
              <w:spacing w:after="0" w:line="240" w:lineRule="auto"/>
              <w:jc w:val="center"/>
              <w:rPr>
                <w:bCs/>
                <w:color w:val="000000"/>
                <w:lang w:val="en-GB"/>
              </w:rPr>
            </w:pPr>
            <w:r w:rsidRPr="00FC6062">
              <w:rPr>
                <w:bCs/>
                <w:color w:val="000000"/>
                <w:lang w:val="en-GB"/>
              </w:rPr>
              <w:t>20</w:t>
            </w:r>
            <w:r w:rsidR="00405D91" w:rsidRPr="00FC6062">
              <w:rPr>
                <w:bCs/>
                <w:color w:val="000000"/>
                <w:lang w:val="en-GB"/>
              </w:rPr>
              <w:t>,</w:t>
            </w:r>
            <w:r w:rsidRPr="00FC6062">
              <w:rPr>
                <w:bCs/>
                <w:color w:val="000000"/>
                <w:lang w:val="en-GB"/>
              </w:rPr>
              <w:t>701</w:t>
            </w:r>
            <w:r w:rsidR="00405D91" w:rsidRPr="00FC6062">
              <w:rPr>
                <w:bCs/>
                <w:color w:val="000000"/>
                <w:lang w:val="en-GB"/>
              </w:rPr>
              <w:t>.</w:t>
            </w:r>
            <w:r w:rsidRPr="00FC6062">
              <w:rPr>
                <w:bCs/>
                <w:color w:val="000000"/>
                <w:lang w:val="en-GB"/>
              </w:rPr>
              <w:t>3</w:t>
            </w:r>
          </w:p>
        </w:tc>
        <w:tc>
          <w:tcPr>
            <w:tcW w:w="1670" w:type="dxa"/>
            <w:shd w:val="clear" w:color="auto" w:fill="auto"/>
            <w:vAlign w:val="bottom"/>
          </w:tcPr>
          <w:p w:rsidR="007F60A8" w:rsidRPr="00FC6062" w:rsidRDefault="00201768" w:rsidP="007F60A8">
            <w:pPr>
              <w:spacing w:after="0" w:line="240" w:lineRule="auto"/>
              <w:jc w:val="center"/>
              <w:rPr>
                <w:color w:val="000000"/>
                <w:lang w:val="en-GB"/>
              </w:rPr>
            </w:pPr>
            <w:r w:rsidRPr="00FC6062">
              <w:rPr>
                <w:color w:val="000000"/>
                <w:lang w:val="en-GB"/>
              </w:rPr>
              <w:t>60</w:t>
            </w:r>
            <w:r w:rsidR="00405D91" w:rsidRPr="00FC6062">
              <w:rPr>
                <w:color w:val="000000"/>
                <w:lang w:val="en-GB"/>
              </w:rPr>
              <w:t>.</w:t>
            </w:r>
            <w:r w:rsidR="00F87931" w:rsidRPr="00FC6062">
              <w:rPr>
                <w:color w:val="000000"/>
                <w:lang w:val="en-GB"/>
              </w:rPr>
              <w:t>5</w:t>
            </w:r>
          </w:p>
        </w:tc>
      </w:tr>
      <w:tr w:rsidR="007F60A8" w:rsidRPr="00FC6062" w:rsidTr="007B069A">
        <w:trPr>
          <w:trHeight w:val="205"/>
        </w:trPr>
        <w:tc>
          <w:tcPr>
            <w:tcW w:w="2834" w:type="dxa"/>
            <w:shd w:val="clear" w:color="auto" w:fill="auto"/>
            <w:vAlign w:val="bottom"/>
            <w:hideMark/>
          </w:tcPr>
          <w:p w:rsidR="007F60A8" w:rsidRPr="00FC6062"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FC6062" w:rsidRDefault="007F60A8" w:rsidP="007F60A8">
            <w:pPr>
              <w:spacing w:after="0" w:line="240" w:lineRule="auto"/>
              <w:jc w:val="center"/>
              <w:rPr>
                <w:b/>
                <w:bCs/>
                <w:color w:val="000000"/>
                <w:lang w:val="en-GB"/>
              </w:rPr>
            </w:pPr>
          </w:p>
        </w:tc>
        <w:tc>
          <w:tcPr>
            <w:tcW w:w="1670" w:type="dxa"/>
            <w:shd w:val="clear" w:color="auto" w:fill="auto"/>
            <w:vAlign w:val="bottom"/>
          </w:tcPr>
          <w:p w:rsidR="007F60A8" w:rsidRPr="00FC6062" w:rsidRDefault="007F60A8" w:rsidP="007F60A8">
            <w:pPr>
              <w:spacing w:after="0" w:line="240" w:lineRule="auto"/>
              <w:jc w:val="center"/>
              <w:rPr>
                <w:color w:val="000000"/>
                <w:lang w:val="en-GB"/>
              </w:rPr>
            </w:pPr>
          </w:p>
        </w:tc>
      </w:tr>
      <w:tr w:rsidR="007F60A8" w:rsidRPr="00FC6062" w:rsidTr="000F5087">
        <w:trPr>
          <w:trHeight w:val="375"/>
        </w:trPr>
        <w:tc>
          <w:tcPr>
            <w:tcW w:w="2834" w:type="dxa"/>
            <w:shd w:val="clear" w:color="auto" w:fill="auto"/>
            <w:vAlign w:val="bottom"/>
            <w:hideMark/>
          </w:tcPr>
          <w:p w:rsidR="007F60A8" w:rsidRPr="00FC6062" w:rsidRDefault="00405D91" w:rsidP="007F60A8">
            <w:pPr>
              <w:spacing w:after="0" w:line="240" w:lineRule="auto"/>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 xml:space="preserve">Total provisions </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FC6062" w:rsidRDefault="00FC3544" w:rsidP="007F60A8">
            <w:pPr>
              <w:spacing w:after="0" w:line="240" w:lineRule="auto"/>
              <w:jc w:val="center"/>
              <w:rPr>
                <w:rFonts w:ascii="Calibri" w:eastAsia="Times New Roman" w:hAnsi="Calibri" w:cs="Times New Roman"/>
                <w:b/>
                <w:bCs/>
                <w:color w:val="000000"/>
                <w:lang w:val="en-GB" w:eastAsia="hr-HR"/>
              </w:rPr>
            </w:pPr>
            <w:r w:rsidRPr="00FC6062">
              <w:rPr>
                <w:b/>
                <w:bCs/>
                <w:color w:val="000000"/>
                <w:lang w:val="en-GB"/>
              </w:rPr>
              <w:t>3</w:t>
            </w:r>
            <w:r w:rsidR="00405D91" w:rsidRPr="00FC6062">
              <w:rPr>
                <w:b/>
                <w:bCs/>
                <w:color w:val="000000"/>
                <w:lang w:val="en-GB"/>
              </w:rPr>
              <w:t>,</w:t>
            </w:r>
            <w:r w:rsidRPr="00FC6062">
              <w:rPr>
                <w:b/>
                <w:bCs/>
                <w:color w:val="000000"/>
                <w:lang w:val="en-GB"/>
              </w:rPr>
              <w:t>795</w:t>
            </w:r>
            <w:r w:rsidR="00405D91" w:rsidRPr="00FC6062">
              <w:rPr>
                <w:b/>
                <w:bCs/>
                <w:color w:val="000000"/>
                <w:lang w:val="en-GB"/>
              </w:rPr>
              <w:t>.</w:t>
            </w:r>
            <w:r w:rsidRPr="00FC6062">
              <w:rPr>
                <w:b/>
                <w:bCs/>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7F60A8" w:rsidRPr="00FC6062" w:rsidRDefault="007F60A8" w:rsidP="007F60A8">
            <w:pPr>
              <w:spacing w:after="0" w:line="240" w:lineRule="auto"/>
              <w:jc w:val="center"/>
              <w:rPr>
                <w:rFonts w:ascii="Calibri" w:eastAsia="Times New Roman" w:hAnsi="Calibri" w:cs="Times New Roman"/>
                <w:b/>
                <w:bCs/>
                <w:color w:val="000000"/>
                <w:lang w:val="en-GB" w:eastAsia="hr-HR"/>
              </w:rPr>
            </w:pPr>
            <w:r w:rsidRPr="00FC6062">
              <w:rPr>
                <w:b/>
                <w:bCs/>
                <w:color w:val="000000"/>
                <w:lang w:val="en-GB"/>
              </w:rPr>
              <w:t>100</w:t>
            </w:r>
            <w:r w:rsidR="00405D91" w:rsidRPr="00FC6062">
              <w:rPr>
                <w:b/>
                <w:bCs/>
                <w:color w:val="000000"/>
                <w:lang w:val="en-GB"/>
              </w:rPr>
              <w:t>.</w:t>
            </w:r>
            <w:r w:rsidRPr="00FC6062">
              <w:rPr>
                <w:b/>
                <w:bCs/>
                <w:color w:val="000000"/>
                <w:lang w:val="en-GB"/>
              </w:rPr>
              <w:t>00</w:t>
            </w:r>
          </w:p>
        </w:tc>
        <w:tc>
          <w:tcPr>
            <w:tcW w:w="1898" w:type="dxa"/>
            <w:shd w:val="clear" w:color="auto" w:fill="auto"/>
            <w:vAlign w:val="bottom"/>
          </w:tcPr>
          <w:p w:rsidR="007F60A8" w:rsidRPr="00FC6062" w:rsidRDefault="00201768" w:rsidP="000E4ABB">
            <w:pPr>
              <w:spacing w:after="0" w:line="240" w:lineRule="auto"/>
              <w:jc w:val="center"/>
              <w:rPr>
                <w:b/>
                <w:bCs/>
                <w:color w:val="000000"/>
                <w:lang w:val="en-GB"/>
              </w:rPr>
            </w:pPr>
            <w:r w:rsidRPr="00FC6062">
              <w:rPr>
                <w:b/>
                <w:bCs/>
                <w:color w:val="000000"/>
                <w:lang w:val="en-GB"/>
              </w:rPr>
              <w:t>3</w:t>
            </w:r>
            <w:r w:rsidR="00405D91" w:rsidRPr="00FC6062">
              <w:rPr>
                <w:b/>
                <w:bCs/>
                <w:color w:val="000000"/>
                <w:lang w:val="en-GB"/>
              </w:rPr>
              <w:t>,</w:t>
            </w:r>
            <w:r w:rsidR="00F87931" w:rsidRPr="00FC6062">
              <w:rPr>
                <w:b/>
                <w:bCs/>
                <w:color w:val="000000"/>
                <w:lang w:val="en-GB"/>
              </w:rPr>
              <w:t>772</w:t>
            </w:r>
            <w:r w:rsidR="00405D91" w:rsidRPr="00FC6062">
              <w:rPr>
                <w:b/>
                <w:bCs/>
                <w:color w:val="000000"/>
                <w:lang w:val="en-GB"/>
              </w:rPr>
              <w:t>.</w:t>
            </w:r>
            <w:r w:rsidR="00F87931" w:rsidRPr="00FC6062">
              <w:rPr>
                <w:b/>
                <w:bCs/>
                <w:color w:val="000000"/>
                <w:lang w:val="en-GB"/>
              </w:rPr>
              <w:t>0</w:t>
            </w:r>
          </w:p>
        </w:tc>
        <w:tc>
          <w:tcPr>
            <w:tcW w:w="1670" w:type="dxa"/>
            <w:shd w:val="clear" w:color="auto" w:fill="auto"/>
            <w:noWrap/>
            <w:vAlign w:val="bottom"/>
          </w:tcPr>
          <w:p w:rsidR="007F60A8" w:rsidRPr="00FC6062" w:rsidRDefault="007F60A8" w:rsidP="000E4ABB">
            <w:pPr>
              <w:spacing w:after="0" w:line="240" w:lineRule="auto"/>
              <w:jc w:val="center"/>
              <w:rPr>
                <w:b/>
                <w:bCs/>
                <w:color w:val="000000"/>
                <w:lang w:val="en-GB"/>
              </w:rPr>
            </w:pPr>
            <w:r w:rsidRPr="00FC6062">
              <w:rPr>
                <w:b/>
                <w:bCs/>
                <w:color w:val="000000"/>
                <w:lang w:val="en-GB"/>
              </w:rPr>
              <w:t>100</w:t>
            </w:r>
            <w:r w:rsidR="00405D91" w:rsidRPr="00FC6062">
              <w:rPr>
                <w:b/>
                <w:bCs/>
                <w:color w:val="000000"/>
                <w:lang w:val="en-GB"/>
              </w:rPr>
              <w:t>.</w:t>
            </w:r>
            <w:r w:rsidRPr="00FC6062">
              <w:rPr>
                <w:b/>
                <w:bCs/>
                <w:color w:val="000000"/>
                <w:lang w:val="en-GB"/>
              </w:rPr>
              <w:t>00</w:t>
            </w:r>
          </w:p>
        </w:tc>
      </w:tr>
      <w:tr w:rsidR="007F60A8" w:rsidRPr="00FC6062" w:rsidTr="007B069A">
        <w:trPr>
          <w:trHeight w:val="235"/>
        </w:trPr>
        <w:tc>
          <w:tcPr>
            <w:tcW w:w="2834" w:type="dxa"/>
            <w:shd w:val="clear" w:color="auto" w:fill="auto"/>
            <w:vAlign w:val="bottom"/>
            <w:hideMark/>
          </w:tcPr>
          <w:p w:rsidR="007F60A8" w:rsidRPr="00FC6062" w:rsidRDefault="007F60A8" w:rsidP="007F60A8">
            <w:pPr>
              <w:spacing w:after="0" w:line="240" w:lineRule="auto"/>
              <w:rPr>
                <w:rFonts w:ascii="Calibri" w:eastAsia="Times New Roman" w:hAnsi="Calibri" w:cs="Times New Roman"/>
                <w:color w:val="000000"/>
                <w:lang w:val="en-GB" w:eastAsia="hr-HR"/>
              </w:rPr>
            </w:pPr>
            <w:r w:rsidRPr="00FC6062">
              <w:rPr>
                <w:rFonts w:ascii="Calibri" w:eastAsia="Times New Roman" w:hAnsi="Calibri" w:cs="Times New Roman"/>
                <w:color w:val="000000"/>
                <w:lang w:val="en-GB" w:eastAsia="hr-HR"/>
              </w:rPr>
              <w:t>O</w:t>
            </w:r>
            <w:r w:rsidR="00405D91" w:rsidRPr="00FC6062">
              <w:rPr>
                <w:rFonts w:ascii="Calibri" w:eastAsia="Times New Roman" w:hAnsi="Calibri" w:cs="Times New Roman"/>
                <w:color w:val="000000"/>
                <w:lang w:val="en-GB" w:eastAsia="hr-HR"/>
              </w:rPr>
              <w:t>f</w:t>
            </w:r>
            <w:r w:rsidRPr="00FC6062">
              <w:rPr>
                <w:rFonts w:ascii="Calibri" w:eastAsia="Times New Roman" w:hAnsi="Calibri" w:cs="Times New Roman"/>
                <w:color w:val="000000"/>
                <w:lang w:val="en-GB" w:eastAsia="hr-HR"/>
              </w:rPr>
              <w:t xml:space="preserve"> </w:t>
            </w:r>
            <w:r w:rsidR="00405D91" w:rsidRPr="00FC6062">
              <w:rPr>
                <w:rFonts w:ascii="Calibri" w:eastAsia="Times New Roman" w:hAnsi="Calibri" w:cs="Times New Roman"/>
                <w:color w:val="000000"/>
                <w:lang w:val="en-GB" w:eastAsia="hr-HR"/>
              </w:rPr>
              <w:t>which</w:t>
            </w:r>
            <w:r w:rsidRPr="00FC6062">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rsidR="007F60A8" w:rsidRPr="00FC6062"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FC6062" w:rsidRDefault="007F60A8" w:rsidP="007F60A8">
            <w:pPr>
              <w:spacing w:after="0" w:line="240" w:lineRule="auto"/>
              <w:jc w:val="center"/>
              <w:rPr>
                <w:b/>
                <w:bCs/>
                <w:color w:val="000000"/>
                <w:lang w:val="en-GB"/>
              </w:rPr>
            </w:pPr>
          </w:p>
        </w:tc>
        <w:tc>
          <w:tcPr>
            <w:tcW w:w="1670" w:type="dxa"/>
            <w:shd w:val="clear" w:color="auto" w:fill="auto"/>
            <w:noWrap/>
            <w:vAlign w:val="bottom"/>
          </w:tcPr>
          <w:p w:rsidR="007F60A8" w:rsidRPr="00FC6062" w:rsidRDefault="007F60A8" w:rsidP="007F60A8">
            <w:pPr>
              <w:spacing w:after="0" w:line="240" w:lineRule="auto"/>
              <w:jc w:val="center"/>
              <w:rPr>
                <w:b/>
                <w:bCs/>
                <w:color w:val="000000"/>
                <w:lang w:val="en-GB"/>
              </w:rPr>
            </w:pPr>
          </w:p>
        </w:tc>
      </w:tr>
      <w:tr w:rsidR="007F60A8" w:rsidRPr="00FC6062" w:rsidTr="007B069A">
        <w:trPr>
          <w:trHeight w:val="267"/>
        </w:trPr>
        <w:tc>
          <w:tcPr>
            <w:tcW w:w="2834" w:type="dxa"/>
            <w:shd w:val="clear" w:color="auto" w:fill="auto"/>
            <w:vAlign w:val="bottom"/>
            <w:hideMark/>
          </w:tcPr>
          <w:p w:rsidR="007F60A8" w:rsidRPr="00FC6062" w:rsidRDefault="007F60A8" w:rsidP="007F60A8">
            <w:pPr>
              <w:spacing w:after="0" w:line="240" w:lineRule="auto"/>
              <w:ind w:firstLineChars="100" w:firstLine="220"/>
              <w:rPr>
                <w:rFonts w:ascii="Calibri" w:eastAsia="Times New Roman" w:hAnsi="Calibri" w:cs="Times New Roman"/>
                <w:color w:val="000000"/>
                <w:lang w:val="en-GB" w:eastAsia="hr-HR"/>
              </w:rPr>
            </w:pPr>
            <w:r w:rsidRPr="00FC6062">
              <w:rPr>
                <w:rFonts w:ascii="Calibri" w:eastAsia="Times New Roman" w:hAnsi="Calibri" w:cs="Times New Roman"/>
                <w:color w:val="000000"/>
                <w:lang w:val="en-GB" w:eastAsia="hr-HR"/>
              </w:rPr>
              <w:t>- financi</w:t>
            </w:r>
            <w:r w:rsidR="00405D91" w:rsidRPr="00FC6062">
              <w:rPr>
                <w:rFonts w:ascii="Calibri" w:eastAsia="Times New Roman" w:hAnsi="Calibri" w:cs="Times New Roman"/>
                <w:color w:val="000000"/>
                <w:lang w:val="en-GB" w:eastAsia="hr-HR"/>
              </w:rPr>
              <w:t>al</w:t>
            </w:r>
            <w:r w:rsidRPr="00FC6062">
              <w:rPr>
                <w:rFonts w:ascii="Calibri" w:eastAsia="Times New Roman" w:hAnsi="Calibri" w:cs="Times New Roman"/>
                <w:color w:val="000000"/>
                <w:lang w:val="en-GB" w:eastAsia="hr-HR"/>
              </w:rPr>
              <w:t xml:space="preserve"> institu</w:t>
            </w:r>
            <w:r w:rsidR="00405D91" w:rsidRPr="00FC6062">
              <w:rPr>
                <w:rFonts w:ascii="Calibri" w:eastAsia="Times New Roman" w:hAnsi="Calibri" w:cs="Times New Roman"/>
                <w:color w:val="000000"/>
                <w:lang w:val="en-GB" w:eastAsia="hr-HR"/>
              </w:rPr>
              <w:t>t</w:t>
            </w:r>
            <w:r w:rsidRPr="00FC6062">
              <w:rPr>
                <w:rFonts w:ascii="Calibri" w:eastAsia="Times New Roman" w:hAnsi="Calibri" w:cs="Times New Roman"/>
                <w:color w:val="000000"/>
                <w:lang w:val="en-GB" w:eastAsia="hr-HR"/>
              </w:rPr>
              <w:t>i</w:t>
            </w:r>
            <w:r w:rsidR="00405D91" w:rsidRPr="00FC6062">
              <w:rPr>
                <w:rFonts w:ascii="Calibri" w:eastAsia="Times New Roman" w:hAnsi="Calibri" w:cs="Times New Roman"/>
                <w:color w:val="000000"/>
                <w:lang w:val="en-GB" w:eastAsia="hr-HR"/>
              </w:rPr>
              <w:t>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122</w:t>
            </w:r>
            <w:r w:rsidR="00405D91" w:rsidRPr="00FC6062">
              <w:rPr>
                <w:color w:val="000000"/>
                <w:lang w:val="en-GB"/>
              </w:rPr>
              <w:t>.</w:t>
            </w:r>
            <w:r w:rsidRPr="00FC6062">
              <w:rPr>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3</w:t>
            </w:r>
            <w:r w:rsidR="00405D91" w:rsidRPr="00FC6062">
              <w:rPr>
                <w:color w:val="000000"/>
                <w:lang w:val="en-GB"/>
              </w:rPr>
              <w:t>.</w:t>
            </w:r>
            <w:r w:rsidRPr="00FC6062">
              <w:rPr>
                <w:color w:val="000000"/>
                <w:lang w:val="en-GB"/>
              </w:rPr>
              <w:t>2</w:t>
            </w:r>
          </w:p>
        </w:tc>
        <w:tc>
          <w:tcPr>
            <w:tcW w:w="1898" w:type="dxa"/>
            <w:shd w:val="clear" w:color="auto" w:fill="auto"/>
            <w:vAlign w:val="bottom"/>
          </w:tcPr>
          <w:p w:rsidR="007F60A8" w:rsidRPr="00FC6062" w:rsidRDefault="00F87931" w:rsidP="007F60A8">
            <w:pPr>
              <w:spacing w:after="0" w:line="240" w:lineRule="auto"/>
              <w:jc w:val="center"/>
              <w:rPr>
                <w:bCs/>
                <w:color w:val="000000"/>
                <w:lang w:val="en-GB"/>
              </w:rPr>
            </w:pPr>
            <w:r w:rsidRPr="00FC6062">
              <w:rPr>
                <w:bCs/>
                <w:color w:val="000000"/>
                <w:lang w:val="en-GB"/>
              </w:rPr>
              <w:t>79</w:t>
            </w:r>
            <w:r w:rsidR="00405D91" w:rsidRPr="00FC6062">
              <w:rPr>
                <w:bCs/>
                <w:color w:val="000000"/>
                <w:lang w:val="en-GB"/>
              </w:rPr>
              <w:t>.</w:t>
            </w:r>
            <w:r w:rsidRPr="00FC6062">
              <w:rPr>
                <w:bCs/>
                <w:color w:val="000000"/>
                <w:lang w:val="en-GB"/>
              </w:rPr>
              <w:t>9</w:t>
            </w:r>
          </w:p>
        </w:tc>
        <w:tc>
          <w:tcPr>
            <w:tcW w:w="1670" w:type="dxa"/>
            <w:shd w:val="clear" w:color="auto" w:fill="auto"/>
            <w:noWrap/>
            <w:vAlign w:val="bottom"/>
          </w:tcPr>
          <w:p w:rsidR="007F60A8" w:rsidRPr="00FC6062" w:rsidRDefault="00071A97" w:rsidP="007F60A8">
            <w:pPr>
              <w:spacing w:after="0" w:line="240" w:lineRule="auto"/>
              <w:jc w:val="center"/>
              <w:rPr>
                <w:bCs/>
                <w:color w:val="000000"/>
                <w:lang w:val="en-GB"/>
              </w:rPr>
            </w:pPr>
            <w:r w:rsidRPr="00FC6062">
              <w:rPr>
                <w:bCs/>
                <w:color w:val="000000"/>
                <w:lang w:val="en-GB"/>
              </w:rPr>
              <w:t>2</w:t>
            </w:r>
            <w:r w:rsidR="00405D91" w:rsidRPr="00FC6062">
              <w:rPr>
                <w:bCs/>
                <w:color w:val="000000"/>
                <w:lang w:val="en-GB"/>
              </w:rPr>
              <w:t>.</w:t>
            </w:r>
            <w:r w:rsidRPr="00FC6062">
              <w:rPr>
                <w:bCs/>
                <w:color w:val="000000"/>
                <w:lang w:val="en-GB"/>
              </w:rPr>
              <w:t>1</w:t>
            </w:r>
          </w:p>
        </w:tc>
      </w:tr>
      <w:tr w:rsidR="007F60A8" w:rsidRPr="00FC6062" w:rsidTr="007B069A">
        <w:trPr>
          <w:trHeight w:val="205"/>
        </w:trPr>
        <w:tc>
          <w:tcPr>
            <w:tcW w:w="2834" w:type="dxa"/>
            <w:shd w:val="clear" w:color="auto" w:fill="auto"/>
            <w:vAlign w:val="bottom"/>
            <w:hideMark/>
          </w:tcPr>
          <w:p w:rsidR="007F60A8" w:rsidRPr="00FC6062" w:rsidRDefault="007F60A8" w:rsidP="007F60A8">
            <w:pPr>
              <w:spacing w:after="0" w:line="240" w:lineRule="auto"/>
              <w:ind w:firstLineChars="100" w:firstLine="220"/>
              <w:rPr>
                <w:rFonts w:ascii="Calibri" w:eastAsia="Times New Roman" w:hAnsi="Calibri" w:cs="Times New Roman"/>
                <w:color w:val="000000"/>
                <w:lang w:val="en-GB" w:eastAsia="hr-HR"/>
              </w:rPr>
            </w:pPr>
            <w:r w:rsidRPr="00FC6062">
              <w:rPr>
                <w:rFonts w:ascii="Calibri" w:eastAsia="Times New Roman" w:hAnsi="Calibri" w:cs="Times New Roman"/>
                <w:color w:val="000000"/>
                <w:lang w:val="en-GB" w:eastAsia="hr-HR"/>
              </w:rPr>
              <w:t>- dire</w:t>
            </w:r>
            <w:r w:rsidR="00405D91" w:rsidRPr="00FC6062">
              <w:rPr>
                <w:rFonts w:ascii="Calibri" w:eastAsia="Times New Roman" w:hAnsi="Calibri" w:cs="Times New Roman"/>
                <w:color w:val="000000"/>
                <w:lang w:val="en-GB" w:eastAsia="hr-HR"/>
              </w:rPr>
              <w:t>c</w:t>
            </w:r>
            <w:r w:rsidRPr="00FC6062">
              <w:rPr>
                <w:rFonts w:ascii="Calibri" w:eastAsia="Times New Roman" w:hAnsi="Calibri" w:cs="Times New Roman"/>
                <w:color w:val="000000"/>
                <w:lang w:val="en-GB" w:eastAsia="hr-HR"/>
              </w:rPr>
              <w:t>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3</w:t>
            </w:r>
            <w:r w:rsidR="00405D91" w:rsidRPr="00FC6062">
              <w:rPr>
                <w:color w:val="000000"/>
                <w:lang w:val="en-GB"/>
              </w:rPr>
              <w:t>,</w:t>
            </w:r>
            <w:r w:rsidRPr="00FC6062">
              <w:rPr>
                <w:color w:val="000000"/>
                <w:lang w:val="en-GB"/>
              </w:rPr>
              <w:t>673</w:t>
            </w:r>
            <w:r w:rsidR="00405D91" w:rsidRPr="00FC6062">
              <w:rPr>
                <w:color w:val="000000"/>
                <w:lang w:val="en-GB"/>
              </w:rPr>
              <w:t>.</w:t>
            </w:r>
            <w:r w:rsidRPr="00FC6062">
              <w:rPr>
                <w:color w:val="000000"/>
                <w:lang w:val="en-GB"/>
              </w:rPr>
              <w:t>0</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FC3544" w:rsidP="007F60A8">
            <w:pPr>
              <w:spacing w:after="0" w:line="240" w:lineRule="auto"/>
              <w:jc w:val="center"/>
              <w:rPr>
                <w:rFonts w:ascii="Calibri" w:eastAsia="Times New Roman" w:hAnsi="Calibri" w:cs="Times New Roman"/>
                <w:color w:val="000000"/>
                <w:lang w:val="en-GB" w:eastAsia="hr-HR"/>
              </w:rPr>
            </w:pPr>
            <w:r w:rsidRPr="00FC6062">
              <w:rPr>
                <w:color w:val="000000"/>
                <w:lang w:val="en-GB"/>
              </w:rPr>
              <w:t>96</w:t>
            </w:r>
            <w:r w:rsidR="00405D91" w:rsidRPr="00FC6062">
              <w:rPr>
                <w:color w:val="000000"/>
                <w:lang w:val="en-GB"/>
              </w:rPr>
              <w:t>.</w:t>
            </w:r>
            <w:r w:rsidRPr="00FC6062">
              <w:rPr>
                <w:color w:val="000000"/>
                <w:lang w:val="en-GB"/>
              </w:rPr>
              <w:t>8</w:t>
            </w:r>
          </w:p>
        </w:tc>
        <w:tc>
          <w:tcPr>
            <w:tcW w:w="1898" w:type="dxa"/>
            <w:shd w:val="clear" w:color="auto" w:fill="auto"/>
            <w:vAlign w:val="bottom"/>
          </w:tcPr>
          <w:p w:rsidR="007F60A8" w:rsidRPr="00FC6062" w:rsidRDefault="00201768" w:rsidP="007F60A8">
            <w:pPr>
              <w:spacing w:after="0" w:line="240" w:lineRule="auto"/>
              <w:jc w:val="center"/>
              <w:rPr>
                <w:bCs/>
                <w:color w:val="000000"/>
                <w:lang w:val="en-GB"/>
              </w:rPr>
            </w:pPr>
            <w:r w:rsidRPr="00FC6062">
              <w:rPr>
                <w:bCs/>
                <w:color w:val="000000"/>
                <w:lang w:val="en-GB"/>
              </w:rPr>
              <w:t>3</w:t>
            </w:r>
            <w:r w:rsidR="00405D91" w:rsidRPr="00FC6062">
              <w:rPr>
                <w:bCs/>
                <w:color w:val="000000"/>
                <w:lang w:val="en-GB"/>
              </w:rPr>
              <w:t>,</w:t>
            </w:r>
            <w:r w:rsidR="00F87931" w:rsidRPr="00FC6062">
              <w:rPr>
                <w:bCs/>
                <w:color w:val="000000"/>
                <w:lang w:val="en-GB"/>
              </w:rPr>
              <w:t>692</w:t>
            </w:r>
            <w:r w:rsidR="00405D91" w:rsidRPr="00FC6062">
              <w:rPr>
                <w:bCs/>
                <w:color w:val="000000"/>
                <w:lang w:val="en-GB"/>
              </w:rPr>
              <w:t>.</w:t>
            </w:r>
            <w:r w:rsidR="00F87931" w:rsidRPr="00FC6062">
              <w:rPr>
                <w:bCs/>
                <w:color w:val="000000"/>
                <w:lang w:val="en-GB"/>
              </w:rPr>
              <w:t>1</w:t>
            </w:r>
          </w:p>
        </w:tc>
        <w:tc>
          <w:tcPr>
            <w:tcW w:w="1670" w:type="dxa"/>
            <w:shd w:val="clear" w:color="auto" w:fill="auto"/>
            <w:noWrap/>
            <w:vAlign w:val="bottom"/>
          </w:tcPr>
          <w:p w:rsidR="007F60A8" w:rsidRPr="00FC6062" w:rsidRDefault="00071A97" w:rsidP="007F60A8">
            <w:pPr>
              <w:spacing w:after="0" w:line="240" w:lineRule="auto"/>
              <w:jc w:val="center"/>
              <w:rPr>
                <w:bCs/>
                <w:color w:val="000000"/>
                <w:lang w:val="en-GB"/>
              </w:rPr>
            </w:pPr>
            <w:r w:rsidRPr="00FC6062">
              <w:rPr>
                <w:bCs/>
                <w:color w:val="000000"/>
                <w:lang w:val="en-GB"/>
              </w:rPr>
              <w:t>97</w:t>
            </w:r>
            <w:r w:rsidR="00405D91" w:rsidRPr="00FC6062">
              <w:rPr>
                <w:bCs/>
                <w:color w:val="000000"/>
                <w:lang w:val="en-GB"/>
              </w:rPr>
              <w:t>.</w:t>
            </w:r>
            <w:r w:rsidRPr="00FC6062">
              <w:rPr>
                <w:bCs/>
                <w:color w:val="000000"/>
                <w:lang w:val="en-GB"/>
              </w:rPr>
              <w:t>9</w:t>
            </w:r>
          </w:p>
        </w:tc>
      </w:tr>
      <w:tr w:rsidR="007F60A8" w:rsidRPr="00FC6062" w:rsidTr="007B069A">
        <w:trPr>
          <w:trHeight w:val="205"/>
        </w:trPr>
        <w:tc>
          <w:tcPr>
            <w:tcW w:w="2834" w:type="dxa"/>
            <w:shd w:val="clear" w:color="auto" w:fill="auto"/>
            <w:vAlign w:val="bottom"/>
            <w:hideMark/>
          </w:tcPr>
          <w:p w:rsidR="007F60A8" w:rsidRPr="00FC6062"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rsidR="007F60A8" w:rsidRPr="00FC6062" w:rsidRDefault="007F60A8" w:rsidP="007F60A8">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rsidR="007F60A8" w:rsidRPr="00FC6062"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rsidR="007F60A8" w:rsidRPr="00FC6062" w:rsidRDefault="007F60A8" w:rsidP="007F60A8">
            <w:pPr>
              <w:spacing w:after="0" w:line="240" w:lineRule="auto"/>
              <w:jc w:val="center"/>
              <w:rPr>
                <w:b/>
                <w:bCs/>
                <w:color w:val="000000"/>
                <w:lang w:val="en-GB"/>
              </w:rPr>
            </w:pPr>
          </w:p>
        </w:tc>
        <w:tc>
          <w:tcPr>
            <w:tcW w:w="1670" w:type="dxa"/>
            <w:shd w:val="clear" w:color="auto" w:fill="auto"/>
            <w:noWrap/>
            <w:vAlign w:val="bottom"/>
          </w:tcPr>
          <w:p w:rsidR="007F60A8" w:rsidRPr="00FC6062" w:rsidRDefault="007F60A8" w:rsidP="007F60A8">
            <w:pPr>
              <w:spacing w:after="0" w:line="240" w:lineRule="auto"/>
              <w:jc w:val="center"/>
              <w:rPr>
                <w:b/>
                <w:bCs/>
                <w:color w:val="000000"/>
                <w:lang w:val="en-GB"/>
              </w:rPr>
            </w:pPr>
          </w:p>
        </w:tc>
      </w:tr>
      <w:tr w:rsidR="007F60A8" w:rsidRPr="00FC6062" w:rsidTr="00B305E7">
        <w:trPr>
          <w:trHeight w:val="410"/>
        </w:trPr>
        <w:tc>
          <w:tcPr>
            <w:tcW w:w="2834" w:type="dxa"/>
            <w:shd w:val="clear" w:color="auto" w:fill="auto"/>
            <w:vAlign w:val="bottom"/>
            <w:hideMark/>
          </w:tcPr>
          <w:p w:rsidR="007F60A8" w:rsidRPr="00FC6062" w:rsidRDefault="00405D91" w:rsidP="000E4ABB">
            <w:pPr>
              <w:spacing w:after="0" w:line="240" w:lineRule="auto"/>
              <w:rPr>
                <w:rFonts w:ascii="Calibri" w:eastAsia="Times New Roman" w:hAnsi="Calibri" w:cs="Times New Roman"/>
                <w:b/>
                <w:bCs/>
                <w:color w:val="000000"/>
                <w:lang w:val="en-GB" w:eastAsia="hr-HR"/>
              </w:rPr>
            </w:pPr>
            <w:r w:rsidRPr="00FC6062">
              <w:rPr>
                <w:rFonts w:ascii="Calibri" w:eastAsia="Times New Roman" w:hAnsi="Calibri" w:cs="Times New Roman"/>
                <w:b/>
                <w:bCs/>
                <w:color w:val="000000"/>
                <w:lang w:val="en-GB" w:eastAsia="hr-HR"/>
              </w:rPr>
              <w:t xml:space="preserve">Provisions/gross portfolio </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rsidR="007F60A8" w:rsidRPr="00FC6062" w:rsidRDefault="00FC3544" w:rsidP="005014DC">
            <w:pPr>
              <w:spacing w:after="0" w:line="240" w:lineRule="auto"/>
              <w:jc w:val="center"/>
              <w:rPr>
                <w:rFonts w:ascii="Calibri" w:eastAsia="Times New Roman" w:hAnsi="Calibri" w:cs="Times New Roman"/>
                <w:b/>
                <w:bCs/>
                <w:color w:val="000000"/>
                <w:lang w:val="en-GB" w:eastAsia="hr-HR"/>
              </w:rPr>
            </w:pPr>
            <w:r w:rsidRPr="00FC6062">
              <w:rPr>
                <w:b/>
                <w:bCs/>
                <w:color w:val="000000"/>
                <w:lang w:val="en-GB"/>
              </w:rPr>
              <w:t>10</w:t>
            </w:r>
            <w:r w:rsidR="00405D91" w:rsidRPr="00FC6062">
              <w:rPr>
                <w:b/>
                <w:bCs/>
                <w:color w:val="000000"/>
                <w:lang w:val="en-GB"/>
              </w:rPr>
              <w:t>.</w:t>
            </w:r>
            <w:r w:rsidRPr="00FC6062">
              <w:rPr>
                <w:b/>
                <w:bCs/>
                <w:color w:val="000000"/>
                <w:lang w:val="en-GB"/>
              </w:rPr>
              <w:t>6</w:t>
            </w:r>
            <w:r w:rsidR="007F60A8" w:rsidRPr="00FC6062">
              <w:rPr>
                <w:b/>
                <w:bCs/>
                <w:color w:val="000000"/>
                <w:lang w:val="en-GB"/>
              </w:rPr>
              <w:t xml:space="preserve"> p</w:t>
            </w:r>
            <w:r w:rsidR="00405D91" w:rsidRPr="00FC6062">
              <w:rPr>
                <w:b/>
                <w:bCs/>
                <w:color w:val="000000"/>
                <w:lang w:val="en-GB"/>
              </w:rPr>
              <w:t>ercent</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rsidR="007F60A8" w:rsidRPr="00FC6062" w:rsidRDefault="007F60A8" w:rsidP="007F60A8">
            <w:pPr>
              <w:spacing w:after="0" w:line="240" w:lineRule="auto"/>
              <w:jc w:val="center"/>
              <w:rPr>
                <w:rFonts w:ascii="Calibri" w:eastAsia="Times New Roman" w:hAnsi="Calibri" w:cs="Times New Roman"/>
                <w:b/>
                <w:bCs/>
                <w:color w:val="000000"/>
                <w:lang w:val="en-GB" w:eastAsia="hr-HR"/>
              </w:rPr>
            </w:pPr>
            <w:r w:rsidRPr="00FC6062">
              <w:rPr>
                <w:b/>
                <w:bCs/>
                <w:color w:val="000000"/>
                <w:lang w:val="en-GB"/>
              </w:rPr>
              <w:t>-</w:t>
            </w:r>
          </w:p>
        </w:tc>
        <w:tc>
          <w:tcPr>
            <w:tcW w:w="1898" w:type="dxa"/>
            <w:shd w:val="clear" w:color="auto" w:fill="auto"/>
            <w:vAlign w:val="bottom"/>
          </w:tcPr>
          <w:p w:rsidR="007F60A8" w:rsidRPr="00FC6062" w:rsidRDefault="00F87931" w:rsidP="005014DC">
            <w:pPr>
              <w:spacing w:after="0" w:line="240" w:lineRule="auto"/>
              <w:jc w:val="center"/>
              <w:rPr>
                <w:b/>
                <w:bCs/>
                <w:color w:val="000000"/>
                <w:lang w:val="en-GB"/>
              </w:rPr>
            </w:pPr>
            <w:r w:rsidRPr="00FC6062">
              <w:rPr>
                <w:b/>
                <w:bCs/>
                <w:color w:val="000000"/>
                <w:lang w:val="en-GB"/>
              </w:rPr>
              <w:t>11</w:t>
            </w:r>
            <w:r w:rsidR="00405D91" w:rsidRPr="00FC6062">
              <w:rPr>
                <w:b/>
                <w:bCs/>
                <w:color w:val="000000"/>
                <w:lang w:val="en-GB"/>
              </w:rPr>
              <w:t>.</w:t>
            </w:r>
            <w:r w:rsidRPr="00FC6062">
              <w:rPr>
                <w:b/>
                <w:bCs/>
                <w:color w:val="000000"/>
                <w:lang w:val="en-GB"/>
              </w:rPr>
              <w:t>0</w:t>
            </w:r>
            <w:r w:rsidR="00071A97" w:rsidRPr="00FC6062">
              <w:rPr>
                <w:b/>
                <w:bCs/>
                <w:color w:val="000000"/>
                <w:lang w:val="en-GB"/>
              </w:rPr>
              <w:t xml:space="preserve"> </w:t>
            </w:r>
            <w:r w:rsidR="004E588A" w:rsidRPr="00FC6062">
              <w:rPr>
                <w:b/>
                <w:bCs/>
                <w:color w:val="000000"/>
                <w:lang w:val="en-GB"/>
              </w:rPr>
              <w:t>p</w:t>
            </w:r>
            <w:r w:rsidR="00405D91" w:rsidRPr="00FC6062">
              <w:rPr>
                <w:b/>
                <w:bCs/>
                <w:color w:val="000000"/>
                <w:lang w:val="en-GB"/>
              </w:rPr>
              <w:t>ercent</w:t>
            </w:r>
          </w:p>
        </w:tc>
        <w:tc>
          <w:tcPr>
            <w:tcW w:w="1670" w:type="dxa"/>
            <w:shd w:val="clear" w:color="auto" w:fill="auto"/>
            <w:noWrap/>
            <w:vAlign w:val="bottom"/>
          </w:tcPr>
          <w:p w:rsidR="007F60A8" w:rsidRPr="00FC6062" w:rsidRDefault="004E588A" w:rsidP="000E4ABB">
            <w:pPr>
              <w:spacing w:after="0" w:line="240" w:lineRule="auto"/>
              <w:jc w:val="center"/>
              <w:rPr>
                <w:b/>
                <w:bCs/>
                <w:color w:val="000000"/>
                <w:lang w:val="en-GB"/>
              </w:rPr>
            </w:pPr>
            <w:r w:rsidRPr="00FC6062">
              <w:rPr>
                <w:b/>
                <w:bCs/>
                <w:color w:val="000000"/>
                <w:lang w:val="en-GB"/>
              </w:rPr>
              <w:t>-</w:t>
            </w:r>
          </w:p>
        </w:tc>
      </w:tr>
    </w:tbl>
    <w:p w:rsidR="00BF17D9" w:rsidRPr="00FC6062" w:rsidRDefault="00BF17D9" w:rsidP="00BF17D9">
      <w:pPr>
        <w:spacing w:after="0" w:line="240" w:lineRule="auto"/>
        <w:rPr>
          <w:rFonts w:eastAsia="Times New Roman" w:cs="Calibri"/>
          <w:b/>
          <w:i/>
          <w:spacing w:val="-3"/>
          <w:sz w:val="24"/>
          <w:szCs w:val="24"/>
          <w:lang w:val="en-GB" w:eastAsia="hr-HR"/>
        </w:rPr>
      </w:pPr>
    </w:p>
    <w:p w:rsidR="007E222A" w:rsidRPr="00FC6062" w:rsidRDefault="007E222A" w:rsidP="007667DB">
      <w:pPr>
        <w:spacing w:after="0" w:line="240" w:lineRule="auto"/>
        <w:rPr>
          <w:rFonts w:eastAsia="Times New Roman" w:cs="Calibri"/>
          <w:spacing w:val="-3"/>
          <w:sz w:val="24"/>
          <w:szCs w:val="24"/>
          <w:lang w:val="en-GB" w:eastAsia="hr-HR"/>
        </w:rPr>
      </w:pPr>
    </w:p>
    <w:p w:rsidR="00BF17D9" w:rsidRPr="00FC6062" w:rsidRDefault="00BF17D9" w:rsidP="007667DB">
      <w:pPr>
        <w:spacing w:after="0" w:line="240" w:lineRule="auto"/>
        <w:jc w:val="both"/>
        <w:rPr>
          <w:rFonts w:eastAsia="Times New Roman" w:cs="Calibri"/>
          <w:spacing w:val="-3"/>
          <w:sz w:val="24"/>
          <w:szCs w:val="24"/>
          <w:lang w:val="en-GB" w:eastAsia="hr-HR"/>
        </w:rPr>
        <w:sectPr w:rsidR="00BF17D9" w:rsidRPr="00FC6062">
          <w:footerReference w:type="default" r:id="rId36"/>
          <w:pgSz w:w="11906" w:h="16838"/>
          <w:pgMar w:top="1417" w:right="1417" w:bottom="1417" w:left="1417" w:header="708" w:footer="708" w:gutter="0"/>
          <w:cols w:space="708"/>
          <w:docGrid w:linePitch="360"/>
        </w:sectPr>
      </w:pPr>
    </w:p>
    <w:p w:rsidR="00857E8B" w:rsidRPr="00FC6062" w:rsidRDefault="00C62066" w:rsidP="00C23C95">
      <w:pPr>
        <w:tabs>
          <w:tab w:val="left" w:pos="-720"/>
        </w:tabs>
        <w:spacing w:after="0" w:line="240" w:lineRule="auto"/>
        <w:jc w:val="both"/>
        <w:rPr>
          <w:rFonts w:ascii="Calibri" w:hAnsi="Calibri" w:cs="Calibri"/>
          <w:b/>
          <w:spacing w:val="-3"/>
          <w:sz w:val="24"/>
          <w:szCs w:val="24"/>
          <w:lang w:val="en-GB"/>
        </w:rPr>
      </w:pPr>
      <w:r w:rsidRPr="00FC6062">
        <w:rPr>
          <w:rFonts w:ascii="Calibri" w:hAnsi="Calibri" w:cs="Calibri"/>
          <w:b/>
          <w:spacing w:val="-3"/>
          <w:sz w:val="24"/>
          <w:szCs w:val="24"/>
          <w:lang w:val="en-GB"/>
        </w:rPr>
        <w:lastRenderedPageBreak/>
        <w:t>Significant changes in financial position</w:t>
      </w:r>
    </w:p>
    <w:p w:rsidR="00422588" w:rsidRPr="00FC6062" w:rsidRDefault="00422588">
      <w:pPr>
        <w:spacing w:after="0" w:line="240" w:lineRule="auto"/>
        <w:jc w:val="both"/>
        <w:rPr>
          <w:rFonts w:eastAsia="Times New Roman" w:cs="Calibri"/>
          <w:spacing w:val="-3"/>
          <w:sz w:val="20"/>
          <w:szCs w:val="20"/>
          <w:lang w:val="en-GB" w:eastAsia="hr-HR"/>
        </w:rPr>
      </w:pPr>
    </w:p>
    <w:p w:rsidR="0080046D" w:rsidRPr="00FC6062" w:rsidRDefault="00C62066" w:rsidP="000479D6">
      <w:pPr>
        <w:tabs>
          <w:tab w:val="left" w:pos="-720"/>
        </w:tabs>
        <w:suppressAutoHyphens/>
        <w:spacing w:after="0" w:line="240" w:lineRule="auto"/>
        <w:jc w:val="both"/>
        <w:rPr>
          <w:rFonts w:eastAsia="Times New Roman" w:cstheme="minorHAnsi"/>
          <w:b/>
          <w:bCs/>
          <w:i/>
          <w:sz w:val="24"/>
          <w:szCs w:val="20"/>
          <w:lang w:val="en-GB" w:eastAsia="hr-HR"/>
        </w:rPr>
      </w:pPr>
      <w:r w:rsidRPr="00FC6062">
        <w:rPr>
          <w:rFonts w:cstheme="minorHAnsi"/>
          <w:spacing w:val="-3"/>
          <w:sz w:val="24"/>
          <w:szCs w:val="24"/>
          <w:lang w:val="en-GB"/>
        </w:rPr>
        <w:t xml:space="preserve">Total assets of HBOR as at 30 September 2019 amounted to HRK </w:t>
      </w:r>
      <w:r w:rsidR="00AD6DCB" w:rsidRPr="00FC6062">
        <w:rPr>
          <w:rFonts w:cstheme="minorHAnsi"/>
          <w:spacing w:val="-3"/>
          <w:sz w:val="24"/>
          <w:szCs w:val="24"/>
          <w:lang w:val="en-GB"/>
        </w:rPr>
        <w:t>26</w:t>
      </w:r>
      <w:r w:rsidRPr="00FC6062">
        <w:rPr>
          <w:rFonts w:cstheme="minorHAnsi"/>
          <w:spacing w:val="-3"/>
          <w:sz w:val="24"/>
          <w:szCs w:val="24"/>
          <w:lang w:val="en-GB"/>
        </w:rPr>
        <w:t>,</w:t>
      </w:r>
      <w:r w:rsidR="002C76DD" w:rsidRPr="00FC6062">
        <w:rPr>
          <w:rFonts w:cstheme="minorHAnsi"/>
          <w:spacing w:val="-3"/>
          <w:sz w:val="24"/>
          <w:szCs w:val="24"/>
          <w:lang w:val="en-GB"/>
        </w:rPr>
        <w:t>590</w:t>
      </w:r>
      <w:r w:rsidRPr="00FC6062">
        <w:rPr>
          <w:rFonts w:cstheme="minorHAnsi"/>
          <w:spacing w:val="-3"/>
          <w:sz w:val="24"/>
          <w:szCs w:val="24"/>
          <w:lang w:val="en-GB"/>
        </w:rPr>
        <w:t>.</w:t>
      </w:r>
      <w:r w:rsidR="002C76DD" w:rsidRPr="00FC6062">
        <w:rPr>
          <w:rFonts w:cstheme="minorHAnsi"/>
          <w:spacing w:val="-3"/>
          <w:sz w:val="24"/>
          <w:szCs w:val="24"/>
          <w:lang w:val="en-GB"/>
        </w:rPr>
        <w:t>3</w:t>
      </w:r>
      <w:r w:rsidR="00810A4B" w:rsidRPr="00FC6062">
        <w:rPr>
          <w:rFonts w:cstheme="minorHAnsi"/>
          <w:spacing w:val="-3"/>
          <w:sz w:val="24"/>
          <w:szCs w:val="24"/>
          <w:lang w:val="en-GB"/>
        </w:rPr>
        <w:t xml:space="preserve"> m</w:t>
      </w:r>
      <w:r w:rsidRPr="00FC6062">
        <w:rPr>
          <w:rFonts w:cstheme="minorHAnsi"/>
          <w:spacing w:val="-3"/>
          <w:sz w:val="24"/>
          <w:szCs w:val="24"/>
          <w:lang w:val="en-GB"/>
        </w:rPr>
        <w:t xml:space="preserve">illion, a decrease of </w:t>
      </w:r>
      <w:r w:rsidR="00AA149D" w:rsidRPr="00FC6062">
        <w:rPr>
          <w:rFonts w:cstheme="minorHAnsi"/>
          <w:spacing w:val="-3"/>
          <w:sz w:val="24"/>
          <w:szCs w:val="24"/>
          <w:lang w:val="en-GB"/>
        </w:rPr>
        <w:t>2</w:t>
      </w:r>
      <w:r w:rsidRPr="00FC6062">
        <w:rPr>
          <w:rFonts w:cstheme="minorHAnsi"/>
          <w:spacing w:val="-3"/>
          <w:sz w:val="24"/>
          <w:szCs w:val="24"/>
          <w:lang w:val="en-GB"/>
        </w:rPr>
        <w:t>.</w:t>
      </w:r>
      <w:r w:rsidR="00623268" w:rsidRPr="00FC6062">
        <w:rPr>
          <w:rFonts w:cstheme="minorHAnsi"/>
          <w:spacing w:val="-3"/>
          <w:sz w:val="24"/>
          <w:szCs w:val="24"/>
          <w:lang w:val="en-GB"/>
        </w:rPr>
        <w:t xml:space="preserve">2 </w:t>
      </w:r>
      <w:r w:rsidRPr="00FC6062">
        <w:rPr>
          <w:rFonts w:cstheme="minorHAnsi"/>
          <w:spacing w:val="-3"/>
          <w:sz w:val="24"/>
          <w:szCs w:val="24"/>
          <w:lang w:val="en-GB"/>
        </w:rPr>
        <w:t>percent compared with 31 December 2018, mostly due to repayment of obligations</w:t>
      </w:r>
      <w:r w:rsidR="00011681" w:rsidRPr="00FC6062">
        <w:rPr>
          <w:rFonts w:cstheme="minorHAnsi"/>
          <w:spacing w:val="-3"/>
          <w:sz w:val="24"/>
          <w:szCs w:val="24"/>
          <w:lang w:val="en-GB"/>
        </w:rPr>
        <w:t xml:space="preserve">. </w:t>
      </w:r>
    </w:p>
    <w:p w:rsidR="00306D3A" w:rsidRPr="00FC6062" w:rsidRDefault="00306D3A" w:rsidP="000479D6">
      <w:pPr>
        <w:keepNext/>
        <w:tabs>
          <w:tab w:val="left" w:pos="993"/>
        </w:tabs>
        <w:spacing w:after="0" w:line="240" w:lineRule="auto"/>
        <w:jc w:val="both"/>
        <w:rPr>
          <w:rFonts w:cs="Arial"/>
          <w:bCs/>
          <w:sz w:val="20"/>
          <w:szCs w:val="20"/>
          <w:lang w:val="en-GB"/>
        </w:rPr>
      </w:pPr>
    </w:p>
    <w:p w:rsidR="00422588" w:rsidRPr="00FC6062" w:rsidRDefault="00C62066" w:rsidP="00075515">
      <w:pPr>
        <w:spacing w:after="0" w:line="240" w:lineRule="auto"/>
        <w:jc w:val="both"/>
        <w:rPr>
          <w:rFonts w:eastAsia="Times New Roman" w:cs="Calibri"/>
          <w:b/>
          <w:i/>
          <w:sz w:val="24"/>
          <w:szCs w:val="24"/>
          <w:lang w:val="en-GB" w:eastAsia="hr-HR"/>
        </w:rPr>
      </w:pPr>
      <w:r w:rsidRPr="00FC6062">
        <w:rPr>
          <w:rFonts w:eastAsia="Times New Roman" w:cs="Calibri"/>
          <w:b/>
          <w:i/>
          <w:sz w:val="24"/>
          <w:szCs w:val="24"/>
          <w:lang w:val="en-GB" w:eastAsia="hr-HR"/>
        </w:rPr>
        <w:t>Cash on hand and deposits with other banks</w:t>
      </w:r>
    </w:p>
    <w:p w:rsidR="007667DB" w:rsidRPr="00FC6062" w:rsidRDefault="007667DB" w:rsidP="00602844">
      <w:pPr>
        <w:spacing w:after="0" w:line="240" w:lineRule="auto"/>
        <w:jc w:val="both"/>
        <w:rPr>
          <w:rFonts w:eastAsia="Times New Roman" w:cs="Calibri"/>
          <w:b/>
          <w:sz w:val="20"/>
          <w:szCs w:val="20"/>
          <w:lang w:val="en-GB" w:eastAsia="hr-HR"/>
        </w:rPr>
      </w:pPr>
    </w:p>
    <w:p w:rsidR="00765AC6" w:rsidRPr="00FC6062" w:rsidRDefault="00C62066" w:rsidP="00602844">
      <w:pPr>
        <w:spacing w:after="0" w:line="240" w:lineRule="auto"/>
        <w:jc w:val="both"/>
        <w:rPr>
          <w:rFonts w:cstheme="minorHAnsi"/>
          <w:sz w:val="24"/>
          <w:szCs w:val="24"/>
          <w:lang w:val="en-GB"/>
        </w:rPr>
      </w:pPr>
      <w:r w:rsidRPr="00FC6062">
        <w:rPr>
          <w:rFonts w:cstheme="minorHAnsi"/>
          <w:sz w:val="24"/>
          <w:szCs w:val="24"/>
          <w:lang w:val="en-GB"/>
        </w:rPr>
        <w:t xml:space="preserve">As at 30 </w:t>
      </w:r>
      <w:r w:rsidR="00F65A70" w:rsidRPr="00FC6062">
        <w:rPr>
          <w:rFonts w:cstheme="minorHAnsi"/>
          <w:sz w:val="24"/>
          <w:szCs w:val="24"/>
          <w:lang w:val="en-GB"/>
        </w:rPr>
        <w:t xml:space="preserve">September </w:t>
      </w:r>
      <w:r w:rsidRPr="00FC6062">
        <w:rPr>
          <w:rFonts w:cstheme="minorHAnsi"/>
          <w:sz w:val="24"/>
          <w:szCs w:val="24"/>
          <w:lang w:val="en-GB"/>
        </w:rPr>
        <w:t>2019, cash on hand and deposits with other banks amounted to HRK</w:t>
      </w:r>
      <w:r w:rsidR="00810A4B" w:rsidRPr="00FC6062">
        <w:rPr>
          <w:rFonts w:cstheme="minorHAnsi"/>
          <w:sz w:val="24"/>
          <w:szCs w:val="24"/>
          <w:lang w:val="en-GB"/>
        </w:rPr>
        <w:t xml:space="preserve"> </w:t>
      </w:r>
      <w:r w:rsidR="00AD6DCB" w:rsidRPr="00FC6062">
        <w:rPr>
          <w:rFonts w:cstheme="minorHAnsi"/>
          <w:sz w:val="24"/>
          <w:szCs w:val="24"/>
          <w:lang w:val="en-GB"/>
        </w:rPr>
        <w:t>1</w:t>
      </w:r>
      <w:r w:rsidR="00F65A70" w:rsidRPr="00FC6062">
        <w:rPr>
          <w:rFonts w:cstheme="minorHAnsi"/>
          <w:sz w:val="24"/>
          <w:szCs w:val="24"/>
          <w:lang w:val="en-GB"/>
        </w:rPr>
        <w:t>,</w:t>
      </w:r>
      <w:r w:rsidR="00623268" w:rsidRPr="00FC6062">
        <w:rPr>
          <w:rFonts w:cstheme="minorHAnsi"/>
          <w:sz w:val="24"/>
          <w:szCs w:val="24"/>
          <w:lang w:val="en-GB"/>
        </w:rPr>
        <w:t>740</w:t>
      </w:r>
      <w:r w:rsidR="00F65A70" w:rsidRPr="00FC6062">
        <w:rPr>
          <w:rFonts w:cstheme="minorHAnsi"/>
          <w:sz w:val="24"/>
          <w:szCs w:val="24"/>
          <w:lang w:val="en-GB"/>
        </w:rPr>
        <w:t>.</w:t>
      </w:r>
      <w:r w:rsidR="00623268" w:rsidRPr="00FC6062">
        <w:rPr>
          <w:rFonts w:cstheme="minorHAnsi"/>
          <w:sz w:val="24"/>
          <w:szCs w:val="24"/>
          <w:lang w:val="en-GB"/>
        </w:rPr>
        <w:t>0</w:t>
      </w:r>
      <w:r w:rsidR="00DB38B6" w:rsidRPr="00FC6062">
        <w:rPr>
          <w:rFonts w:cstheme="minorHAnsi"/>
          <w:sz w:val="24"/>
          <w:szCs w:val="24"/>
          <w:lang w:val="en-GB"/>
        </w:rPr>
        <w:t xml:space="preserve"> </w:t>
      </w:r>
      <w:r w:rsidRPr="00FC6062">
        <w:rPr>
          <w:rFonts w:cstheme="minorHAnsi"/>
          <w:sz w:val="24"/>
          <w:szCs w:val="24"/>
          <w:lang w:val="en-GB"/>
        </w:rPr>
        <w:t xml:space="preserve">million representing </w:t>
      </w:r>
      <w:r w:rsidR="00F65A70" w:rsidRPr="00FC6062">
        <w:rPr>
          <w:rFonts w:cstheme="minorHAnsi"/>
          <w:sz w:val="24"/>
          <w:szCs w:val="24"/>
          <w:lang w:val="en-GB"/>
        </w:rPr>
        <w:t>6</w:t>
      </w:r>
      <w:r w:rsidRPr="00FC6062">
        <w:rPr>
          <w:rFonts w:cstheme="minorHAnsi"/>
          <w:sz w:val="24"/>
          <w:szCs w:val="24"/>
          <w:lang w:val="en-GB"/>
        </w:rPr>
        <w:t>.</w:t>
      </w:r>
      <w:r w:rsidR="00F65A70" w:rsidRPr="00FC6062">
        <w:rPr>
          <w:rFonts w:cstheme="minorHAnsi"/>
          <w:sz w:val="24"/>
          <w:szCs w:val="24"/>
          <w:lang w:val="en-GB"/>
        </w:rPr>
        <w:t>5</w:t>
      </w:r>
      <w:r w:rsidRPr="00FC6062">
        <w:rPr>
          <w:rFonts w:cstheme="minorHAnsi"/>
          <w:sz w:val="24"/>
          <w:szCs w:val="24"/>
          <w:lang w:val="en-GB"/>
        </w:rPr>
        <w:t xml:space="preserve"> percent of total assets, a</w:t>
      </w:r>
      <w:r w:rsidR="00F65A70" w:rsidRPr="00FC6062">
        <w:rPr>
          <w:rFonts w:cstheme="minorHAnsi"/>
          <w:sz w:val="24"/>
          <w:szCs w:val="24"/>
          <w:lang w:val="en-GB"/>
        </w:rPr>
        <w:t xml:space="preserve">n increase </w:t>
      </w:r>
      <w:r w:rsidRPr="00FC6062">
        <w:rPr>
          <w:rFonts w:cstheme="minorHAnsi"/>
          <w:sz w:val="24"/>
          <w:szCs w:val="24"/>
          <w:lang w:val="en-GB"/>
        </w:rPr>
        <w:t>of</w:t>
      </w:r>
      <w:r w:rsidR="00F65A70" w:rsidRPr="00FC6062">
        <w:rPr>
          <w:rFonts w:cstheme="minorHAnsi"/>
          <w:sz w:val="24"/>
          <w:szCs w:val="24"/>
          <w:lang w:val="en-GB"/>
        </w:rPr>
        <w:t xml:space="preserve"> 44.6</w:t>
      </w:r>
      <w:r w:rsidRPr="00FC6062">
        <w:rPr>
          <w:rFonts w:cstheme="minorHAnsi"/>
          <w:sz w:val="24"/>
          <w:szCs w:val="24"/>
          <w:lang w:val="en-GB"/>
        </w:rPr>
        <w:t xml:space="preserve"> percent compared with 31 December 2018</w:t>
      </w:r>
      <w:r w:rsidR="00132608" w:rsidRPr="00FC6062">
        <w:rPr>
          <w:rFonts w:cstheme="minorHAnsi"/>
          <w:sz w:val="24"/>
          <w:szCs w:val="24"/>
          <w:lang w:val="en-GB"/>
        </w:rPr>
        <w:t>.</w:t>
      </w:r>
    </w:p>
    <w:p w:rsidR="00192D81" w:rsidRPr="00FC6062" w:rsidRDefault="00192D81" w:rsidP="00602844">
      <w:pPr>
        <w:spacing w:after="0" w:line="240" w:lineRule="auto"/>
        <w:jc w:val="both"/>
        <w:rPr>
          <w:rFonts w:eastAsia="Times New Roman" w:cs="Calibri"/>
          <w:sz w:val="20"/>
          <w:szCs w:val="20"/>
          <w:lang w:val="en-GB" w:eastAsia="hr-HR"/>
        </w:rPr>
      </w:pPr>
    </w:p>
    <w:p w:rsidR="00422588" w:rsidRPr="00FC6062" w:rsidRDefault="00C62066" w:rsidP="006B2629">
      <w:pPr>
        <w:spacing w:after="0" w:line="240" w:lineRule="auto"/>
        <w:jc w:val="both"/>
        <w:rPr>
          <w:rFonts w:eastAsia="Times New Roman" w:cs="Calibri"/>
          <w:b/>
          <w:i/>
          <w:sz w:val="24"/>
          <w:szCs w:val="24"/>
          <w:lang w:val="en-GB" w:eastAsia="hr-HR"/>
        </w:rPr>
      </w:pPr>
      <w:r w:rsidRPr="00FC6062">
        <w:rPr>
          <w:rFonts w:eastAsia="Times New Roman" w:cs="Calibri"/>
          <w:b/>
          <w:i/>
          <w:sz w:val="24"/>
          <w:szCs w:val="24"/>
          <w:lang w:val="en-GB" w:eastAsia="hr-HR"/>
        </w:rPr>
        <w:t xml:space="preserve">Loans to financial institutions and other customers </w:t>
      </w:r>
      <w:r w:rsidR="007E222A" w:rsidRPr="00FC6062">
        <w:rPr>
          <w:rFonts w:eastAsia="Times New Roman" w:cs="Calibri"/>
          <w:b/>
          <w:i/>
          <w:sz w:val="24"/>
          <w:szCs w:val="24"/>
          <w:lang w:val="en-GB" w:eastAsia="hr-HR"/>
        </w:rPr>
        <w:t xml:space="preserve"> </w:t>
      </w:r>
    </w:p>
    <w:p w:rsidR="00B57DFA" w:rsidRPr="00FC6062" w:rsidRDefault="00B57DFA" w:rsidP="00FF28FF">
      <w:pPr>
        <w:spacing w:after="0" w:line="240" w:lineRule="auto"/>
        <w:jc w:val="both"/>
        <w:rPr>
          <w:rFonts w:eastAsia="Times New Roman" w:cs="Calibri"/>
          <w:szCs w:val="24"/>
          <w:lang w:val="en-GB" w:eastAsia="hr-HR"/>
        </w:rPr>
      </w:pPr>
    </w:p>
    <w:p w:rsidR="00810A4B" w:rsidRPr="00FC6062" w:rsidRDefault="00F65A70">
      <w:pPr>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As at 30 </w:t>
      </w:r>
      <w:r w:rsidR="00315BD6" w:rsidRPr="00FC6062">
        <w:rPr>
          <w:rFonts w:cstheme="minorHAnsi"/>
          <w:spacing w:val="-3"/>
          <w:sz w:val="24"/>
          <w:szCs w:val="24"/>
          <w:lang w:val="en-GB"/>
        </w:rPr>
        <w:t xml:space="preserve">September </w:t>
      </w:r>
      <w:r w:rsidRPr="00FC6062">
        <w:rPr>
          <w:rFonts w:cstheme="minorHAnsi"/>
          <w:spacing w:val="-3"/>
          <w:sz w:val="24"/>
          <w:szCs w:val="24"/>
          <w:lang w:val="en-GB"/>
        </w:rPr>
        <w:t xml:space="preserve">2019, total net loans amounted to HRK </w:t>
      </w:r>
      <w:r w:rsidR="00623268" w:rsidRPr="00FC6062">
        <w:rPr>
          <w:rFonts w:cstheme="minorHAnsi"/>
          <w:spacing w:val="-3"/>
          <w:sz w:val="24"/>
          <w:szCs w:val="24"/>
          <w:lang w:val="en-GB"/>
        </w:rPr>
        <w:t>22</w:t>
      </w:r>
      <w:r w:rsidR="00315BD6" w:rsidRPr="00FC6062">
        <w:rPr>
          <w:rFonts w:cstheme="minorHAnsi"/>
          <w:spacing w:val="-3"/>
          <w:sz w:val="24"/>
          <w:szCs w:val="24"/>
          <w:lang w:val="en-GB"/>
        </w:rPr>
        <w:t>,</w:t>
      </w:r>
      <w:r w:rsidR="00623268" w:rsidRPr="00FC6062">
        <w:rPr>
          <w:rFonts w:cstheme="minorHAnsi"/>
          <w:spacing w:val="-3"/>
          <w:sz w:val="24"/>
          <w:szCs w:val="24"/>
          <w:lang w:val="en-GB"/>
        </w:rPr>
        <w:t>808</w:t>
      </w:r>
      <w:r w:rsidR="00315BD6" w:rsidRPr="00FC6062">
        <w:rPr>
          <w:rFonts w:cstheme="minorHAnsi"/>
          <w:spacing w:val="-3"/>
          <w:sz w:val="24"/>
          <w:szCs w:val="24"/>
          <w:lang w:val="en-GB"/>
        </w:rPr>
        <w:t>.</w:t>
      </w:r>
      <w:r w:rsidR="00266B97" w:rsidRPr="00FC6062">
        <w:rPr>
          <w:rFonts w:cstheme="minorHAnsi"/>
          <w:spacing w:val="-3"/>
          <w:sz w:val="24"/>
          <w:szCs w:val="24"/>
          <w:lang w:val="en-GB"/>
        </w:rPr>
        <w:t>5</w:t>
      </w:r>
      <w:r w:rsidR="00810A4B" w:rsidRPr="00FC6062">
        <w:rPr>
          <w:rFonts w:cstheme="minorHAnsi"/>
          <w:spacing w:val="-3"/>
          <w:sz w:val="24"/>
          <w:szCs w:val="24"/>
          <w:lang w:val="en-GB"/>
        </w:rPr>
        <w:t xml:space="preserve"> </w:t>
      </w:r>
      <w:r w:rsidRPr="00FC6062">
        <w:rPr>
          <w:rFonts w:cstheme="minorHAnsi"/>
          <w:spacing w:val="-3"/>
          <w:sz w:val="24"/>
          <w:szCs w:val="24"/>
          <w:lang w:val="en-GB"/>
        </w:rPr>
        <w:t>million representing 8</w:t>
      </w:r>
      <w:r w:rsidR="00315BD6" w:rsidRPr="00FC6062">
        <w:rPr>
          <w:rFonts w:cstheme="minorHAnsi"/>
          <w:spacing w:val="-3"/>
          <w:sz w:val="24"/>
          <w:szCs w:val="24"/>
          <w:lang w:val="en-GB"/>
        </w:rPr>
        <w:t>5</w:t>
      </w:r>
      <w:r w:rsidRPr="00FC6062">
        <w:rPr>
          <w:rFonts w:cstheme="minorHAnsi"/>
          <w:spacing w:val="-3"/>
          <w:sz w:val="24"/>
          <w:szCs w:val="24"/>
          <w:lang w:val="en-GB"/>
        </w:rPr>
        <w:t>.</w:t>
      </w:r>
      <w:r w:rsidR="00315BD6" w:rsidRPr="00FC6062">
        <w:rPr>
          <w:rFonts w:cstheme="minorHAnsi"/>
          <w:spacing w:val="-3"/>
          <w:sz w:val="24"/>
          <w:szCs w:val="24"/>
          <w:lang w:val="en-GB"/>
        </w:rPr>
        <w:t>8</w:t>
      </w:r>
      <w:r w:rsidRPr="00FC6062">
        <w:rPr>
          <w:rFonts w:cstheme="minorHAnsi"/>
          <w:spacing w:val="-3"/>
          <w:sz w:val="24"/>
          <w:szCs w:val="24"/>
          <w:lang w:val="en-GB"/>
        </w:rPr>
        <w:t xml:space="preserve"> percent of total assets, an increase </w:t>
      </w:r>
      <w:r w:rsidR="00315BD6" w:rsidRPr="00FC6062">
        <w:rPr>
          <w:rFonts w:cstheme="minorHAnsi"/>
          <w:spacing w:val="-3"/>
          <w:sz w:val="24"/>
          <w:szCs w:val="24"/>
          <w:lang w:val="en-GB"/>
        </w:rPr>
        <w:t>0.</w:t>
      </w:r>
      <w:r w:rsidRPr="00FC6062">
        <w:rPr>
          <w:rFonts w:cstheme="minorHAnsi"/>
          <w:spacing w:val="-3"/>
          <w:sz w:val="24"/>
          <w:szCs w:val="24"/>
          <w:lang w:val="en-GB"/>
        </w:rPr>
        <w:t>3 percent on the beginning of the year</w:t>
      </w:r>
      <w:r w:rsidR="00810A4B" w:rsidRPr="00FC6062">
        <w:rPr>
          <w:rFonts w:cstheme="minorHAnsi"/>
          <w:spacing w:val="-3"/>
          <w:sz w:val="24"/>
          <w:szCs w:val="24"/>
          <w:lang w:val="en-GB"/>
        </w:rPr>
        <w:t xml:space="preserve">. </w:t>
      </w:r>
    </w:p>
    <w:p w:rsidR="00810A4B" w:rsidRPr="00FC6062" w:rsidRDefault="00810A4B" w:rsidP="00810A4B">
      <w:pPr>
        <w:spacing w:after="0" w:line="240" w:lineRule="auto"/>
        <w:jc w:val="both"/>
        <w:rPr>
          <w:rFonts w:cstheme="minorHAnsi"/>
          <w:spacing w:val="-3"/>
          <w:szCs w:val="24"/>
          <w:lang w:val="en-GB"/>
        </w:rPr>
      </w:pPr>
    </w:p>
    <w:p w:rsidR="00FD5254" w:rsidRPr="00FC6062" w:rsidRDefault="00315BD6" w:rsidP="007B069A">
      <w:pPr>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Total gross loans amounted to HRK </w:t>
      </w:r>
      <w:r w:rsidR="00623268" w:rsidRPr="00FC6062">
        <w:rPr>
          <w:rFonts w:cstheme="minorHAnsi"/>
          <w:spacing w:val="-3"/>
          <w:sz w:val="24"/>
          <w:szCs w:val="24"/>
          <w:lang w:val="en-GB"/>
        </w:rPr>
        <w:t>26</w:t>
      </w:r>
      <w:r w:rsidRPr="00FC6062">
        <w:rPr>
          <w:rFonts w:cstheme="minorHAnsi"/>
          <w:spacing w:val="-3"/>
          <w:sz w:val="24"/>
          <w:szCs w:val="24"/>
          <w:lang w:val="en-GB"/>
        </w:rPr>
        <w:t>,</w:t>
      </w:r>
      <w:r w:rsidR="00623268" w:rsidRPr="00FC6062">
        <w:rPr>
          <w:rFonts w:cstheme="minorHAnsi"/>
          <w:spacing w:val="-3"/>
          <w:sz w:val="24"/>
          <w:szCs w:val="24"/>
          <w:lang w:val="en-GB"/>
        </w:rPr>
        <w:t>459</w:t>
      </w:r>
      <w:r w:rsidRPr="00FC6062">
        <w:rPr>
          <w:rFonts w:cstheme="minorHAnsi"/>
          <w:spacing w:val="-3"/>
          <w:sz w:val="24"/>
          <w:szCs w:val="24"/>
          <w:lang w:val="en-GB"/>
        </w:rPr>
        <w:t>.</w:t>
      </w:r>
      <w:r w:rsidR="00623268" w:rsidRPr="00FC6062">
        <w:rPr>
          <w:rFonts w:cstheme="minorHAnsi"/>
          <w:spacing w:val="-3"/>
          <w:sz w:val="24"/>
          <w:szCs w:val="24"/>
          <w:lang w:val="en-GB"/>
        </w:rPr>
        <w:t>7</w:t>
      </w:r>
      <w:r w:rsidR="003F2303" w:rsidRPr="00FC6062">
        <w:rPr>
          <w:rFonts w:cstheme="minorHAnsi"/>
          <w:spacing w:val="-3"/>
          <w:sz w:val="24"/>
          <w:szCs w:val="24"/>
          <w:lang w:val="en-GB"/>
        </w:rPr>
        <w:t xml:space="preserve"> </w:t>
      </w:r>
      <w:r w:rsidR="00F65A70" w:rsidRPr="00FC6062">
        <w:rPr>
          <w:rFonts w:cstheme="minorHAnsi"/>
          <w:spacing w:val="-3"/>
          <w:sz w:val="24"/>
          <w:szCs w:val="24"/>
          <w:lang w:val="en-GB"/>
        </w:rPr>
        <w:t xml:space="preserve">million, an increase of </w:t>
      </w:r>
      <w:r w:rsidRPr="00FC6062">
        <w:rPr>
          <w:rFonts w:cstheme="minorHAnsi"/>
          <w:spacing w:val="-3"/>
          <w:sz w:val="24"/>
          <w:szCs w:val="24"/>
          <w:lang w:val="en-GB"/>
        </w:rPr>
        <w:t>0</w:t>
      </w:r>
      <w:r w:rsidR="00F65A70" w:rsidRPr="00FC6062">
        <w:rPr>
          <w:rFonts w:cstheme="minorHAnsi"/>
          <w:spacing w:val="-3"/>
          <w:sz w:val="24"/>
          <w:szCs w:val="24"/>
          <w:lang w:val="en-GB"/>
        </w:rPr>
        <w:t>.</w:t>
      </w:r>
      <w:r w:rsidRPr="00FC6062">
        <w:rPr>
          <w:rFonts w:cstheme="minorHAnsi"/>
          <w:spacing w:val="-3"/>
          <w:sz w:val="24"/>
          <w:szCs w:val="24"/>
          <w:lang w:val="en-GB"/>
        </w:rPr>
        <w:t>8</w:t>
      </w:r>
      <w:r w:rsidR="00F65A70" w:rsidRPr="00FC6062">
        <w:rPr>
          <w:rFonts w:cstheme="minorHAnsi"/>
          <w:spacing w:val="-3"/>
          <w:sz w:val="24"/>
          <w:szCs w:val="24"/>
          <w:lang w:val="en-GB"/>
        </w:rPr>
        <w:t xml:space="preserve"> percent compared with 31 December 2018. Gross loans to other customers increased by 7</w:t>
      </w:r>
      <w:r w:rsidR="00811545" w:rsidRPr="00FC6062">
        <w:rPr>
          <w:rFonts w:cstheme="minorHAnsi"/>
          <w:spacing w:val="-3"/>
          <w:sz w:val="24"/>
          <w:szCs w:val="24"/>
          <w:lang w:val="en-GB"/>
        </w:rPr>
        <w:t>.0</w:t>
      </w:r>
      <w:r w:rsidR="00F65A70" w:rsidRPr="00FC6062">
        <w:rPr>
          <w:rFonts w:cstheme="minorHAnsi"/>
          <w:spacing w:val="-3"/>
          <w:sz w:val="24"/>
          <w:szCs w:val="24"/>
          <w:lang w:val="en-GB"/>
        </w:rPr>
        <w:t xml:space="preserve"> percent compared with the end of 2018. Gross loans to financial institutions </w:t>
      </w:r>
      <w:r w:rsidR="00133536">
        <w:rPr>
          <w:rFonts w:cstheme="minorHAnsi"/>
          <w:spacing w:val="-3"/>
          <w:sz w:val="24"/>
          <w:szCs w:val="24"/>
          <w:lang w:val="en-GB"/>
        </w:rPr>
        <w:t xml:space="preserve">decreased by </w:t>
      </w:r>
      <w:r w:rsidR="00962065">
        <w:rPr>
          <w:rFonts w:cstheme="minorHAnsi"/>
          <w:spacing w:val="-3"/>
          <w:sz w:val="24"/>
          <w:szCs w:val="24"/>
          <w:lang w:val="en-GB"/>
        </w:rPr>
        <w:t>8.7 percent compared with the beginning of the year</w:t>
      </w:r>
      <w:r w:rsidR="00623268" w:rsidRPr="00FC6062">
        <w:rPr>
          <w:rFonts w:cstheme="minorHAnsi"/>
          <w:spacing w:val="-3"/>
          <w:sz w:val="24"/>
          <w:szCs w:val="24"/>
          <w:lang w:val="en-GB"/>
        </w:rPr>
        <w:t xml:space="preserve">. </w:t>
      </w:r>
    </w:p>
    <w:p w:rsidR="00AE785D" w:rsidRPr="00FC6062" w:rsidRDefault="00AE785D">
      <w:pPr>
        <w:spacing w:after="0" w:line="240" w:lineRule="auto"/>
        <w:jc w:val="both"/>
        <w:rPr>
          <w:rFonts w:eastAsia="Times New Roman" w:cs="Calibri"/>
          <w:b/>
          <w:i/>
          <w:spacing w:val="-3"/>
          <w:szCs w:val="24"/>
          <w:lang w:val="en-GB" w:eastAsia="hr-HR"/>
        </w:rPr>
      </w:pPr>
    </w:p>
    <w:p w:rsidR="00E96499" w:rsidRPr="00FC6062" w:rsidRDefault="00E96499" w:rsidP="000479D6">
      <w:pPr>
        <w:spacing w:after="0" w:line="240" w:lineRule="auto"/>
        <w:jc w:val="both"/>
        <w:rPr>
          <w:rFonts w:cstheme="minorHAnsi"/>
          <w:b/>
          <w:i/>
          <w:sz w:val="24"/>
          <w:szCs w:val="24"/>
          <w:lang w:val="en-GB"/>
        </w:rPr>
      </w:pPr>
      <w:r w:rsidRPr="00FC6062">
        <w:rPr>
          <w:rFonts w:cstheme="minorHAnsi"/>
          <w:b/>
          <w:i/>
          <w:sz w:val="24"/>
          <w:szCs w:val="24"/>
          <w:lang w:val="en-GB"/>
        </w:rPr>
        <w:t>F</w:t>
      </w:r>
      <w:r w:rsidR="00F65A70" w:rsidRPr="00FC6062">
        <w:rPr>
          <w:rFonts w:cstheme="minorHAnsi"/>
          <w:b/>
          <w:i/>
          <w:sz w:val="24"/>
          <w:szCs w:val="24"/>
          <w:lang w:val="en-GB"/>
        </w:rPr>
        <w:t>inancial assets at fair value through profit or loss</w:t>
      </w:r>
    </w:p>
    <w:p w:rsidR="00E96499" w:rsidRPr="00FC6062" w:rsidRDefault="00E96499" w:rsidP="007B069A">
      <w:pPr>
        <w:tabs>
          <w:tab w:val="left" w:pos="-720"/>
        </w:tabs>
        <w:suppressAutoHyphens/>
        <w:spacing w:after="0" w:line="240" w:lineRule="auto"/>
        <w:jc w:val="both"/>
        <w:rPr>
          <w:rFonts w:cs="Arial"/>
          <w:b/>
          <w:szCs w:val="24"/>
          <w:lang w:val="en-GB"/>
        </w:rPr>
      </w:pPr>
    </w:p>
    <w:p w:rsidR="00E96499" w:rsidRPr="00FC6062" w:rsidRDefault="00E15E84" w:rsidP="007B069A">
      <w:pPr>
        <w:tabs>
          <w:tab w:val="left" w:pos="-720"/>
        </w:tabs>
        <w:suppressAutoHyphens/>
        <w:spacing w:after="0" w:line="240" w:lineRule="auto"/>
        <w:jc w:val="both"/>
        <w:rPr>
          <w:rFonts w:cs="Arial"/>
          <w:sz w:val="24"/>
          <w:szCs w:val="24"/>
          <w:lang w:val="en-GB"/>
        </w:rPr>
      </w:pPr>
      <w:r w:rsidRPr="00FC6062">
        <w:rPr>
          <w:rFonts w:cstheme="minorHAnsi"/>
          <w:sz w:val="24"/>
          <w:szCs w:val="24"/>
          <w:lang w:val="en-GB"/>
        </w:rPr>
        <w:t xml:space="preserve">Loans at fair value (HBOR has determined that mezzanine loans are classified here), investments in investment funds (obligatory pursuant to IFRS) and a part of equity instruments are classified to these assets. As at 30 </w:t>
      </w:r>
      <w:r w:rsidR="00962065">
        <w:rPr>
          <w:rFonts w:cstheme="minorHAnsi"/>
          <w:sz w:val="24"/>
          <w:szCs w:val="24"/>
          <w:lang w:val="en-GB"/>
        </w:rPr>
        <w:t xml:space="preserve">September </w:t>
      </w:r>
      <w:r w:rsidRPr="00FC6062">
        <w:rPr>
          <w:rFonts w:cstheme="minorHAnsi"/>
          <w:sz w:val="24"/>
          <w:szCs w:val="24"/>
          <w:lang w:val="en-GB"/>
        </w:rPr>
        <w:t xml:space="preserve">2019, the total amount of these assets equalled HRK </w:t>
      </w:r>
      <w:r w:rsidR="00BD775E" w:rsidRPr="00FC6062">
        <w:rPr>
          <w:rFonts w:cstheme="minorHAnsi"/>
          <w:sz w:val="24"/>
          <w:szCs w:val="24"/>
          <w:lang w:val="en-GB"/>
        </w:rPr>
        <w:t>278</w:t>
      </w:r>
      <w:r w:rsidR="00962065">
        <w:rPr>
          <w:rFonts w:cstheme="minorHAnsi"/>
          <w:sz w:val="24"/>
          <w:szCs w:val="24"/>
          <w:lang w:val="en-GB"/>
        </w:rPr>
        <w:t>.</w:t>
      </w:r>
      <w:r w:rsidR="00BD775E" w:rsidRPr="00FC6062">
        <w:rPr>
          <w:rFonts w:cstheme="minorHAnsi"/>
          <w:sz w:val="24"/>
          <w:szCs w:val="24"/>
          <w:lang w:val="en-GB"/>
        </w:rPr>
        <w:t>6</w:t>
      </w:r>
      <w:r w:rsidR="00424202" w:rsidRPr="00FC6062">
        <w:rPr>
          <w:rFonts w:cstheme="minorHAnsi"/>
          <w:sz w:val="24"/>
          <w:szCs w:val="24"/>
          <w:lang w:val="en-GB"/>
        </w:rPr>
        <w:t xml:space="preserve"> </w:t>
      </w:r>
      <w:r w:rsidR="00962065">
        <w:rPr>
          <w:rFonts w:cstheme="minorHAnsi"/>
          <w:sz w:val="24"/>
          <w:szCs w:val="24"/>
          <w:lang w:val="en-GB"/>
        </w:rPr>
        <w:t xml:space="preserve">million representing </w:t>
      </w:r>
      <w:r w:rsidR="000E1112" w:rsidRPr="00FC6062">
        <w:rPr>
          <w:rFonts w:cstheme="minorHAnsi"/>
          <w:sz w:val="24"/>
          <w:szCs w:val="24"/>
          <w:lang w:val="en-GB"/>
        </w:rPr>
        <w:t>1</w:t>
      </w:r>
      <w:r w:rsidR="00962065">
        <w:rPr>
          <w:rFonts w:cstheme="minorHAnsi"/>
          <w:sz w:val="24"/>
          <w:szCs w:val="24"/>
          <w:lang w:val="en-GB"/>
        </w:rPr>
        <w:t>.</w:t>
      </w:r>
      <w:r w:rsidR="00655813" w:rsidRPr="00FC6062">
        <w:rPr>
          <w:rFonts w:cstheme="minorHAnsi"/>
          <w:sz w:val="24"/>
          <w:szCs w:val="24"/>
          <w:lang w:val="en-GB"/>
        </w:rPr>
        <w:t>1</w:t>
      </w:r>
      <w:r w:rsidR="00BD775E" w:rsidRPr="00FC6062">
        <w:rPr>
          <w:rFonts w:cstheme="minorHAnsi"/>
          <w:sz w:val="24"/>
          <w:szCs w:val="24"/>
          <w:lang w:val="en-GB"/>
        </w:rPr>
        <w:t xml:space="preserve"> </w:t>
      </w:r>
      <w:r w:rsidR="00962065">
        <w:rPr>
          <w:rFonts w:cstheme="minorHAnsi"/>
          <w:sz w:val="24"/>
          <w:szCs w:val="24"/>
          <w:lang w:val="en-GB"/>
        </w:rPr>
        <w:t>percent of total assets</w:t>
      </w:r>
      <w:r w:rsidR="00E96499" w:rsidRPr="00FC6062">
        <w:rPr>
          <w:rFonts w:cstheme="minorHAnsi"/>
          <w:sz w:val="24"/>
          <w:szCs w:val="24"/>
          <w:lang w:val="en-GB"/>
        </w:rPr>
        <w:t>.</w:t>
      </w:r>
      <w:r w:rsidR="00E96499" w:rsidRPr="00FC6062">
        <w:rPr>
          <w:rFonts w:cs="Arial"/>
          <w:sz w:val="24"/>
          <w:szCs w:val="24"/>
          <w:lang w:val="en-GB"/>
        </w:rPr>
        <w:t xml:space="preserve"> </w:t>
      </w:r>
    </w:p>
    <w:p w:rsidR="00E96499" w:rsidRPr="00FC6062" w:rsidRDefault="00E96499" w:rsidP="007B069A">
      <w:pPr>
        <w:tabs>
          <w:tab w:val="left" w:pos="-720"/>
        </w:tabs>
        <w:suppressAutoHyphens/>
        <w:spacing w:after="0" w:line="240" w:lineRule="auto"/>
        <w:jc w:val="both"/>
        <w:rPr>
          <w:rFonts w:cs="Arial"/>
          <w:szCs w:val="24"/>
          <w:lang w:val="en-GB"/>
        </w:rPr>
      </w:pPr>
    </w:p>
    <w:p w:rsidR="007859D5" w:rsidRPr="00FC6062" w:rsidRDefault="00E15E84" w:rsidP="007B069A">
      <w:pPr>
        <w:tabs>
          <w:tab w:val="left" w:pos="-720"/>
        </w:tabs>
        <w:suppressAutoHyphens/>
        <w:spacing w:after="0" w:line="240" w:lineRule="auto"/>
        <w:jc w:val="both"/>
        <w:rPr>
          <w:rFonts w:cstheme="minorHAnsi"/>
          <w:b/>
          <w:i/>
          <w:sz w:val="24"/>
          <w:szCs w:val="24"/>
          <w:lang w:val="en-GB"/>
        </w:rPr>
      </w:pPr>
      <w:r w:rsidRPr="00FC6062">
        <w:rPr>
          <w:rFonts w:cstheme="minorHAnsi"/>
          <w:b/>
          <w:i/>
          <w:sz w:val="24"/>
          <w:szCs w:val="24"/>
          <w:lang w:val="en-GB"/>
        </w:rPr>
        <w:t>Financial assets at fair value through other comprehensive income</w:t>
      </w:r>
      <w:r w:rsidR="00962065">
        <w:rPr>
          <w:rFonts w:cstheme="minorHAnsi"/>
          <w:b/>
          <w:i/>
          <w:sz w:val="24"/>
          <w:szCs w:val="24"/>
          <w:lang w:val="en-GB"/>
        </w:rPr>
        <w:t xml:space="preserve"> </w:t>
      </w:r>
    </w:p>
    <w:p w:rsidR="00FC7E2E" w:rsidRPr="00FC6062" w:rsidRDefault="00FC7E2E" w:rsidP="007B069A">
      <w:pPr>
        <w:tabs>
          <w:tab w:val="left" w:pos="-720"/>
        </w:tabs>
        <w:suppressAutoHyphens/>
        <w:spacing w:after="0" w:line="240" w:lineRule="auto"/>
        <w:jc w:val="both"/>
        <w:rPr>
          <w:rFonts w:cstheme="minorHAnsi"/>
          <w:b/>
          <w:i/>
          <w:szCs w:val="24"/>
          <w:lang w:val="en-GB"/>
        </w:rPr>
      </w:pPr>
    </w:p>
    <w:p w:rsidR="007859D5" w:rsidRPr="00FC6062" w:rsidRDefault="007859D5" w:rsidP="007B069A">
      <w:pPr>
        <w:tabs>
          <w:tab w:val="left" w:pos="-720"/>
        </w:tabs>
        <w:suppressAutoHyphens/>
        <w:spacing w:after="0" w:line="240" w:lineRule="auto"/>
        <w:jc w:val="both"/>
        <w:rPr>
          <w:rFonts w:cstheme="minorHAnsi"/>
          <w:b/>
          <w:i/>
          <w:sz w:val="24"/>
          <w:szCs w:val="24"/>
          <w:lang w:val="en-GB"/>
        </w:rPr>
      </w:pPr>
      <w:r w:rsidRPr="00FC6062">
        <w:rPr>
          <w:rFonts w:cstheme="minorHAnsi"/>
          <w:b/>
          <w:i/>
          <w:sz w:val="24"/>
          <w:szCs w:val="24"/>
          <w:lang w:val="en-GB"/>
        </w:rPr>
        <w:t>a) D</w:t>
      </w:r>
      <w:r w:rsidR="00861D51">
        <w:rPr>
          <w:rFonts w:cstheme="minorHAnsi"/>
          <w:b/>
          <w:i/>
          <w:sz w:val="24"/>
          <w:szCs w:val="24"/>
          <w:lang w:val="en-GB"/>
        </w:rPr>
        <w:t>ebt securities</w:t>
      </w:r>
    </w:p>
    <w:p w:rsidR="00132608" w:rsidRPr="00FC6062" w:rsidRDefault="00E15E84" w:rsidP="007B069A">
      <w:pPr>
        <w:spacing w:after="0" w:line="240" w:lineRule="auto"/>
        <w:jc w:val="both"/>
        <w:rPr>
          <w:rFonts w:cstheme="minorHAnsi"/>
          <w:sz w:val="24"/>
          <w:szCs w:val="24"/>
          <w:lang w:val="en-GB"/>
        </w:rPr>
      </w:pPr>
      <w:r w:rsidRPr="00FC6062">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4567B5" w:rsidRPr="00FC6062">
        <w:rPr>
          <w:rFonts w:cstheme="minorHAnsi"/>
          <w:sz w:val="24"/>
          <w:szCs w:val="24"/>
          <w:lang w:val="en-GB"/>
        </w:rPr>
        <w:t>1</w:t>
      </w:r>
      <w:r w:rsidR="00CD76A6">
        <w:rPr>
          <w:rFonts w:cstheme="minorHAnsi"/>
          <w:sz w:val="24"/>
          <w:szCs w:val="24"/>
          <w:lang w:val="en-GB"/>
        </w:rPr>
        <w:t>,</w:t>
      </w:r>
      <w:r w:rsidR="00240F31" w:rsidRPr="00FC6062">
        <w:rPr>
          <w:rFonts w:cstheme="minorHAnsi"/>
          <w:sz w:val="24"/>
          <w:szCs w:val="24"/>
          <w:lang w:val="en-GB"/>
        </w:rPr>
        <w:t>600</w:t>
      </w:r>
      <w:r w:rsidR="00CD76A6">
        <w:rPr>
          <w:rFonts w:cstheme="minorHAnsi"/>
          <w:sz w:val="24"/>
          <w:szCs w:val="24"/>
          <w:lang w:val="en-GB"/>
        </w:rPr>
        <w:t>.</w:t>
      </w:r>
      <w:r w:rsidR="00240F31" w:rsidRPr="00FC6062">
        <w:rPr>
          <w:rFonts w:cstheme="minorHAnsi"/>
          <w:sz w:val="24"/>
          <w:szCs w:val="24"/>
          <w:lang w:val="en-GB"/>
        </w:rPr>
        <w:t>9</w:t>
      </w:r>
      <w:r w:rsidR="007859D5" w:rsidRPr="00FC6062">
        <w:rPr>
          <w:rFonts w:cstheme="minorHAnsi"/>
          <w:sz w:val="24"/>
          <w:szCs w:val="24"/>
          <w:lang w:val="en-GB"/>
        </w:rPr>
        <w:t xml:space="preserve"> </w:t>
      </w:r>
      <w:r w:rsidR="00CD76A6" w:rsidRPr="00CD76A6">
        <w:rPr>
          <w:rFonts w:cstheme="minorHAnsi"/>
          <w:sz w:val="24"/>
          <w:szCs w:val="24"/>
          <w:lang w:val="en-GB"/>
        </w:rPr>
        <w:t>million, representing 6.</w:t>
      </w:r>
      <w:r w:rsidR="006329AA">
        <w:rPr>
          <w:rFonts w:cstheme="minorHAnsi"/>
          <w:sz w:val="24"/>
          <w:szCs w:val="24"/>
          <w:lang w:val="en-GB"/>
        </w:rPr>
        <w:t>0</w:t>
      </w:r>
      <w:r w:rsidR="00CD76A6" w:rsidRPr="00CD76A6">
        <w:rPr>
          <w:rFonts w:cstheme="minorHAnsi"/>
          <w:sz w:val="24"/>
          <w:szCs w:val="24"/>
          <w:lang w:val="en-GB"/>
        </w:rPr>
        <w:t xml:space="preserve"> percent of total assets, a decrease of </w:t>
      </w:r>
      <w:r w:rsidR="00CD76A6">
        <w:rPr>
          <w:rFonts w:cstheme="minorHAnsi"/>
          <w:sz w:val="24"/>
          <w:szCs w:val="24"/>
          <w:lang w:val="en-GB"/>
        </w:rPr>
        <w:t>42</w:t>
      </w:r>
      <w:r w:rsidR="00CD76A6" w:rsidRPr="00CD76A6">
        <w:rPr>
          <w:rFonts w:cstheme="minorHAnsi"/>
          <w:sz w:val="24"/>
          <w:szCs w:val="24"/>
          <w:lang w:val="en-GB"/>
        </w:rPr>
        <w:t>.</w:t>
      </w:r>
      <w:r w:rsidR="00CD76A6">
        <w:rPr>
          <w:rFonts w:cstheme="minorHAnsi"/>
          <w:sz w:val="24"/>
          <w:szCs w:val="24"/>
          <w:lang w:val="en-GB"/>
        </w:rPr>
        <w:t>1</w:t>
      </w:r>
      <w:r w:rsidR="00CD76A6" w:rsidRPr="00CD76A6">
        <w:rPr>
          <w:rFonts w:cstheme="minorHAnsi"/>
          <w:sz w:val="24"/>
          <w:szCs w:val="24"/>
          <w:lang w:val="en-GB"/>
        </w:rPr>
        <w:t xml:space="preserve"> percent on the beginning of the year. This is a result of a significant outflow of liquidity reserve funds for the purpose of </w:t>
      </w:r>
      <w:r w:rsidR="00CD76A6">
        <w:rPr>
          <w:rFonts w:cstheme="minorHAnsi"/>
          <w:sz w:val="24"/>
          <w:szCs w:val="24"/>
          <w:lang w:val="en-GB"/>
        </w:rPr>
        <w:t xml:space="preserve">loan disbursements and </w:t>
      </w:r>
      <w:r w:rsidR="00CD76A6" w:rsidRPr="00CD76A6">
        <w:rPr>
          <w:rFonts w:cstheme="minorHAnsi"/>
          <w:sz w:val="24"/>
          <w:szCs w:val="24"/>
          <w:lang w:val="en-GB"/>
        </w:rPr>
        <w:t>settling borrowing liabilities</w:t>
      </w:r>
      <w:r w:rsidR="007859D5" w:rsidRPr="00FC6062">
        <w:rPr>
          <w:rFonts w:cstheme="minorHAnsi"/>
          <w:sz w:val="24"/>
          <w:szCs w:val="24"/>
          <w:lang w:val="en-GB"/>
        </w:rPr>
        <w:t xml:space="preserve">. </w:t>
      </w:r>
    </w:p>
    <w:p w:rsidR="007859D5" w:rsidRPr="00FC6062" w:rsidRDefault="00E15E84" w:rsidP="007B069A">
      <w:pPr>
        <w:spacing w:after="0" w:line="240" w:lineRule="auto"/>
        <w:jc w:val="both"/>
        <w:rPr>
          <w:rFonts w:cstheme="minorHAnsi"/>
          <w:sz w:val="24"/>
          <w:szCs w:val="24"/>
          <w:lang w:val="en-GB"/>
        </w:rPr>
      </w:pPr>
      <w:r w:rsidRPr="00FC6062">
        <w:rPr>
          <w:rFonts w:cstheme="minorHAnsi"/>
          <w:color w:val="000000" w:themeColor="text1"/>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HRK 3.2 million</w:t>
      </w:r>
      <w:r w:rsidR="007859D5" w:rsidRPr="00FC6062">
        <w:rPr>
          <w:rFonts w:cstheme="minorHAnsi"/>
          <w:color w:val="000000" w:themeColor="text1"/>
          <w:sz w:val="24"/>
          <w:szCs w:val="24"/>
          <w:lang w:val="en-GB"/>
        </w:rPr>
        <w:t>.</w:t>
      </w:r>
    </w:p>
    <w:p w:rsidR="007859D5" w:rsidRPr="00FC6062" w:rsidRDefault="007859D5" w:rsidP="007B069A">
      <w:pPr>
        <w:tabs>
          <w:tab w:val="left" w:pos="-720"/>
        </w:tabs>
        <w:suppressAutoHyphens/>
        <w:spacing w:after="0" w:line="240" w:lineRule="auto"/>
        <w:jc w:val="both"/>
        <w:rPr>
          <w:rFonts w:cstheme="minorHAnsi"/>
          <w:b/>
          <w:i/>
          <w:szCs w:val="24"/>
          <w:lang w:val="en-GB"/>
        </w:rPr>
      </w:pPr>
    </w:p>
    <w:p w:rsidR="007859D5" w:rsidRPr="00FC6062" w:rsidRDefault="007859D5" w:rsidP="007B069A">
      <w:pPr>
        <w:tabs>
          <w:tab w:val="left" w:pos="-720"/>
        </w:tabs>
        <w:suppressAutoHyphens/>
        <w:spacing w:after="0" w:line="240" w:lineRule="auto"/>
        <w:jc w:val="both"/>
        <w:rPr>
          <w:rFonts w:cstheme="minorHAnsi"/>
          <w:b/>
          <w:i/>
          <w:sz w:val="24"/>
          <w:szCs w:val="24"/>
          <w:lang w:val="en-GB"/>
        </w:rPr>
      </w:pPr>
      <w:r w:rsidRPr="00FC6062">
        <w:rPr>
          <w:rFonts w:cstheme="minorHAnsi"/>
          <w:b/>
          <w:i/>
          <w:sz w:val="24"/>
          <w:szCs w:val="24"/>
          <w:lang w:val="en-GB"/>
        </w:rPr>
        <w:t xml:space="preserve"> b) </w:t>
      </w:r>
      <w:r w:rsidR="00CD76A6">
        <w:rPr>
          <w:rFonts w:cstheme="minorHAnsi"/>
          <w:b/>
          <w:i/>
          <w:sz w:val="24"/>
          <w:szCs w:val="24"/>
          <w:lang w:val="en-GB"/>
        </w:rPr>
        <w:t xml:space="preserve">Equity instruments </w:t>
      </w:r>
    </w:p>
    <w:p w:rsidR="007859D5" w:rsidRPr="00FC6062" w:rsidRDefault="00FC6062" w:rsidP="007B069A">
      <w:pPr>
        <w:tabs>
          <w:tab w:val="left" w:pos="-720"/>
        </w:tabs>
        <w:suppressAutoHyphens/>
        <w:spacing w:after="0" w:line="240" w:lineRule="auto"/>
        <w:jc w:val="both"/>
        <w:rPr>
          <w:rFonts w:cstheme="minorHAnsi"/>
          <w:sz w:val="24"/>
          <w:szCs w:val="24"/>
          <w:lang w:val="en-GB"/>
        </w:rPr>
      </w:pPr>
      <w:r w:rsidRPr="00FC6062">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r w:rsidR="007859D5" w:rsidRPr="00FC6062">
        <w:rPr>
          <w:rFonts w:cstheme="minorHAnsi"/>
          <w:sz w:val="24"/>
          <w:szCs w:val="24"/>
          <w:lang w:val="en-GB"/>
        </w:rPr>
        <w:t>.</w:t>
      </w:r>
    </w:p>
    <w:p w:rsidR="00821087" w:rsidRPr="00FC6062" w:rsidRDefault="007859D5" w:rsidP="00124861">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O</w:t>
      </w:r>
      <w:r w:rsidR="00FC6062" w:rsidRPr="00FC6062">
        <w:rPr>
          <w:rFonts w:cstheme="minorHAnsi"/>
          <w:spacing w:val="-3"/>
          <w:sz w:val="24"/>
          <w:szCs w:val="24"/>
          <w:lang w:val="en-GB"/>
        </w:rPr>
        <w:t>n the reporting date, these assets amounted to HRK 26.1 million, representing 0.1 percent of total assets</w:t>
      </w:r>
      <w:r w:rsidRPr="00FC6062">
        <w:rPr>
          <w:rFonts w:cstheme="minorHAnsi"/>
          <w:spacing w:val="-3"/>
          <w:sz w:val="24"/>
          <w:szCs w:val="24"/>
          <w:lang w:val="en-GB"/>
        </w:rPr>
        <w:t>.</w:t>
      </w:r>
    </w:p>
    <w:p w:rsidR="00821087" w:rsidRPr="00FC6062" w:rsidRDefault="00821087" w:rsidP="00810A4B">
      <w:pPr>
        <w:tabs>
          <w:tab w:val="left" w:pos="-720"/>
        </w:tabs>
        <w:suppressAutoHyphens/>
        <w:spacing w:after="0" w:line="240" w:lineRule="auto"/>
        <w:jc w:val="both"/>
        <w:rPr>
          <w:rFonts w:cstheme="minorHAnsi"/>
          <w:spacing w:val="-3"/>
          <w:sz w:val="24"/>
          <w:szCs w:val="24"/>
          <w:lang w:val="en-GB"/>
        </w:rPr>
        <w:sectPr w:rsidR="00821087" w:rsidRPr="00FC6062" w:rsidSect="00F11426">
          <w:footerReference w:type="default" r:id="rId37"/>
          <w:pgSz w:w="11906" w:h="16838"/>
          <w:pgMar w:top="1417" w:right="1416" w:bottom="1417" w:left="1417" w:header="708" w:footer="708" w:gutter="0"/>
          <w:cols w:space="708"/>
          <w:docGrid w:linePitch="360"/>
        </w:sectPr>
      </w:pPr>
    </w:p>
    <w:p w:rsidR="00A66E01" w:rsidRPr="00FC6062" w:rsidRDefault="00E52BAC" w:rsidP="00F11426">
      <w:pPr>
        <w:tabs>
          <w:tab w:val="left" w:pos="-720"/>
        </w:tabs>
        <w:suppressAutoHyphens/>
        <w:spacing w:after="0" w:line="240" w:lineRule="auto"/>
        <w:ind w:left="-567" w:right="-284"/>
        <w:jc w:val="both"/>
        <w:rPr>
          <w:rFonts w:cstheme="minorHAnsi"/>
          <w:spacing w:val="-3"/>
          <w:sz w:val="24"/>
          <w:szCs w:val="24"/>
          <w:lang w:val="en-GB"/>
        </w:rPr>
      </w:pPr>
      <w:bookmarkStart w:id="2" w:name="_Hlk14441019"/>
      <w:r w:rsidRPr="00FC6062">
        <w:rPr>
          <w:rFonts w:cstheme="minorHAnsi"/>
          <w:spacing w:val="-3"/>
          <w:sz w:val="24"/>
          <w:szCs w:val="24"/>
          <w:lang w:val="en-GB"/>
        </w:rPr>
        <w:lastRenderedPageBreak/>
        <w:t xml:space="preserve">   </w:t>
      </w:r>
      <w:r w:rsidR="00912FB2" w:rsidRPr="00FC6062">
        <w:rPr>
          <w:rFonts w:cstheme="minorHAnsi"/>
          <w:spacing w:val="-3"/>
          <w:sz w:val="24"/>
          <w:szCs w:val="24"/>
          <w:lang w:val="en-GB"/>
        </w:rPr>
        <w:t xml:space="preserve">  </w:t>
      </w:r>
      <w:r w:rsidRPr="00FC6062">
        <w:rPr>
          <w:rFonts w:cstheme="minorHAnsi"/>
          <w:spacing w:val="-3"/>
          <w:sz w:val="24"/>
          <w:szCs w:val="24"/>
          <w:lang w:val="en-GB"/>
        </w:rPr>
        <w:t xml:space="preserve">    </w:t>
      </w:r>
      <w:r w:rsidR="00AE1C6E" w:rsidRPr="00FC6062">
        <w:rPr>
          <w:rFonts w:cstheme="minorHAnsi"/>
          <w:spacing w:val="-3"/>
          <w:sz w:val="24"/>
          <w:szCs w:val="24"/>
          <w:lang w:val="en-GB"/>
        </w:rPr>
        <w:t xml:space="preserve"> </w:t>
      </w:r>
      <w:r w:rsidR="00E24FB2">
        <w:rPr>
          <w:rFonts w:cstheme="minorHAnsi"/>
          <w:noProof/>
          <w:spacing w:val="-3"/>
          <w:sz w:val="24"/>
          <w:szCs w:val="24"/>
          <w:lang w:val="en-GB"/>
        </w:rPr>
        <w:drawing>
          <wp:inline distT="0" distB="0" distL="0" distR="0" wp14:anchorId="314E948E">
            <wp:extent cx="2853788" cy="2700000"/>
            <wp:effectExtent l="0" t="0" r="3810"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3788" cy="2700000"/>
                    </a:xfrm>
                    <a:prstGeom prst="rect">
                      <a:avLst/>
                    </a:prstGeom>
                    <a:noFill/>
                  </pic:spPr>
                </pic:pic>
              </a:graphicData>
            </a:graphic>
          </wp:inline>
        </w:drawing>
      </w:r>
      <w:r w:rsidR="00AE1C6E" w:rsidRPr="00FC6062">
        <w:rPr>
          <w:rFonts w:cstheme="minorHAnsi"/>
          <w:spacing w:val="-3"/>
          <w:sz w:val="24"/>
          <w:szCs w:val="24"/>
          <w:lang w:val="en-GB"/>
        </w:rPr>
        <w:t xml:space="preserve"> </w:t>
      </w:r>
      <w:r w:rsidR="00E24FB2">
        <w:rPr>
          <w:rFonts w:cstheme="minorHAnsi"/>
          <w:spacing w:val="-3"/>
          <w:sz w:val="24"/>
          <w:szCs w:val="24"/>
          <w:lang w:val="en-GB"/>
        </w:rPr>
        <w:t xml:space="preserve">       </w:t>
      </w:r>
      <w:r w:rsidR="00E24FB2">
        <w:rPr>
          <w:rFonts w:cstheme="minorHAnsi"/>
          <w:noProof/>
          <w:spacing w:val="-3"/>
          <w:sz w:val="24"/>
          <w:szCs w:val="24"/>
          <w:lang w:val="en-GB"/>
        </w:rPr>
        <w:drawing>
          <wp:inline distT="0" distB="0" distL="0" distR="0" wp14:anchorId="2D30DAA0">
            <wp:extent cx="2802561" cy="2700000"/>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2561" cy="2700000"/>
                    </a:xfrm>
                    <a:prstGeom prst="rect">
                      <a:avLst/>
                    </a:prstGeom>
                    <a:noFill/>
                  </pic:spPr>
                </pic:pic>
              </a:graphicData>
            </a:graphic>
          </wp:inline>
        </w:drawing>
      </w:r>
    </w:p>
    <w:p w:rsidR="0012542F" w:rsidRPr="00FC6062" w:rsidRDefault="005E236B" w:rsidP="001C6D63">
      <w:pPr>
        <w:tabs>
          <w:tab w:val="left" w:pos="-720"/>
        </w:tabs>
        <w:suppressAutoHyphens/>
        <w:spacing w:after="0" w:line="240" w:lineRule="auto"/>
        <w:ind w:right="-284" w:hanging="567"/>
        <w:jc w:val="both"/>
        <w:rPr>
          <w:rFonts w:cstheme="minorHAnsi"/>
          <w:spacing w:val="-3"/>
          <w:sz w:val="24"/>
          <w:szCs w:val="24"/>
          <w:lang w:val="en-GB"/>
        </w:rPr>
      </w:pPr>
      <w:r w:rsidRPr="00FC6062">
        <w:rPr>
          <w:rFonts w:cstheme="minorHAnsi"/>
          <w:spacing w:val="-3"/>
          <w:sz w:val="24"/>
          <w:szCs w:val="24"/>
          <w:lang w:val="en-GB"/>
        </w:rPr>
        <w:t xml:space="preserve"> </w:t>
      </w:r>
      <w:r w:rsidR="00AE1C6E" w:rsidRPr="00FC6062">
        <w:rPr>
          <w:rFonts w:cstheme="minorHAnsi"/>
          <w:spacing w:val="-3"/>
          <w:sz w:val="24"/>
          <w:szCs w:val="24"/>
          <w:lang w:val="en-GB"/>
        </w:rPr>
        <w:t xml:space="preserve">    </w:t>
      </w:r>
      <w:r w:rsidR="00E53BE1">
        <w:rPr>
          <w:rFonts w:cstheme="minorHAnsi"/>
          <w:spacing w:val="-3"/>
          <w:sz w:val="24"/>
          <w:szCs w:val="24"/>
          <w:lang w:val="en-GB"/>
        </w:rPr>
        <w:t xml:space="preserve">  </w:t>
      </w:r>
      <w:r w:rsidR="00267A95">
        <w:rPr>
          <w:rFonts w:cstheme="minorHAnsi"/>
          <w:noProof/>
          <w:spacing w:val="-3"/>
          <w:sz w:val="24"/>
          <w:szCs w:val="24"/>
          <w:lang w:val="en-GB"/>
        </w:rPr>
        <w:drawing>
          <wp:inline distT="0" distB="0" distL="0" distR="0" wp14:anchorId="0C338584">
            <wp:extent cx="2854426" cy="2772000"/>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4426" cy="2772000"/>
                    </a:xfrm>
                    <a:prstGeom prst="rect">
                      <a:avLst/>
                    </a:prstGeom>
                    <a:noFill/>
                  </pic:spPr>
                </pic:pic>
              </a:graphicData>
            </a:graphic>
          </wp:inline>
        </w:drawing>
      </w:r>
      <w:r w:rsidR="00E53BE1">
        <w:rPr>
          <w:rFonts w:cstheme="minorHAnsi"/>
          <w:spacing w:val="-3"/>
          <w:sz w:val="24"/>
          <w:szCs w:val="24"/>
          <w:lang w:val="en-GB"/>
        </w:rPr>
        <w:t xml:space="preserve">  </w:t>
      </w:r>
      <w:r w:rsidR="00267A95">
        <w:rPr>
          <w:rFonts w:cstheme="minorHAnsi"/>
          <w:noProof/>
          <w:spacing w:val="-3"/>
          <w:sz w:val="24"/>
          <w:szCs w:val="24"/>
          <w:lang w:val="en-GB"/>
        </w:rPr>
        <w:drawing>
          <wp:inline distT="0" distB="0" distL="0" distR="0" wp14:anchorId="7E0163B0">
            <wp:extent cx="2839928" cy="273600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39928" cy="2736000"/>
                    </a:xfrm>
                    <a:prstGeom prst="rect">
                      <a:avLst/>
                    </a:prstGeom>
                    <a:noFill/>
                  </pic:spPr>
                </pic:pic>
              </a:graphicData>
            </a:graphic>
          </wp:inline>
        </w:drawing>
      </w:r>
    </w:p>
    <w:p w:rsidR="00B864DE" w:rsidRPr="00FC6062" w:rsidRDefault="00B864DE" w:rsidP="00124861">
      <w:pPr>
        <w:tabs>
          <w:tab w:val="left" w:pos="-720"/>
        </w:tabs>
        <w:suppressAutoHyphens/>
        <w:spacing w:after="0" w:line="240" w:lineRule="auto"/>
        <w:jc w:val="both"/>
        <w:rPr>
          <w:rFonts w:eastAsia="Times New Roman" w:cs="Calibri"/>
          <w:b/>
          <w:i/>
          <w:spacing w:val="-3"/>
          <w:sz w:val="24"/>
          <w:szCs w:val="24"/>
          <w:lang w:val="en-GB" w:eastAsia="hr-HR"/>
        </w:rPr>
      </w:pPr>
    </w:p>
    <w:p w:rsidR="007E222A" w:rsidRPr="00FC6062" w:rsidRDefault="00FC6062" w:rsidP="00124861">
      <w:pPr>
        <w:tabs>
          <w:tab w:val="left" w:pos="-720"/>
        </w:tabs>
        <w:suppressAutoHyphens/>
        <w:spacing w:after="0" w:line="240" w:lineRule="auto"/>
        <w:jc w:val="both"/>
        <w:rPr>
          <w:rFonts w:eastAsia="Times New Roman" w:cs="Calibri"/>
          <w:b/>
          <w:i/>
          <w:spacing w:val="-3"/>
          <w:sz w:val="24"/>
          <w:szCs w:val="24"/>
          <w:lang w:val="en-GB" w:eastAsia="hr-HR"/>
        </w:rPr>
      </w:pPr>
      <w:r w:rsidRPr="00FC6062">
        <w:rPr>
          <w:rFonts w:eastAsia="Times New Roman" w:cs="Calibri"/>
          <w:b/>
          <w:i/>
          <w:spacing w:val="-3"/>
          <w:sz w:val="24"/>
          <w:szCs w:val="24"/>
          <w:lang w:val="en-GB" w:eastAsia="hr-HR"/>
        </w:rPr>
        <w:t>Total liabilities</w:t>
      </w:r>
    </w:p>
    <w:p w:rsidR="00422588" w:rsidRPr="00FC6062" w:rsidRDefault="00422588" w:rsidP="00124861">
      <w:pPr>
        <w:tabs>
          <w:tab w:val="left" w:pos="-720"/>
        </w:tabs>
        <w:suppressAutoHyphens/>
        <w:spacing w:after="0" w:line="240" w:lineRule="auto"/>
        <w:jc w:val="both"/>
        <w:rPr>
          <w:rFonts w:eastAsia="Times New Roman" w:cs="Calibri"/>
          <w:b/>
          <w:i/>
          <w:spacing w:val="-3"/>
          <w:sz w:val="24"/>
          <w:szCs w:val="24"/>
          <w:lang w:val="en-GB" w:eastAsia="hr-HR"/>
        </w:rPr>
      </w:pPr>
    </w:p>
    <w:bookmarkEnd w:id="2"/>
    <w:p w:rsidR="00810A4B" w:rsidRPr="00FC6062" w:rsidRDefault="00FC6062" w:rsidP="00602844">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As at 30 </w:t>
      </w:r>
      <w:r w:rsidR="00CB7B83">
        <w:rPr>
          <w:rFonts w:cstheme="minorHAnsi"/>
          <w:spacing w:val="-3"/>
          <w:sz w:val="24"/>
          <w:szCs w:val="24"/>
          <w:lang w:val="en-GB"/>
        </w:rPr>
        <w:t xml:space="preserve">September </w:t>
      </w:r>
      <w:r w:rsidRPr="00FC6062">
        <w:rPr>
          <w:rFonts w:cstheme="minorHAnsi"/>
          <w:spacing w:val="-3"/>
          <w:sz w:val="24"/>
          <w:szCs w:val="24"/>
          <w:lang w:val="en-GB"/>
        </w:rPr>
        <w:t xml:space="preserve">2019, total liabilities amounted to HRK </w:t>
      </w:r>
      <w:r w:rsidR="00A67B12" w:rsidRPr="00FC6062">
        <w:rPr>
          <w:rFonts w:cstheme="minorHAnsi"/>
          <w:spacing w:val="-3"/>
          <w:sz w:val="24"/>
          <w:szCs w:val="24"/>
          <w:lang w:val="en-GB"/>
        </w:rPr>
        <w:t>1</w:t>
      </w:r>
      <w:r w:rsidR="00B03785" w:rsidRPr="00FC6062">
        <w:rPr>
          <w:rFonts w:cstheme="minorHAnsi"/>
          <w:spacing w:val="-3"/>
          <w:sz w:val="24"/>
          <w:szCs w:val="24"/>
          <w:lang w:val="en-GB"/>
        </w:rPr>
        <w:t>6</w:t>
      </w:r>
      <w:r w:rsidR="00CB7B83">
        <w:rPr>
          <w:rFonts w:cstheme="minorHAnsi"/>
          <w:spacing w:val="-3"/>
          <w:sz w:val="24"/>
          <w:szCs w:val="24"/>
          <w:lang w:val="en-GB"/>
        </w:rPr>
        <w:t>,</w:t>
      </w:r>
      <w:r w:rsidR="00647D7A" w:rsidRPr="00FC6062">
        <w:rPr>
          <w:rFonts w:cstheme="minorHAnsi"/>
          <w:spacing w:val="-3"/>
          <w:sz w:val="24"/>
          <w:szCs w:val="24"/>
          <w:lang w:val="en-GB"/>
        </w:rPr>
        <w:t>352</w:t>
      </w:r>
      <w:r w:rsidR="00CB7B83">
        <w:rPr>
          <w:rFonts w:cstheme="minorHAnsi"/>
          <w:spacing w:val="-3"/>
          <w:sz w:val="24"/>
          <w:szCs w:val="24"/>
          <w:lang w:val="en-GB"/>
        </w:rPr>
        <w:t>.</w:t>
      </w:r>
      <w:r w:rsidR="00647D7A" w:rsidRPr="00FC6062">
        <w:rPr>
          <w:rFonts w:cstheme="minorHAnsi"/>
          <w:spacing w:val="-3"/>
          <w:sz w:val="24"/>
          <w:szCs w:val="24"/>
          <w:lang w:val="en-GB"/>
        </w:rPr>
        <w:t>0</w:t>
      </w:r>
      <w:r w:rsidRPr="00FC6062">
        <w:t xml:space="preserve"> </w:t>
      </w:r>
      <w:r w:rsidRPr="00FC6062">
        <w:rPr>
          <w:rFonts w:cstheme="minorHAnsi"/>
          <w:spacing w:val="-3"/>
          <w:sz w:val="24"/>
          <w:szCs w:val="24"/>
          <w:lang w:val="en-GB"/>
        </w:rPr>
        <w:t>million, which represents 6</w:t>
      </w:r>
      <w:r w:rsidR="00CB7B83">
        <w:rPr>
          <w:rFonts w:cstheme="minorHAnsi"/>
          <w:spacing w:val="-3"/>
          <w:sz w:val="24"/>
          <w:szCs w:val="24"/>
          <w:lang w:val="en-GB"/>
        </w:rPr>
        <w:t>1</w:t>
      </w:r>
      <w:r w:rsidRPr="00FC6062">
        <w:rPr>
          <w:rFonts w:cstheme="minorHAnsi"/>
          <w:spacing w:val="-3"/>
          <w:sz w:val="24"/>
          <w:szCs w:val="24"/>
          <w:lang w:val="en-GB"/>
        </w:rPr>
        <w:t>.</w:t>
      </w:r>
      <w:r w:rsidR="00CB7B83">
        <w:rPr>
          <w:rFonts w:cstheme="minorHAnsi"/>
          <w:spacing w:val="-3"/>
          <w:sz w:val="24"/>
          <w:szCs w:val="24"/>
          <w:lang w:val="en-GB"/>
        </w:rPr>
        <w:t>5</w:t>
      </w:r>
      <w:r w:rsidRPr="00FC6062">
        <w:rPr>
          <w:rFonts w:cstheme="minorHAnsi"/>
          <w:spacing w:val="-3"/>
          <w:sz w:val="24"/>
          <w:szCs w:val="24"/>
          <w:lang w:val="en-GB"/>
        </w:rPr>
        <w:t xml:space="preserve"> percent of total liabilities and total equity. The major part of total liabilities consists of HBOR’s foreign borrowings and bond payable in the total amount of HRK </w:t>
      </w:r>
      <w:r w:rsidR="00A67B12" w:rsidRPr="00FC6062">
        <w:rPr>
          <w:rFonts w:cstheme="minorHAnsi"/>
          <w:spacing w:val="-3"/>
          <w:sz w:val="24"/>
          <w:szCs w:val="24"/>
          <w:lang w:val="en-GB"/>
        </w:rPr>
        <w:t>1</w:t>
      </w:r>
      <w:r w:rsidR="00B03785" w:rsidRPr="00FC6062">
        <w:rPr>
          <w:rFonts w:cstheme="minorHAnsi"/>
          <w:spacing w:val="-3"/>
          <w:sz w:val="24"/>
          <w:szCs w:val="24"/>
          <w:lang w:val="en-GB"/>
        </w:rPr>
        <w:t>5</w:t>
      </w:r>
      <w:r w:rsidR="00CB7B83">
        <w:rPr>
          <w:rFonts w:cstheme="minorHAnsi"/>
          <w:spacing w:val="-3"/>
          <w:sz w:val="24"/>
          <w:szCs w:val="24"/>
          <w:lang w:val="en-GB"/>
        </w:rPr>
        <w:t>,</w:t>
      </w:r>
      <w:r w:rsidR="00647D7A" w:rsidRPr="00FC6062">
        <w:rPr>
          <w:rFonts w:cstheme="minorHAnsi"/>
          <w:spacing w:val="-3"/>
          <w:sz w:val="24"/>
          <w:szCs w:val="24"/>
          <w:lang w:val="en-GB"/>
        </w:rPr>
        <w:t>618</w:t>
      </w:r>
      <w:r w:rsidR="00CB7B83">
        <w:rPr>
          <w:rFonts w:cstheme="minorHAnsi"/>
          <w:spacing w:val="-3"/>
          <w:sz w:val="24"/>
          <w:szCs w:val="24"/>
          <w:lang w:val="en-GB"/>
        </w:rPr>
        <w:t>.</w:t>
      </w:r>
      <w:r w:rsidR="00647D7A" w:rsidRPr="00FC6062">
        <w:rPr>
          <w:rFonts w:cstheme="minorHAnsi"/>
          <w:spacing w:val="-3"/>
          <w:sz w:val="24"/>
          <w:szCs w:val="24"/>
          <w:lang w:val="en-GB"/>
        </w:rPr>
        <w:t>9</w:t>
      </w:r>
      <w:r w:rsidR="00810A4B" w:rsidRPr="00FC6062">
        <w:rPr>
          <w:rFonts w:cstheme="minorHAnsi"/>
          <w:spacing w:val="-3"/>
          <w:sz w:val="24"/>
          <w:szCs w:val="24"/>
          <w:lang w:val="en-GB"/>
        </w:rPr>
        <w:t xml:space="preserve"> </w:t>
      </w:r>
      <w:r w:rsidR="00CB7B83">
        <w:rPr>
          <w:rFonts w:cstheme="minorHAnsi"/>
          <w:spacing w:val="-3"/>
          <w:sz w:val="24"/>
          <w:szCs w:val="24"/>
          <w:lang w:val="en-GB"/>
        </w:rPr>
        <w:t>million</w:t>
      </w:r>
      <w:r w:rsidR="00810A4B" w:rsidRPr="00FC6062">
        <w:rPr>
          <w:rFonts w:cstheme="minorHAnsi"/>
          <w:spacing w:val="-3"/>
          <w:sz w:val="24"/>
          <w:szCs w:val="24"/>
          <w:lang w:val="en-GB"/>
        </w:rPr>
        <w:t xml:space="preserve">. </w:t>
      </w:r>
    </w:p>
    <w:p w:rsidR="00C6286A" w:rsidRPr="00FC6062" w:rsidRDefault="00C6286A" w:rsidP="00602844">
      <w:pPr>
        <w:tabs>
          <w:tab w:val="left" w:pos="-720"/>
          <w:tab w:val="left" w:pos="426"/>
        </w:tabs>
        <w:suppressAutoHyphens/>
        <w:spacing w:after="0" w:line="240" w:lineRule="auto"/>
        <w:jc w:val="both"/>
        <w:rPr>
          <w:rFonts w:eastAsia="Times New Roman" w:cs="Calibri"/>
          <w:spacing w:val="-3"/>
          <w:sz w:val="20"/>
          <w:szCs w:val="24"/>
          <w:lang w:val="en-GB" w:eastAsia="hr-HR"/>
        </w:rPr>
      </w:pPr>
    </w:p>
    <w:p w:rsidR="00324025" w:rsidRPr="00FC6062" w:rsidRDefault="00FC6062" w:rsidP="00FF28FF">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 xml:space="preserve">Borrowings and </w:t>
      </w:r>
      <w:r w:rsidR="001A20C1">
        <w:rPr>
          <w:rFonts w:cstheme="minorHAnsi"/>
          <w:spacing w:val="-3"/>
          <w:sz w:val="24"/>
          <w:szCs w:val="24"/>
          <w:lang w:val="en-GB"/>
        </w:rPr>
        <w:t>debt</w:t>
      </w:r>
      <w:r w:rsidR="006A399D">
        <w:rPr>
          <w:rFonts w:cstheme="minorHAnsi"/>
          <w:spacing w:val="-3"/>
          <w:sz w:val="24"/>
          <w:szCs w:val="24"/>
          <w:lang w:val="en-GB"/>
        </w:rPr>
        <w:t xml:space="preserve"> securities issued</w:t>
      </w:r>
      <w:bookmarkStart w:id="3" w:name="_GoBack"/>
      <w:bookmarkEnd w:id="3"/>
      <w:r w:rsidRPr="00FC6062">
        <w:rPr>
          <w:rFonts w:cstheme="minorHAnsi"/>
          <w:spacing w:val="-3"/>
          <w:sz w:val="24"/>
          <w:szCs w:val="24"/>
          <w:lang w:val="en-GB"/>
        </w:rPr>
        <w:t xml:space="preserve"> decreased by 2</w:t>
      </w:r>
      <w:r w:rsidR="00CB7B83">
        <w:rPr>
          <w:rFonts w:cstheme="minorHAnsi"/>
          <w:spacing w:val="-3"/>
          <w:sz w:val="24"/>
          <w:szCs w:val="24"/>
          <w:lang w:val="en-GB"/>
        </w:rPr>
        <w:t>.6</w:t>
      </w:r>
      <w:r w:rsidRPr="00FC6062">
        <w:rPr>
          <w:rFonts w:cstheme="minorHAnsi"/>
          <w:spacing w:val="-3"/>
          <w:sz w:val="24"/>
          <w:szCs w:val="24"/>
          <w:lang w:val="en-GB"/>
        </w:rPr>
        <w:t xml:space="preserve"> percent compared with the beginning of the year, whereas changes in these liabilities are shown in the following tabl</w:t>
      </w:r>
      <w:r w:rsidR="00CB7B83">
        <w:rPr>
          <w:rFonts w:cstheme="minorHAnsi"/>
          <w:spacing w:val="-3"/>
          <w:sz w:val="24"/>
          <w:szCs w:val="24"/>
          <w:lang w:val="en-GB"/>
        </w:rPr>
        <w:t>e</w:t>
      </w:r>
      <w:r w:rsidR="00324025" w:rsidRPr="00FC6062">
        <w:rPr>
          <w:rFonts w:cstheme="minorHAnsi"/>
          <w:spacing w:val="-3"/>
          <w:sz w:val="24"/>
          <w:szCs w:val="24"/>
          <w:lang w:val="en-GB"/>
        </w:rPr>
        <w:t>:</w:t>
      </w:r>
    </w:p>
    <w:p w:rsidR="00324025" w:rsidRPr="00FC6062"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FC6062" w:rsidTr="00431335">
        <w:trPr>
          <w:trHeight w:val="295"/>
        </w:trPr>
        <w:tc>
          <w:tcPr>
            <w:tcW w:w="6379" w:type="dxa"/>
            <w:vAlign w:val="bottom"/>
          </w:tcPr>
          <w:p w:rsidR="00B355A8" w:rsidRPr="00FC6062" w:rsidRDefault="00B355A8">
            <w:pPr>
              <w:tabs>
                <w:tab w:val="left" w:pos="-720"/>
              </w:tabs>
              <w:suppressAutoHyphens/>
              <w:rPr>
                <w:rFonts w:cstheme="minorHAnsi"/>
                <w:spacing w:val="-3"/>
                <w:sz w:val="24"/>
                <w:szCs w:val="24"/>
                <w:lang w:val="en-GB"/>
              </w:rPr>
            </w:pPr>
          </w:p>
        </w:tc>
        <w:tc>
          <w:tcPr>
            <w:tcW w:w="2684" w:type="dxa"/>
            <w:vAlign w:val="bottom"/>
          </w:tcPr>
          <w:p w:rsidR="00B355A8" w:rsidRPr="00FC6062" w:rsidRDefault="00B355A8" w:rsidP="00B355A8">
            <w:pPr>
              <w:tabs>
                <w:tab w:val="left" w:pos="-720"/>
              </w:tabs>
              <w:suppressAutoHyphens/>
              <w:jc w:val="right"/>
              <w:rPr>
                <w:rFonts w:cstheme="minorHAnsi"/>
                <w:spacing w:val="-3"/>
                <w:sz w:val="24"/>
                <w:szCs w:val="24"/>
                <w:lang w:val="en-GB"/>
              </w:rPr>
            </w:pPr>
            <w:r w:rsidRPr="00FC6062">
              <w:rPr>
                <w:rFonts w:cstheme="minorHAnsi"/>
                <w:spacing w:val="-3"/>
                <w:sz w:val="24"/>
                <w:szCs w:val="24"/>
                <w:lang w:val="en-GB"/>
              </w:rPr>
              <w:t>(</w:t>
            </w:r>
            <w:r w:rsidR="00CB7B83">
              <w:rPr>
                <w:rFonts w:cstheme="minorHAnsi"/>
                <w:spacing w:val="-3"/>
                <w:sz w:val="24"/>
                <w:szCs w:val="24"/>
                <w:lang w:val="en-GB"/>
              </w:rPr>
              <w:t>HRK million</w:t>
            </w:r>
            <w:r w:rsidRPr="00FC6062">
              <w:rPr>
                <w:rFonts w:cstheme="minorHAnsi"/>
                <w:spacing w:val="-3"/>
                <w:sz w:val="24"/>
                <w:szCs w:val="24"/>
                <w:lang w:val="en-GB"/>
              </w:rPr>
              <w:t>)</w:t>
            </w:r>
          </w:p>
        </w:tc>
      </w:tr>
      <w:tr w:rsidR="00324025" w:rsidRPr="00FC6062" w:rsidTr="00431335">
        <w:tc>
          <w:tcPr>
            <w:tcW w:w="6379" w:type="dxa"/>
          </w:tcPr>
          <w:p w:rsidR="00CB7B83" w:rsidRPr="00CB7B83" w:rsidRDefault="00324025" w:rsidP="00CB7B83">
            <w:pPr>
              <w:tabs>
                <w:tab w:val="left" w:pos="-720"/>
              </w:tabs>
              <w:suppressAutoHyphens/>
              <w:rPr>
                <w:rFonts w:cstheme="minorHAnsi"/>
                <w:spacing w:val="-3"/>
                <w:sz w:val="24"/>
                <w:szCs w:val="24"/>
                <w:lang w:val="en-GB"/>
              </w:rPr>
            </w:pPr>
            <w:r w:rsidRPr="00FC6062">
              <w:rPr>
                <w:rFonts w:cstheme="minorHAnsi"/>
                <w:spacing w:val="-3"/>
                <w:sz w:val="24"/>
                <w:szCs w:val="24"/>
                <w:lang w:val="en-GB"/>
              </w:rPr>
              <w:t xml:space="preserve">- </w:t>
            </w:r>
            <w:r w:rsidR="00CB7B83" w:rsidRPr="00CB7B83">
              <w:rPr>
                <w:rFonts w:cstheme="minorHAnsi"/>
                <w:spacing w:val="-3"/>
                <w:sz w:val="24"/>
                <w:szCs w:val="24"/>
                <w:lang w:val="en-GB"/>
              </w:rPr>
              <w:t>Draw-down of funds borrowed under previously contracted</w:t>
            </w:r>
          </w:p>
          <w:p w:rsidR="00324025" w:rsidRPr="00FC6062" w:rsidRDefault="00CB7B83" w:rsidP="00CB7B83">
            <w:pPr>
              <w:tabs>
                <w:tab w:val="left" w:pos="-720"/>
              </w:tabs>
              <w:suppressAutoHyphens/>
              <w:rPr>
                <w:rFonts w:cstheme="minorHAnsi"/>
                <w:spacing w:val="-3"/>
                <w:sz w:val="24"/>
                <w:szCs w:val="24"/>
                <w:lang w:val="en-GB"/>
              </w:rPr>
            </w:pPr>
            <w:r w:rsidRPr="00CB7B83">
              <w:rPr>
                <w:rFonts w:cstheme="minorHAnsi"/>
                <w:spacing w:val="-3"/>
                <w:sz w:val="24"/>
                <w:szCs w:val="24"/>
                <w:lang w:val="en-GB"/>
              </w:rPr>
              <w:t xml:space="preserve">  </w:t>
            </w:r>
            <w:r>
              <w:rPr>
                <w:rFonts w:cstheme="minorHAnsi"/>
                <w:spacing w:val="-3"/>
                <w:sz w:val="24"/>
                <w:szCs w:val="24"/>
                <w:lang w:val="en-GB"/>
              </w:rPr>
              <w:t xml:space="preserve"> f</w:t>
            </w:r>
            <w:r w:rsidRPr="00CB7B83">
              <w:rPr>
                <w:rFonts w:cstheme="minorHAnsi"/>
                <w:spacing w:val="-3"/>
                <w:sz w:val="24"/>
                <w:szCs w:val="24"/>
                <w:lang w:val="en-GB"/>
              </w:rPr>
              <w:t xml:space="preserve">unds of special financial </w:t>
            </w:r>
            <w:r>
              <w:rPr>
                <w:rFonts w:cstheme="minorHAnsi"/>
                <w:spacing w:val="-3"/>
                <w:sz w:val="24"/>
                <w:szCs w:val="24"/>
                <w:lang w:val="en-GB"/>
              </w:rPr>
              <w:t>i</w:t>
            </w:r>
            <w:r w:rsidRPr="00CB7B83">
              <w:rPr>
                <w:rFonts w:cstheme="minorHAnsi"/>
                <w:spacing w:val="-3"/>
                <w:sz w:val="24"/>
                <w:szCs w:val="24"/>
                <w:lang w:val="en-GB"/>
              </w:rPr>
              <w:t>nstitutions</w:t>
            </w:r>
            <w:r w:rsidR="00324025" w:rsidRPr="00FC6062">
              <w:rPr>
                <w:rFonts w:cstheme="minorHAnsi"/>
                <w:spacing w:val="-3"/>
                <w:sz w:val="24"/>
                <w:szCs w:val="24"/>
                <w:lang w:val="en-GB"/>
              </w:rPr>
              <w:t xml:space="preserve"> </w:t>
            </w:r>
          </w:p>
        </w:tc>
        <w:tc>
          <w:tcPr>
            <w:tcW w:w="2684" w:type="dxa"/>
          </w:tcPr>
          <w:p w:rsidR="00D96ED6" w:rsidRPr="00FC6062" w:rsidRDefault="00D96ED6" w:rsidP="0065688C">
            <w:pPr>
              <w:tabs>
                <w:tab w:val="left" w:pos="-720"/>
              </w:tabs>
              <w:suppressAutoHyphens/>
              <w:jc w:val="right"/>
              <w:rPr>
                <w:rFonts w:cstheme="minorHAnsi"/>
                <w:spacing w:val="-3"/>
                <w:sz w:val="24"/>
                <w:szCs w:val="24"/>
                <w:lang w:val="en-GB"/>
              </w:rPr>
            </w:pPr>
          </w:p>
          <w:p w:rsidR="00324025" w:rsidRPr="00FC6062" w:rsidRDefault="00182EBE" w:rsidP="0065688C">
            <w:pPr>
              <w:tabs>
                <w:tab w:val="left" w:pos="-720"/>
              </w:tabs>
              <w:suppressAutoHyphens/>
              <w:jc w:val="right"/>
              <w:rPr>
                <w:rFonts w:cstheme="minorHAnsi"/>
                <w:spacing w:val="-3"/>
                <w:sz w:val="24"/>
                <w:szCs w:val="24"/>
                <w:lang w:val="en-GB"/>
              </w:rPr>
            </w:pPr>
            <w:r w:rsidRPr="00FC6062">
              <w:rPr>
                <w:rFonts w:cstheme="minorHAnsi"/>
                <w:spacing w:val="-3"/>
                <w:sz w:val="24"/>
                <w:szCs w:val="24"/>
                <w:lang w:val="en-GB"/>
              </w:rPr>
              <w:t>2</w:t>
            </w:r>
            <w:r w:rsidR="00CB7B83">
              <w:rPr>
                <w:rFonts w:cstheme="minorHAnsi"/>
                <w:spacing w:val="-3"/>
                <w:sz w:val="24"/>
                <w:szCs w:val="24"/>
                <w:lang w:val="en-GB"/>
              </w:rPr>
              <w:t>,</w:t>
            </w:r>
            <w:r w:rsidRPr="00FC6062">
              <w:rPr>
                <w:rFonts w:cstheme="minorHAnsi"/>
                <w:spacing w:val="-3"/>
                <w:sz w:val="24"/>
                <w:szCs w:val="24"/>
                <w:lang w:val="en-GB"/>
              </w:rPr>
              <w:t>398</w:t>
            </w:r>
            <w:r w:rsidR="00CB7B83">
              <w:rPr>
                <w:rFonts w:cstheme="minorHAnsi"/>
                <w:spacing w:val="-3"/>
                <w:sz w:val="24"/>
                <w:szCs w:val="24"/>
                <w:lang w:val="en-GB"/>
              </w:rPr>
              <w:t>.</w:t>
            </w:r>
            <w:r w:rsidRPr="00FC6062">
              <w:rPr>
                <w:rFonts w:cstheme="minorHAnsi"/>
                <w:spacing w:val="-3"/>
                <w:sz w:val="24"/>
                <w:szCs w:val="24"/>
                <w:lang w:val="en-GB"/>
              </w:rPr>
              <w:t>2</w:t>
            </w:r>
          </w:p>
        </w:tc>
      </w:tr>
      <w:tr w:rsidR="00324025" w:rsidRPr="00FC6062" w:rsidTr="000479D6">
        <w:tc>
          <w:tcPr>
            <w:tcW w:w="6379" w:type="dxa"/>
          </w:tcPr>
          <w:p w:rsidR="00324025" w:rsidRPr="00FC6062" w:rsidRDefault="00324025" w:rsidP="00FF28FF">
            <w:pPr>
              <w:tabs>
                <w:tab w:val="left" w:pos="-720"/>
              </w:tabs>
              <w:suppressAutoHyphens/>
              <w:jc w:val="both"/>
              <w:rPr>
                <w:rFonts w:cstheme="minorHAnsi"/>
                <w:spacing w:val="-3"/>
                <w:sz w:val="24"/>
                <w:szCs w:val="24"/>
                <w:lang w:val="en-GB"/>
              </w:rPr>
            </w:pPr>
            <w:r w:rsidRPr="00FC6062">
              <w:rPr>
                <w:rFonts w:cstheme="minorHAnsi"/>
                <w:spacing w:val="-3"/>
                <w:sz w:val="24"/>
                <w:szCs w:val="24"/>
                <w:lang w:val="en-GB"/>
              </w:rPr>
              <w:t xml:space="preserve">- </w:t>
            </w:r>
            <w:r w:rsidR="00CB7B83">
              <w:rPr>
                <w:rFonts w:cstheme="minorHAnsi"/>
                <w:spacing w:val="-3"/>
                <w:sz w:val="24"/>
                <w:szCs w:val="24"/>
                <w:lang w:val="en-GB"/>
              </w:rPr>
              <w:t>Repayments of borrowings</w:t>
            </w:r>
          </w:p>
        </w:tc>
        <w:tc>
          <w:tcPr>
            <w:tcW w:w="2684" w:type="dxa"/>
          </w:tcPr>
          <w:p w:rsidR="00324025" w:rsidRPr="00FC6062" w:rsidRDefault="00324025" w:rsidP="0065688C">
            <w:pPr>
              <w:tabs>
                <w:tab w:val="left" w:pos="-720"/>
              </w:tabs>
              <w:suppressAutoHyphens/>
              <w:jc w:val="right"/>
              <w:rPr>
                <w:rFonts w:cstheme="minorHAnsi"/>
                <w:spacing w:val="-3"/>
                <w:sz w:val="24"/>
                <w:szCs w:val="24"/>
                <w:lang w:val="en-GB"/>
              </w:rPr>
            </w:pPr>
            <w:r w:rsidRPr="00FC6062">
              <w:rPr>
                <w:rFonts w:cstheme="minorHAnsi"/>
                <w:spacing w:val="-3"/>
                <w:sz w:val="24"/>
                <w:szCs w:val="24"/>
                <w:lang w:val="en-GB"/>
              </w:rPr>
              <w:t>(</w:t>
            </w:r>
            <w:r w:rsidR="00B1149F" w:rsidRPr="00FC6062">
              <w:rPr>
                <w:rFonts w:cstheme="minorHAnsi"/>
                <w:spacing w:val="-3"/>
                <w:sz w:val="24"/>
                <w:szCs w:val="24"/>
                <w:lang w:val="en-GB"/>
              </w:rPr>
              <w:t>2</w:t>
            </w:r>
            <w:r w:rsidR="00CB7B83">
              <w:rPr>
                <w:rFonts w:cstheme="minorHAnsi"/>
                <w:spacing w:val="-3"/>
                <w:sz w:val="24"/>
                <w:szCs w:val="24"/>
                <w:lang w:val="en-GB"/>
              </w:rPr>
              <w:t>,</w:t>
            </w:r>
            <w:r w:rsidR="00943E0D" w:rsidRPr="00FC6062">
              <w:rPr>
                <w:rFonts w:cstheme="minorHAnsi"/>
                <w:spacing w:val="-3"/>
                <w:sz w:val="24"/>
                <w:szCs w:val="24"/>
                <w:lang w:val="en-GB"/>
              </w:rPr>
              <w:t>799</w:t>
            </w:r>
            <w:r w:rsidR="00CB7B83">
              <w:rPr>
                <w:rFonts w:cstheme="minorHAnsi"/>
                <w:spacing w:val="-3"/>
                <w:sz w:val="24"/>
                <w:szCs w:val="24"/>
                <w:lang w:val="en-GB"/>
              </w:rPr>
              <w:t>.</w:t>
            </w:r>
            <w:r w:rsidR="00943E0D" w:rsidRPr="00FC6062">
              <w:rPr>
                <w:rFonts w:cstheme="minorHAnsi"/>
                <w:spacing w:val="-3"/>
                <w:sz w:val="24"/>
                <w:szCs w:val="24"/>
                <w:lang w:val="en-GB"/>
              </w:rPr>
              <w:t>2</w:t>
            </w:r>
            <w:r w:rsidRPr="00FC6062">
              <w:rPr>
                <w:rFonts w:cstheme="minorHAnsi"/>
                <w:spacing w:val="-3"/>
                <w:sz w:val="24"/>
                <w:szCs w:val="24"/>
                <w:lang w:val="en-GB"/>
              </w:rPr>
              <w:t>)</w:t>
            </w:r>
          </w:p>
        </w:tc>
      </w:tr>
      <w:tr w:rsidR="00324025" w:rsidRPr="00FC6062" w:rsidTr="000479D6">
        <w:tc>
          <w:tcPr>
            <w:tcW w:w="6379" w:type="dxa"/>
          </w:tcPr>
          <w:p w:rsidR="00324025" w:rsidRPr="00FC6062" w:rsidRDefault="007221ED">
            <w:pPr>
              <w:tabs>
                <w:tab w:val="left" w:pos="-720"/>
              </w:tabs>
              <w:suppressAutoHyphens/>
              <w:jc w:val="both"/>
              <w:rPr>
                <w:rFonts w:cstheme="minorHAnsi"/>
                <w:spacing w:val="-3"/>
                <w:lang w:val="en-GB"/>
              </w:rPr>
            </w:pPr>
            <w:r w:rsidRPr="00FC6062">
              <w:rPr>
                <w:rFonts w:cstheme="minorHAnsi"/>
                <w:spacing w:val="-3"/>
                <w:lang w:val="en-GB"/>
              </w:rPr>
              <w:t xml:space="preserve">- </w:t>
            </w:r>
            <w:r w:rsidR="00CB7B83">
              <w:rPr>
                <w:rFonts w:cstheme="minorHAnsi"/>
                <w:spacing w:val="-3"/>
                <w:sz w:val="24"/>
                <w:szCs w:val="24"/>
                <w:lang w:val="en-GB"/>
              </w:rPr>
              <w:t>Foreign exchange gains or losses</w:t>
            </w:r>
          </w:p>
        </w:tc>
        <w:tc>
          <w:tcPr>
            <w:tcW w:w="2684" w:type="dxa"/>
          </w:tcPr>
          <w:p w:rsidR="00324025" w:rsidRPr="00FC6062" w:rsidRDefault="00B1149F" w:rsidP="0065688C">
            <w:pPr>
              <w:tabs>
                <w:tab w:val="left" w:pos="-720"/>
              </w:tabs>
              <w:suppressAutoHyphens/>
              <w:jc w:val="right"/>
              <w:rPr>
                <w:rFonts w:cstheme="minorHAnsi"/>
                <w:spacing w:val="-3"/>
                <w:sz w:val="24"/>
                <w:szCs w:val="24"/>
                <w:lang w:val="en-GB"/>
              </w:rPr>
            </w:pPr>
            <w:r w:rsidRPr="00FC6062">
              <w:rPr>
                <w:rFonts w:cstheme="minorHAnsi"/>
                <w:spacing w:val="-3"/>
                <w:sz w:val="24"/>
                <w:szCs w:val="24"/>
                <w:lang w:val="en-GB"/>
              </w:rPr>
              <w:t>(</w:t>
            </w:r>
            <w:r w:rsidR="00943E0D" w:rsidRPr="00FC6062">
              <w:rPr>
                <w:rFonts w:cstheme="minorHAnsi"/>
                <w:spacing w:val="-3"/>
                <w:sz w:val="24"/>
                <w:szCs w:val="24"/>
                <w:lang w:val="en-GB"/>
              </w:rPr>
              <w:t>1</w:t>
            </w:r>
            <w:r w:rsidR="00CB7B83">
              <w:rPr>
                <w:rFonts w:cstheme="minorHAnsi"/>
                <w:spacing w:val="-3"/>
                <w:sz w:val="24"/>
                <w:szCs w:val="24"/>
                <w:lang w:val="en-GB"/>
              </w:rPr>
              <w:t>.</w:t>
            </w:r>
            <w:r w:rsidR="00943E0D" w:rsidRPr="00FC6062">
              <w:rPr>
                <w:rFonts w:cstheme="minorHAnsi"/>
                <w:spacing w:val="-3"/>
                <w:sz w:val="24"/>
                <w:szCs w:val="24"/>
                <w:lang w:val="en-GB"/>
              </w:rPr>
              <w:t>0</w:t>
            </w:r>
            <w:r w:rsidRPr="00FC6062">
              <w:rPr>
                <w:rFonts w:cstheme="minorHAnsi"/>
                <w:spacing w:val="-3"/>
                <w:sz w:val="24"/>
                <w:szCs w:val="24"/>
                <w:lang w:val="en-GB"/>
              </w:rPr>
              <w:t>)</w:t>
            </w:r>
          </w:p>
        </w:tc>
      </w:tr>
      <w:tr w:rsidR="007221ED" w:rsidRPr="00FC6062" w:rsidTr="000479D6">
        <w:tc>
          <w:tcPr>
            <w:tcW w:w="6379" w:type="dxa"/>
            <w:tcBorders>
              <w:bottom w:val="single" w:sz="4" w:space="0" w:color="auto"/>
            </w:tcBorders>
          </w:tcPr>
          <w:p w:rsidR="007221ED" w:rsidRPr="00FC6062" w:rsidRDefault="007221ED" w:rsidP="007221ED">
            <w:pPr>
              <w:tabs>
                <w:tab w:val="left" w:pos="-720"/>
              </w:tabs>
              <w:suppressAutoHyphens/>
              <w:jc w:val="both"/>
              <w:rPr>
                <w:rFonts w:cstheme="minorHAnsi"/>
                <w:spacing w:val="-3"/>
                <w:sz w:val="24"/>
                <w:szCs w:val="24"/>
                <w:lang w:val="en-GB"/>
              </w:rPr>
            </w:pPr>
            <w:r w:rsidRPr="00FC6062">
              <w:rPr>
                <w:rFonts w:cstheme="minorHAnsi"/>
                <w:spacing w:val="-3"/>
                <w:sz w:val="24"/>
                <w:szCs w:val="24"/>
                <w:lang w:val="en-GB"/>
              </w:rPr>
              <w:t xml:space="preserve">- </w:t>
            </w:r>
            <w:r w:rsidR="00CB7B83">
              <w:rPr>
                <w:rFonts w:cstheme="minorHAnsi"/>
                <w:spacing w:val="-3"/>
                <w:sz w:val="24"/>
                <w:szCs w:val="24"/>
                <w:lang w:val="en-GB"/>
              </w:rPr>
              <w:t>O</w:t>
            </w:r>
            <w:r w:rsidRPr="00FC6062">
              <w:rPr>
                <w:rFonts w:cstheme="minorHAnsi"/>
                <w:spacing w:val="-3"/>
                <w:sz w:val="24"/>
                <w:szCs w:val="24"/>
                <w:lang w:val="en-GB"/>
              </w:rPr>
              <w:t>t</w:t>
            </w:r>
            <w:r w:rsidR="00CB7B83">
              <w:rPr>
                <w:rFonts w:cstheme="minorHAnsi"/>
                <w:spacing w:val="-3"/>
                <w:sz w:val="24"/>
                <w:szCs w:val="24"/>
                <w:lang w:val="en-GB"/>
              </w:rPr>
              <w:t>her calculations</w:t>
            </w:r>
            <w:r w:rsidRPr="00FC6062">
              <w:rPr>
                <w:rFonts w:cstheme="minorHAnsi"/>
                <w:spacing w:val="-3"/>
                <w:sz w:val="24"/>
                <w:szCs w:val="24"/>
                <w:lang w:val="en-GB"/>
              </w:rPr>
              <w:t>*</w:t>
            </w:r>
          </w:p>
        </w:tc>
        <w:tc>
          <w:tcPr>
            <w:tcW w:w="2684" w:type="dxa"/>
            <w:tcBorders>
              <w:bottom w:val="single" w:sz="4" w:space="0" w:color="auto"/>
            </w:tcBorders>
          </w:tcPr>
          <w:p w:rsidR="007221ED" w:rsidRPr="00FC6062" w:rsidRDefault="00B1149F" w:rsidP="007221ED">
            <w:pPr>
              <w:tabs>
                <w:tab w:val="left" w:pos="-720"/>
              </w:tabs>
              <w:suppressAutoHyphens/>
              <w:jc w:val="right"/>
              <w:rPr>
                <w:rFonts w:cstheme="minorHAnsi"/>
                <w:spacing w:val="-3"/>
                <w:sz w:val="24"/>
                <w:szCs w:val="24"/>
                <w:lang w:val="en-GB"/>
              </w:rPr>
            </w:pPr>
            <w:r w:rsidRPr="00FC6062">
              <w:rPr>
                <w:rFonts w:cstheme="minorHAnsi"/>
                <w:spacing w:val="-3"/>
                <w:sz w:val="24"/>
                <w:szCs w:val="24"/>
                <w:lang w:val="en-GB"/>
              </w:rPr>
              <w:t>(</w:t>
            </w:r>
            <w:r w:rsidR="00943E0D" w:rsidRPr="00FC6062">
              <w:rPr>
                <w:rFonts w:cstheme="minorHAnsi"/>
                <w:spacing w:val="-3"/>
                <w:sz w:val="24"/>
                <w:szCs w:val="24"/>
                <w:lang w:val="en-GB"/>
              </w:rPr>
              <w:t>7</w:t>
            </w:r>
            <w:r w:rsidR="00CB7B83">
              <w:rPr>
                <w:rFonts w:cstheme="minorHAnsi"/>
                <w:spacing w:val="-3"/>
                <w:sz w:val="24"/>
                <w:szCs w:val="24"/>
                <w:lang w:val="en-GB"/>
              </w:rPr>
              <w:t>.</w:t>
            </w:r>
            <w:r w:rsidR="00943E0D" w:rsidRPr="00FC6062">
              <w:rPr>
                <w:rFonts w:cstheme="minorHAnsi"/>
                <w:spacing w:val="-3"/>
                <w:sz w:val="24"/>
                <w:szCs w:val="24"/>
                <w:lang w:val="en-GB"/>
              </w:rPr>
              <w:t>6</w:t>
            </w:r>
            <w:r w:rsidRPr="00FC6062">
              <w:rPr>
                <w:rFonts w:cstheme="minorHAnsi"/>
                <w:spacing w:val="-3"/>
                <w:sz w:val="24"/>
                <w:szCs w:val="24"/>
                <w:lang w:val="en-GB"/>
              </w:rPr>
              <w:t>)</w:t>
            </w:r>
          </w:p>
        </w:tc>
      </w:tr>
      <w:tr w:rsidR="007221ED" w:rsidRPr="00FC6062" w:rsidTr="00431335">
        <w:tc>
          <w:tcPr>
            <w:tcW w:w="6379" w:type="dxa"/>
            <w:tcBorders>
              <w:top w:val="single" w:sz="4" w:space="0" w:color="auto"/>
            </w:tcBorders>
          </w:tcPr>
          <w:p w:rsidR="007221ED" w:rsidRPr="00FC6062" w:rsidRDefault="00CB7B83" w:rsidP="007221ED">
            <w:pPr>
              <w:tabs>
                <w:tab w:val="left" w:pos="-720"/>
              </w:tabs>
              <w:suppressAutoHyphens/>
              <w:jc w:val="both"/>
              <w:rPr>
                <w:rFonts w:cstheme="minorHAnsi"/>
                <w:b/>
                <w:spacing w:val="-3"/>
                <w:sz w:val="24"/>
                <w:szCs w:val="24"/>
                <w:lang w:val="en-GB"/>
              </w:rPr>
            </w:pPr>
            <w:r>
              <w:rPr>
                <w:rFonts w:cstheme="minorHAnsi"/>
                <w:b/>
                <w:spacing w:val="-3"/>
                <w:sz w:val="24"/>
                <w:szCs w:val="24"/>
                <w:lang w:val="en-GB"/>
              </w:rPr>
              <w:t>Total changes</w:t>
            </w:r>
          </w:p>
        </w:tc>
        <w:tc>
          <w:tcPr>
            <w:tcW w:w="2684" w:type="dxa"/>
            <w:tcBorders>
              <w:top w:val="single" w:sz="4" w:space="0" w:color="auto"/>
            </w:tcBorders>
          </w:tcPr>
          <w:p w:rsidR="007221ED" w:rsidRPr="00FC6062" w:rsidRDefault="00171573" w:rsidP="007221ED">
            <w:pPr>
              <w:tabs>
                <w:tab w:val="left" w:pos="-720"/>
              </w:tabs>
              <w:suppressAutoHyphens/>
              <w:jc w:val="right"/>
              <w:rPr>
                <w:rFonts w:cstheme="minorHAnsi"/>
                <w:b/>
                <w:spacing w:val="-3"/>
                <w:sz w:val="24"/>
                <w:szCs w:val="24"/>
                <w:lang w:val="en-GB"/>
              </w:rPr>
            </w:pPr>
            <w:r w:rsidRPr="00FC6062">
              <w:rPr>
                <w:rFonts w:cstheme="minorHAnsi"/>
                <w:b/>
                <w:spacing w:val="-3"/>
                <w:sz w:val="24"/>
                <w:szCs w:val="24"/>
                <w:lang w:val="en-GB"/>
              </w:rPr>
              <w:t>(</w:t>
            </w:r>
            <w:r w:rsidR="00943E0D" w:rsidRPr="00FC6062">
              <w:rPr>
                <w:rFonts w:cstheme="minorHAnsi"/>
                <w:b/>
                <w:spacing w:val="-3"/>
                <w:sz w:val="24"/>
                <w:szCs w:val="24"/>
                <w:lang w:val="en-GB"/>
              </w:rPr>
              <w:t>409</w:t>
            </w:r>
            <w:r w:rsidR="00CB7B83">
              <w:rPr>
                <w:rFonts w:cstheme="minorHAnsi"/>
                <w:b/>
                <w:spacing w:val="-3"/>
                <w:sz w:val="24"/>
                <w:szCs w:val="24"/>
                <w:lang w:val="en-GB"/>
              </w:rPr>
              <w:t>.</w:t>
            </w:r>
            <w:r w:rsidR="00943E0D" w:rsidRPr="00FC6062">
              <w:rPr>
                <w:rFonts w:cstheme="minorHAnsi"/>
                <w:b/>
                <w:spacing w:val="-3"/>
                <w:sz w:val="24"/>
                <w:szCs w:val="24"/>
                <w:lang w:val="en-GB"/>
              </w:rPr>
              <w:t>6</w:t>
            </w:r>
            <w:r w:rsidRPr="00FC6062">
              <w:rPr>
                <w:rFonts w:cstheme="minorHAnsi"/>
                <w:b/>
                <w:spacing w:val="-3"/>
                <w:sz w:val="24"/>
                <w:szCs w:val="24"/>
                <w:lang w:val="en-GB"/>
              </w:rPr>
              <w:t>)</w:t>
            </w:r>
          </w:p>
        </w:tc>
      </w:tr>
      <w:tr w:rsidR="007221ED" w:rsidRPr="00FC6062" w:rsidTr="00431335">
        <w:tc>
          <w:tcPr>
            <w:tcW w:w="6379" w:type="dxa"/>
            <w:tcBorders>
              <w:top w:val="single" w:sz="4" w:space="0" w:color="auto"/>
            </w:tcBorders>
          </w:tcPr>
          <w:p w:rsidR="007221ED" w:rsidRPr="00FC6062" w:rsidRDefault="007221ED" w:rsidP="007221ED">
            <w:pPr>
              <w:tabs>
                <w:tab w:val="left" w:pos="-720"/>
              </w:tabs>
              <w:suppressAutoHyphens/>
              <w:jc w:val="both"/>
              <w:rPr>
                <w:rFonts w:cstheme="minorHAnsi"/>
                <w:b/>
                <w:spacing w:val="-3"/>
                <w:sz w:val="14"/>
                <w:szCs w:val="16"/>
                <w:lang w:val="en-GB"/>
              </w:rPr>
            </w:pPr>
          </w:p>
        </w:tc>
        <w:tc>
          <w:tcPr>
            <w:tcW w:w="2684" w:type="dxa"/>
            <w:tcBorders>
              <w:top w:val="single" w:sz="4" w:space="0" w:color="auto"/>
            </w:tcBorders>
          </w:tcPr>
          <w:p w:rsidR="007221ED" w:rsidRPr="00FC6062" w:rsidRDefault="007221ED" w:rsidP="007221ED">
            <w:pPr>
              <w:tabs>
                <w:tab w:val="left" w:pos="-720"/>
              </w:tabs>
              <w:suppressAutoHyphens/>
              <w:jc w:val="right"/>
              <w:rPr>
                <w:rFonts w:cstheme="minorHAnsi"/>
                <w:b/>
                <w:spacing w:val="-3"/>
                <w:sz w:val="14"/>
                <w:szCs w:val="16"/>
                <w:lang w:val="en-GB"/>
              </w:rPr>
            </w:pPr>
          </w:p>
        </w:tc>
      </w:tr>
      <w:tr w:rsidR="007221ED" w:rsidRPr="00FC6062" w:rsidTr="00431335">
        <w:tc>
          <w:tcPr>
            <w:tcW w:w="9063" w:type="dxa"/>
            <w:gridSpan w:val="2"/>
          </w:tcPr>
          <w:p w:rsidR="007221ED" w:rsidRPr="00FC6062" w:rsidRDefault="007221ED" w:rsidP="007221ED">
            <w:pPr>
              <w:tabs>
                <w:tab w:val="left" w:pos="-720"/>
              </w:tabs>
              <w:suppressAutoHyphens/>
              <w:jc w:val="both"/>
              <w:rPr>
                <w:rFonts w:cstheme="minorHAnsi"/>
                <w:i/>
                <w:spacing w:val="-3"/>
                <w:sz w:val="20"/>
                <w:szCs w:val="20"/>
                <w:lang w:val="en-GB"/>
              </w:rPr>
            </w:pPr>
            <w:r w:rsidRPr="00FC6062">
              <w:rPr>
                <w:rFonts w:cstheme="minorHAnsi"/>
                <w:i/>
                <w:spacing w:val="-3"/>
                <w:sz w:val="20"/>
                <w:szCs w:val="20"/>
                <w:lang w:val="en-GB"/>
              </w:rPr>
              <w:t>*O</w:t>
            </w:r>
            <w:r w:rsidR="00CB7B83" w:rsidRPr="00CB7B83">
              <w:rPr>
                <w:rFonts w:cstheme="minorHAnsi"/>
                <w:i/>
                <w:spacing w:val="-3"/>
                <w:sz w:val="20"/>
                <w:szCs w:val="20"/>
                <w:lang w:val="en-GB"/>
              </w:rPr>
              <w:t>ther calculations relate to the changes in discount, amount of interest not due and deferred fees</w:t>
            </w:r>
            <w:r w:rsidRPr="00FC6062">
              <w:rPr>
                <w:rFonts w:cstheme="minorHAnsi"/>
                <w:i/>
                <w:spacing w:val="-3"/>
                <w:sz w:val="20"/>
                <w:szCs w:val="20"/>
                <w:lang w:val="en-GB"/>
              </w:rPr>
              <w:t>.</w:t>
            </w:r>
          </w:p>
        </w:tc>
      </w:tr>
    </w:tbl>
    <w:p w:rsidR="007217DE" w:rsidRPr="00FC6062" w:rsidRDefault="007217DE">
      <w:pPr>
        <w:tabs>
          <w:tab w:val="left" w:pos="0"/>
        </w:tabs>
        <w:spacing w:after="0" w:line="240" w:lineRule="auto"/>
        <w:jc w:val="both"/>
        <w:rPr>
          <w:rFonts w:ascii="Calibri" w:eastAsia="Times New Roman" w:hAnsi="Calibri" w:cs="Calibri"/>
          <w:sz w:val="24"/>
          <w:szCs w:val="24"/>
          <w:lang w:val="en-GB" w:eastAsia="hr-HR"/>
        </w:rPr>
        <w:sectPr w:rsidR="007217DE" w:rsidRPr="00FC6062" w:rsidSect="00F11426">
          <w:footerReference w:type="default" r:id="rId42"/>
          <w:pgSz w:w="11906" w:h="16838"/>
          <w:pgMar w:top="1417" w:right="1416" w:bottom="1417" w:left="1417" w:header="708" w:footer="708" w:gutter="0"/>
          <w:cols w:space="708"/>
          <w:docGrid w:linePitch="360"/>
        </w:sectPr>
      </w:pPr>
    </w:p>
    <w:p w:rsidR="00635A18" w:rsidRPr="00FC6062" w:rsidRDefault="00CB7B83" w:rsidP="002E269E">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lastRenderedPageBreak/>
        <w:t>Deposit</w:t>
      </w:r>
      <w:r w:rsidR="003E7614">
        <w:rPr>
          <w:rFonts w:eastAsia="Times New Roman" w:cs="Calibri"/>
          <w:b/>
          <w:i/>
          <w:spacing w:val="-3"/>
          <w:sz w:val="24"/>
          <w:szCs w:val="24"/>
          <w:lang w:val="en-GB" w:eastAsia="hr-HR"/>
        </w:rPr>
        <w:t>s from customers</w:t>
      </w:r>
    </w:p>
    <w:p w:rsidR="00635A18" w:rsidRPr="00FC6062" w:rsidRDefault="00635A18" w:rsidP="002E269E">
      <w:pPr>
        <w:tabs>
          <w:tab w:val="left" w:pos="-720"/>
        </w:tabs>
        <w:suppressAutoHyphens/>
        <w:spacing w:after="0" w:line="240" w:lineRule="auto"/>
        <w:jc w:val="both"/>
        <w:rPr>
          <w:rFonts w:eastAsia="Times New Roman" w:cs="Calibri"/>
          <w:spacing w:val="-3"/>
          <w:sz w:val="24"/>
          <w:szCs w:val="24"/>
          <w:lang w:val="en-GB" w:eastAsia="hr-HR"/>
        </w:rPr>
      </w:pPr>
    </w:p>
    <w:p w:rsidR="00B455CC" w:rsidRPr="00FC6062" w:rsidRDefault="003E7614" w:rsidP="002E269E">
      <w:pPr>
        <w:tabs>
          <w:tab w:val="left" w:pos="-720"/>
        </w:tabs>
        <w:suppressAutoHyphens/>
        <w:spacing w:after="0" w:line="240" w:lineRule="auto"/>
        <w:jc w:val="both"/>
        <w:rPr>
          <w:rFonts w:eastAsia="Times New Roman" w:cs="Calibri"/>
          <w:spacing w:val="-3"/>
          <w:sz w:val="24"/>
          <w:szCs w:val="24"/>
          <w:lang w:val="en-GB" w:eastAsia="hr-HR"/>
        </w:rPr>
      </w:pPr>
      <w:r w:rsidRPr="003E7614">
        <w:rPr>
          <w:rFonts w:eastAsia="Times New Roman" w:cs="Calibri"/>
          <w:spacing w:val="-3"/>
          <w:sz w:val="24"/>
          <w:szCs w:val="24"/>
          <w:lang w:val="en-GB" w:eastAsia="hr-HR"/>
        </w:rPr>
        <w:t>Deposits from customers</w:t>
      </w:r>
      <w:r>
        <w:rPr>
          <w:rFonts w:eastAsia="Times New Roman" w:cs="Calibri"/>
          <w:spacing w:val="-3"/>
          <w:sz w:val="24"/>
          <w:szCs w:val="24"/>
          <w:lang w:val="en-GB" w:eastAsia="hr-HR"/>
        </w:rPr>
        <w:t xml:space="preserve"> </w:t>
      </w:r>
      <w:r w:rsidR="00CB7B83">
        <w:rPr>
          <w:rFonts w:eastAsia="Times New Roman" w:cs="Calibri"/>
          <w:spacing w:val="-3"/>
          <w:sz w:val="24"/>
          <w:szCs w:val="24"/>
          <w:lang w:val="en-GB" w:eastAsia="hr-HR"/>
        </w:rPr>
        <w:t xml:space="preserve">decreased </w:t>
      </w:r>
      <w:r w:rsidR="00132044">
        <w:rPr>
          <w:rFonts w:eastAsia="Times New Roman" w:cs="Calibri"/>
          <w:spacing w:val="-3"/>
          <w:sz w:val="24"/>
          <w:szCs w:val="24"/>
          <w:lang w:val="en-GB" w:eastAsia="hr-HR"/>
        </w:rPr>
        <w:t xml:space="preserve">by </w:t>
      </w:r>
      <w:r w:rsidR="00635A18" w:rsidRPr="00FC6062">
        <w:rPr>
          <w:rFonts w:eastAsia="Times New Roman" w:cs="Calibri"/>
          <w:spacing w:val="-3"/>
          <w:sz w:val="24"/>
          <w:szCs w:val="24"/>
          <w:lang w:val="en-GB" w:eastAsia="hr-HR"/>
        </w:rPr>
        <w:t>39</w:t>
      </w:r>
      <w:r w:rsidR="00062631">
        <w:rPr>
          <w:rFonts w:eastAsia="Times New Roman" w:cs="Calibri"/>
          <w:spacing w:val="-3"/>
          <w:sz w:val="24"/>
          <w:szCs w:val="24"/>
          <w:lang w:val="en-GB" w:eastAsia="hr-HR"/>
        </w:rPr>
        <w:t>.</w:t>
      </w:r>
      <w:r w:rsidR="00635A18" w:rsidRPr="00FC6062">
        <w:rPr>
          <w:rFonts w:eastAsia="Times New Roman" w:cs="Calibri"/>
          <w:spacing w:val="-3"/>
          <w:sz w:val="24"/>
          <w:szCs w:val="24"/>
          <w:lang w:val="en-GB" w:eastAsia="hr-HR"/>
        </w:rPr>
        <w:t>7</w:t>
      </w:r>
      <w:r w:rsidR="00062631">
        <w:rPr>
          <w:rFonts w:eastAsia="Times New Roman" w:cs="Calibri"/>
          <w:spacing w:val="-3"/>
          <w:sz w:val="24"/>
          <w:szCs w:val="24"/>
          <w:lang w:val="en-GB" w:eastAsia="hr-HR"/>
        </w:rPr>
        <w:t xml:space="preserve"> percent on the beginning of the year</w:t>
      </w:r>
      <w:r w:rsidR="00635A18" w:rsidRPr="00FC6062">
        <w:rPr>
          <w:rFonts w:eastAsia="Times New Roman" w:cs="Calibri"/>
          <w:spacing w:val="-3"/>
          <w:sz w:val="24"/>
          <w:szCs w:val="24"/>
          <w:lang w:val="en-GB" w:eastAsia="hr-HR"/>
        </w:rPr>
        <w:t>, a</w:t>
      </w:r>
      <w:r w:rsidR="00062631">
        <w:rPr>
          <w:rFonts w:eastAsia="Times New Roman" w:cs="Calibri"/>
          <w:spacing w:val="-3"/>
          <w:sz w:val="24"/>
          <w:szCs w:val="24"/>
          <w:lang w:val="en-GB" w:eastAsia="hr-HR"/>
        </w:rPr>
        <w:t>nd the most significant impact result</w:t>
      </w:r>
      <w:r w:rsidR="00A91384">
        <w:rPr>
          <w:rFonts w:eastAsia="Times New Roman" w:cs="Calibri"/>
          <w:spacing w:val="-3"/>
          <w:sz w:val="24"/>
          <w:szCs w:val="24"/>
          <w:lang w:val="en-GB" w:eastAsia="hr-HR"/>
        </w:rPr>
        <w:t xml:space="preserve">ed from </w:t>
      </w:r>
      <w:r w:rsidR="00062631">
        <w:rPr>
          <w:rFonts w:eastAsia="Times New Roman" w:cs="Calibri"/>
          <w:spacing w:val="-3"/>
          <w:sz w:val="24"/>
          <w:szCs w:val="24"/>
          <w:lang w:val="en-GB" w:eastAsia="hr-HR"/>
        </w:rPr>
        <w:t xml:space="preserve">the return of received short-term deposits and the decrease in transactions performed by </w:t>
      </w:r>
      <w:r w:rsidR="00635A18" w:rsidRPr="00FC6062">
        <w:rPr>
          <w:rFonts w:eastAsia="Times New Roman" w:cs="Calibri"/>
          <w:spacing w:val="-3"/>
          <w:sz w:val="24"/>
          <w:szCs w:val="24"/>
          <w:lang w:val="en-GB" w:eastAsia="hr-HR"/>
        </w:rPr>
        <w:t>HBOR</w:t>
      </w:r>
      <w:r w:rsidR="00062631">
        <w:rPr>
          <w:rFonts w:eastAsia="Times New Roman" w:cs="Calibri"/>
          <w:spacing w:val="-3"/>
          <w:sz w:val="24"/>
          <w:szCs w:val="24"/>
          <w:lang w:val="en-GB" w:eastAsia="hr-HR"/>
        </w:rPr>
        <w:t xml:space="preserve"> for and on behalf of third parties</w:t>
      </w:r>
      <w:r w:rsidR="00635A18" w:rsidRPr="00FC6062">
        <w:rPr>
          <w:rFonts w:eastAsia="Times New Roman" w:cs="Calibri"/>
          <w:spacing w:val="-3"/>
          <w:sz w:val="24"/>
          <w:szCs w:val="24"/>
          <w:lang w:val="en-GB" w:eastAsia="hr-HR"/>
        </w:rPr>
        <w:t>.</w:t>
      </w:r>
    </w:p>
    <w:p w:rsidR="00E7259C" w:rsidRPr="00FC6062" w:rsidRDefault="00E7259C" w:rsidP="002E269E">
      <w:pPr>
        <w:tabs>
          <w:tab w:val="left" w:pos="-720"/>
        </w:tabs>
        <w:suppressAutoHyphens/>
        <w:spacing w:after="0" w:line="240" w:lineRule="auto"/>
        <w:jc w:val="both"/>
        <w:rPr>
          <w:rFonts w:eastAsia="Times New Roman" w:cs="Calibri"/>
          <w:b/>
          <w:i/>
          <w:spacing w:val="-3"/>
          <w:sz w:val="24"/>
          <w:szCs w:val="24"/>
          <w:lang w:val="en-GB" w:eastAsia="hr-HR"/>
        </w:rPr>
      </w:pPr>
    </w:p>
    <w:p w:rsidR="00E7259C" w:rsidRPr="00FC6062" w:rsidRDefault="00E7259C" w:rsidP="002E269E">
      <w:pPr>
        <w:tabs>
          <w:tab w:val="left" w:pos="-720"/>
        </w:tabs>
        <w:suppressAutoHyphens/>
        <w:spacing w:after="0" w:line="240" w:lineRule="auto"/>
        <w:jc w:val="both"/>
        <w:rPr>
          <w:rFonts w:eastAsia="Times New Roman" w:cs="Calibri"/>
          <w:b/>
          <w:i/>
          <w:spacing w:val="-3"/>
          <w:sz w:val="24"/>
          <w:szCs w:val="24"/>
          <w:lang w:val="en-GB" w:eastAsia="hr-HR"/>
        </w:rPr>
      </w:pPr>
    </w:p>
    <w:p w:rsidR="007E222A" w:rsidRPr="00FC6062" w:rsidRDefault="00062631" w:rsidP="002E269E">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Total equity</w:t>
      </w:r>
      <w:r w:rsidR="00DE30C6" w:rsidRPr="00FC6062">
        <w:rPr>
          <w:rFonts w:eastAsia="Times New Roman" w:cs="Calibri"/>
          <w:b/>
          <w:i/>
          <w:spacing w:val="-3"/>
          <w:sz w:val="24"/>
          <w:szCs w:val="24"/>
          <w:lang w:val="en-GB" w:eastAsia="hr-HR"/>
        </w:rPr>
        <w:t xml:space="preserve"> </w:t>
      </w:r>
    </w:p>
    <w:p w:rsidR="00422588" w:rsidRPr="00FC6062" w:rsidRDefault="00422588" w:rsidP="002E269E">
      <w:pPr>
        <w:tabs>
          <w:tab w:val="left" w:pos="-720"/>
        </w:tabs>
        <w:suppressAutoHyphens/>
        <w:spacing w:after="0" w:line="240" w:lineRule="auto"/>
        <w:jc w:val="both"/>
        <w:rPr>
          <w:rFonts w:eastAsia="Times New Roman" w:cs="Calibri"/>
          <w:b/>
          <w:i/>
          <w:spacing w:val="-3"/>
          <w:sz w:val="24"/>
          <w:szCs w:val="24"/>
          <w:lang w:val="en-GB" w:eastAsia="hr-HR"/>
        </w:rPr>
      </w:pPr>
    </w:p>
    <w:p w:rsidR="00514881" w:rsidRPr="00FC6062" w:rsidRDefault="00FC6062" w:rsidP="00514881">
      <w:pPr>
        <w:spacing w:after="0" w:line="240" w:lineRule="auto"/>
        <w:jc w:val="both"/>
        <w:rPr>
          <w:rFonts w:eastAsia="Times New Roman" w:cs="Calibri"/>
          <w:spacing w:val="-3"/>
          <w:sz w:val="24"/>
          <w:szCs w:val="24"/>
          <w:lang w:val="en-GB" w:eastAsia="hr-HR"/>
        </w:rPr>
      </w:pPr>
      <w:r w:rsidRPr="00FC6062">
        <w:rPr>
          <w:rFonts w:eastAsia="Times New Roman" w:cs="Calibri"/>
          <w:spacing w:val="-3"/>
          <w:sz w:val="24"/>
          <w:szCs w:val="24"/>
          <w:lang w:val="en-GB" w:eastAsia="hr-HR"/>
        </w:rPr>
        <w:t>Total equity amounted to HRK 10,</w:t>
      </w:r>
      <w:r w:rsidR="00EA3D26">
        <w:rPr>
          <w:rFonts w:eastAsia="Times New Roman" w:cs="Calibri"/>
          <w:spacing w:val="-3"/>
          <w:sz w:val="24"/>
          <w:szCs w:val="24"/>
          <w:lang w:val="en-GB" w:eastAsia="hr-HR"/>
        </w:rPr>
        <w:t>238</w:t>
      </w:r>
      <w:r w:rsidRPr="00FC6062">
        <w:rPr>
          <w:rFonts w:eastAsia="Times New Roman" w:cs="Calibri"/>
          <w:spacing w:val="-3"/>
          <w:sz w:val="24"/>
          <w:szCs w:val="24"/>
          <w:lang w:val="en-GB" w:eastAsia="hr-HR"/>
        </w:rPr>
        <w:t>.</w:t>
      </w:r>
      <w:r w:rsidR="00EA3D26">
        <w:rPr>
          <w:rFonts w:eastAsia="Times New Roman" w:cs="Calibri"/>
          <w:spacing w:val="-3"/>
          <w:sz w:val="24"/>
          <w:szCs w:val="24"/>
          <w:lang w:val="en-GB" w:eastAsia="hr-HR"/>
        </w:rPr>
        <w:t>3</w:t>
      </w:r>
      <w:r w:rsidRPr="00FC6062">
        <w:rPr>
          <w:rFonts w:eastAsia="Times New Roman" w:cs="Calibri"/>
          <w:spacing w:val="-3"/>
          <w:sz w:val="24"/>
          <w:szCs w:val="24"/>
          <w:lang w:val="en-GB" w:eastAsia="hr-HR"/>
        </w:rPr>
        <w:t xml:space="preserve"> million, representing 3</w:t>
      </w:r>
      <w:r w:rsidR="00944A3A">
        <w:rPr>
          <w:rFonts w:eastAsia="Times New Roman" w:cs="Calibri"/>
          <w:spacing w:val="-3"/>
          <w:sz w:val="24"/>
          <w:szCs w:val="24"/>
          <w:lang w:val="en-GB" w:eastAsia="hr-HR"/>
        </w:rPr>
        <w:t>8</w:t>
      </w:r>
      <w:r w:rsidRPr="00FC6062">
        <w:rPr>
          <w:rFonts w:eastAsia="Times New Roman" w:cs="Calibri"/>
          <w:spacing w:val="-3"/>
          <w:sz w:val="24"/>
          <w:szCs w:val="24"/>
          <w:lang w:val="en-GB" w:eastAsia="hr-HR"/>
        </w:rPr>
        <w:t>.</w:t>
      </w:r>
      <w:r w:rsidR="00944A3A">
        <w:rPr>
          <w:rFonts w:eastAsia="Times New Roman" w:cs="Calibri"/>
          <w:spacing w:val="-3"/>
          <w:sz w:val="24"/>
          <w:szCs w:val="24"/>
          <w:lang w:val="en-GB" w:eastAsia="hr-HR"/>
        </w:rPr>
        <w:t>5</w:t>
      </w:r>
      <w:r w:rsidRPr="00FC6062">
        <w:rPr>
          <w:rFonts w:eastAsia="Times New Roman" w:cs="Calibri"/>
          <w:spacing w:val="-3"/>
          <w:sz w:val="24"/>
          <w:szCs w:val="24"/>
          <w:lang w:val="en-GB" w:eastAsia="hr-HR"/>
        </w:rPr>
        <w:t xml:space="preserve"> percent of total liabilities and total equity</w:t>
      </w:r>
      <w:r w:rsidR="00514881" w:rsidRPr="00FC6062">
        <w:rPr>
          <w:rFonts w:eastAsia="Times New Roman" w:cs="Calibri"/>
          <w:spacing w:val="-3"/>
          <w:sz w:val="24"/>
          <w:szCs w:val="24"/>
          <w:lang w:val="en-GB" w:eastAsia="hr-HR"/>
        </w:rPr>
        <w:t>.</w:t>
      </w:r>
    </w:p>
    <w:p w:rsidR="0076739E" w:rsidRPr="00FC6062" w:rsidRDefault="0076739E" w:rsidP="00514881">
      <w:pPr>
        <w:tabs>
          <w:tab w:val="left" w:pos="-720"/>
        </w:tabs>
        <w:suppressAutoHyphens/>
        <w:spacing w:after="0" w:line="240" w:lineRule="auto"/>
        <w:jc w:val="both"/>
        <w:rPr>
          <w:rFonts w:cstheme="minorHAnsi"/>
          <w:spacing w:val="-3"/>
          <w:sz w:val="24"/>
          <w:szCs w:val="24"/>
          <w:lang w:val="en-GB"/>
        </w:rPr>
      </w:pPr>
    </w:p>
    <w:p w:rsidR="00514881" w:rsidRPr="00FC6062" w:rsidRDefault="00FC6062" w:rsidP="00514881">
      <w:pPr>
        <w:tabs>
          <w:tab w:val="left" w:pos="-720"/>
        </w:tabs>
        <w:suppressAutoHyphens/>
        <w:spacing w:after="0" w:line="240" w:lineRule="auto"/>
        <w:jc w:val="both"/>
        <w:rPr>
          <w:rFonts w:cstheme="minorHAnsi"/>
          <w:spacing w:val="-3"/>
          <w:sz w:val="24"/>
          <w:szCs w:val="24"/>
          <w:lang w:val="en-GB"/>
        </w:rPr>
      </w:pPr>
      <w:r w:rsidRPr="00FC6062">
        <w:rPr>
          <w:rFonts w:cstheme="minorHAnsi"/>
          <w:spacing w:val="-3"/>
          <w:sz w:val="24"/>
          <w:szCs w:val="24"/>
          <w:lang w:val="en-GB"/>
        </w:rPr>
        <w:t>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period</w:t>
      </w:r>
      <w:r w:rsidR="00514881" w:rsidRPr="00FC6062">
        <w:rPr>
          <w:rFonts w:cstheme="minorHAnsi"/>
          <w:spacing w:val="-3"/>
          <w:sz w:val="24"/>
          <w:szCs w:val="24"/>
          <w:lang w:val="en-GB"/>
        </w:rPr>
        <w:t xml:space="preserve">. </w:t>
      </w:r>
    </w:p>
    <w:p w:rsidR="00514881" w:rsidRPr="00FC6062" w:rsidRDefault="00514881" w:rsidP="00514881">
      <w:pPr>
        <w:tabs>
          <w:tab w:val="left" w:pos="-720"/>
        </w:tabs>
        <w:suppressAutoHyphens/>
        <w:spacing w:after="0" w:line="240" w:lineRule="auto"/>
        <w:jc w:val="both"/>
        <w:rPr>
          <w:rFonts w:cstheme="minorHAnsi"/>
          <w:spacing w:val="-3"/>
          <w:sz w:val="24"/>
          <w:szCs w:val="24"/>
          <w:lang w:val="en-GB"/>
        </w:rPr>
      </w:pPr>
    </w:p>
    <w:p w:rsidR="0076739E" w:rsidRPr="00FC6062" w:rsidRDefault="00FC6062" w:rsidP="007B069A">
      <w:pPr>
        <w:tabs>
          <w:tab w:val="left" w:pos="-720"/>
        </w:tabs>
        <w:spacing w:after="0" w:line="240" w:lineRule="auto"/>
        <w:jc w:val="both"/>
        <w:rPr>
          <w:rFonts w:cstheme="minorHAnsi"/>
          <w:spacing w:val="-3"/>
          <w:sz w:val="24"/>
          <w:szCs w:val="24"/>
          <w:lang w:val="en-GB"/>
        </w:rPr>
      </w:pPr>
      <w:r w:rsidRPr="00FC6062">
        <w:rPr>
          <w:rFonts w:cstheme="minorHAnsi"/>
          <w:spacing w:val="-3"/>
          <w:sz w:val="24"/>
          <w:szCs w:val="24"/>
          <w:lang w:val="en-GB"/>
        </w:rPr>
        <w:t>In the reporting period, the amount of HRK 25.0 million was contributed from the budget of the Republic of Croatia into the founder’s capital. The total amount of capital contributed from the budget of the Republic of Croatia stood at HRK 6,658.0 million, and the remaining amount to be contributed to the founder’s capital up to the total amount of HRK 7,000.0 million set by the HBOR Act is HRK 342.0 million</w:t>
      </w:r>
      <w:r w:rsidR="00306BFE" w:rsidRPr="00FC6062">
        <w:rPr>
          <w:rFonts w:cstheme="minorHAnsi"/>
          <w:spacing w:val="-3"/>
          <w:sz w:val="24"/>
          <w:szCs w:val="24"/>
          <w:lang w:val="en-GB"/>
        </w:rPr>
        <w:t>.</w:t>
      </w:r>
    </w:p>
    <w:p w:rsidR="00522926" w:rsidRPr="00FC6062" w:rsidRDefault="00522926" w:rsidP="007B069A">
      <w:pPr>
        <w:tabs>
          <w:tab w:val="left" w:pos="-720"/>
        </w:tabs>
        <w:spacing w:after="0" w:line="240" w:lineRule="auto"/>
        <w:jc w:val="both"/>
        <w:rPr>
          <w:rFonts w:cstheme="minorHAnsi"/>
          <w:spacing w:val="-3"/>
          <w:sz w:val="24"/>
          <w:szCs w:val="24"/>
          <w:lang w:val="en-GB"/>
        </w:rPr>
      </w:pPr>
    </w:p>
    <w:p w:rsidR="00522926" w:rsidRPr="00FC6062" w:rsidRDefault="00944A3A" w:rsidP="007B069A">
      <w:pPr>
        <w:tabs>
          <w:tab w:val="left" w:pos="-720"/>
        </w:tabs>
        <w:spacing w:after="0" w:line="240" w:lineRule="auto"/>
        <w:jc w:val="both"/>
        <w:rPr>
          <w:rFonts w:cstheme="minorHAnsi"/>
          <w:spacing w:val="-3"/>
          <w:sz w:val="24"/>
          <w:szCs w:val="24"/>
          <w:lang w:val="en-GB"/>
        </w:rPr>
      </w:pPr>
      <w:r>
        <w:rPr>
          <w:rFonts w:cstheme="minorHAnsi"/>
          <w:spacing w:val="-3"/>
          <w:sz w:val="24"/>
          <w:szCs w:val="24"/>
          <w:lang w:val="en-GB"/>
        </w:rPr>
        <w:t xml:space="preserve">After the reporting period, on </w:t>
      </w:r>
      <w:r w:rsidR="00522926" w:rsidRPr="00FC6062">
        <w:rPr>
          <w:rFonts w:cstheme="minorHAnsi"/>
          <w:spacing w:val="-3"/>
          <w:sz w:val="24"/>
          <w:szCs w:val="24"/>
          <w:lang w:val="en-GB"/>
        </w:rPr>
        <w:t>22</w:t>
      </w:r>
      <w:r>
        <w:rPr>
          <w:rFonts w:cstheme="minorHAnsi"/>
          <w:spacing w:val="-3"/>
          <w:sz w:val="24"/>
          <w:szCs w:val="24"/>
          <w:lang w:val="en-GB"/>
        </w:rPr>
        <w:t xml:space="preserve"> October </w:t>
      </w:r>
      <w:r w:rsidR="00522926" w:rsidRPr="00FC6062">
        <w:rPr>
          <w:rFonts w:cstheme="minorHAnsi"/>
          <w:spacing w:val="-3"/>
          <w:sz w:val="24"/>
          <w:szCs w:val="24"/>
          <w:lang w:val="en-GB"/>
        </w:rPr>
        <w:t xml:space="preserve">2019, </w:t>
      </w:r>
      <w:r>
        <w:rPr>
          <w:rFonts w:cstheme="minorHAnsi"/>
          <w:spacing w:val="-3"/>
          <w:sz w:val="24"/>
          <w:szCs w:val="24"/>
          <w:lang w:val="en-GB"/>
        </w:rPr>
        <w:t xml:space="preserve">the amount of HRK </w:t>
      </w:r>
      <w:r w:rsidR="00522926" w:rsidRPr="00FC6062">
        <w:rPr>
          <w:rFonts w:cstheme="minorHAnsi"/>
          <w:spacing w:val="-3"/>
          <w:sz w:val="24"/>
          <w:szCs w:val="24"/>
          <w:lang w:val="en-GB"/>
        </w:rPr>
        <w:t>25</w:t>
      </w:r>
      <w:r>
        <w:rPr>
          <w:rFonts w:cstheme="minorHAnsi"/>
          <w:spacing w:val="-3"/>
          <w:sz w:val="24"/>
          <w:szCs w:val="24"/>
          <w:lang w:val="en-GB"/>
        </w:rPr>
        <w:t>.</w:t>
      </w:r>
      <w:r w:rsidR="00522926" w:rsidRPr="00FC6062">
        <w:rPr>
          <w:rFonts w:cstheme="minorHAnsi"/>
          <w:spacing w:val="-3"/>
          <w:sz w:val="24"/>
          <w:szCs w:val="24"/>
          <w:lang w:val="en-GB"/>
        </w:rPr>
        <w:t>0</w:t>
      </w:r>
      <w:r>
        <w:rPr>
          <w:rFonts w:cstheme="minorHAnsi"/>
          <w:spacing w:val="-3"/>
          <w:sz w:val="24"/>
          <w:szCs w:val="24"/>
          <w:lang w:val="en-GB"/>
        </w:rPr>
        <w:t xml:space="preserve"> million was contributed into the founder’s capital from the budget of the Republic of Croatia</w:t>
      </w:r>
      <w:r w:rsidR="001B7AAD" w:rsidRPr="00FC6062">
        <w:rPr>
          <w:rFonts w:cstheme="minorHAnsi"/>
          <w:spacing w:val="-3"/>
          <w:sz w:val="24"/>
          <w:szCs w:val="24"/>
          <w:lang w:val="en-GB"/>
        </w:rPr>
        <w:t>,</w:t>
      </w:r>
      <w:r>
        <w:rPr>
          <w:rFonts w:cstheme="minorHAnsi"/>
          <w:spacing w:val="-3"/>
          <w:sz w:val="24"/>
          <w:szCs w:val="24"/>
          <w:lang w:val="en-GB"/>
        </w:rPr>
        <w:t xml:space="preserve"> which means that the planned contribution for 2019 from the budget of the Republic of Croatia in the amount of HRK </w:t>
      </w:r>
      <w:r w:rsidR="001B7AAD" w:rsidRPr="00FC6062">
        <w:rPr>
          <w:rFonts w:cstheme="minorHAnsi"/>
          <w:spacing w:val="-3"/>
          <w:sz w:val="24"/>
          <w:szCs w:val="24"/>
          <w:lang w:val="en-GB"/>
        </w:rPr>
        <w:t>50</w:t>
      </w:r>
      <w:r>
        <w:rPr>
          <w:rFonts w:cstheme="minorHAnsi"/>
          <w:spacing w:val="-3"/>
          <w:sz w:val="24"/>
          <w:szCs w:val="24"/>
          <w:lang w:val="en-GB"/>
        </w:rPr>
        <w:t>.</w:t>
      </w:r>
      <w:r w:rsidR="001B7AAD" w:rsidRPr="00FC6062">
        <w:rPr>
          <w:rFonts w:cstheme="minorHAnsi"/>
          <w:spacing w:val="-3"/>
          <w:sz w:val="24"/>
          <w:szCs w:val="24"/>
          <w:lang w:val="en-GB"/>
        </w:rPr>
        <w:t xml:space="preserve">0 </w:t>
      </w:r>
      <w:r>
        <w:rPr>
          <w:rFonts w:cstheme="minorHAnsi"/>
          <w:spacing w:val="-3"/>
          <w:sz w:val="24"/>
          <w:szCs w:val="24"/>
          <w:lang w:val="en-GB"/>
        </w:rPr>
        <w:t>million has been entirely settled</w:t>
      </w:r>
      <w:r w:rsidR="001B7AAD" w:rsidRPr="00FC6062">
        <w:rPr>
          <w:rFonts w:cstheme="minorHAnsi"/>
          <w:spacing w:val="-3"/>
          <w:sz w:val="24"/>
          <w:szCs w:val="24"/>
          <w:lang w:val="en-GB"/>
        </w:rPr>
        <w:t>.</w:t>
      </w:r>
    </w:p>
    <w:p w:rsidR="0076739E" w:rsidRPr="00FC6062" w:rsidRDefault="0076739E" w:rsidP="001C6D63">
      <w:pPr>
        <w:tabs>
          <w:tab w:val="left" w:pos="-720"/>
        </w:tabs>
        <w:suppressAutoHyphens/>
        <w:spacing w:after="0" w:line="240" w:lineRule="auto"/>
        <w:ind w:right="-142" w:hanging="142"/>
        <w:jc w:val="both"/>
        <w:rPr>
          <w:rFonts w:cstheme="minorHAnsi"/>
          <w:sz w:val="24"/>
          <w:szCs w:val="24"/>
          <w:lang w:val="en-GB" w:eastAsia="hr-HR"/>
        </w:rPr>
      </w:pPr>
      <w:r w:rsidRPr="00FC6062">
        <w:rPr>
          <w:rFonts w:cstheme="minorHAnsi"/>
          <w:sz w:val="24"/>
          <w:szCs w:val="24"/>
          <w:lang w:val="en-GB" w:eastAsia="hr-HR"/>
        </w:rPr>
        <w:tab/>
      </w:r>
    </w:p>
    <w:p w:rsidR="00D834DB" w:rsidRPr="00FC6062"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FC6062" w:rsidSect="00F11426">
          <w:headerReference w:type="default" r:id="rId43"/>
          <w:footerReference w:type="default" r:id="rId44"/>
          <w:pgSz w:w="11906" w:h="16838"/>
          <w:pgMar w:top="1417" w:right="1416" w:bottom="1417" w:left="1417" w:header="708" w:footer="708" w:gutter="0"/>
          <w:cols w:space="708"/>
          <w:docGrid w:linePitch="360"/>
        </w:sectPr>
      </w:pPr>
      <w:r w:rsidRPr="00FC6062">
        <w:rPr>
          <w:rFonts w:cstheme="minorHAnsi"/>
          <w:sz w:val="24"/>
          <w:szCs w:val="24"/>
          <w:lang w:val="en-GB" w:eastAsia="hr-HR"/>
        </w:rPr>
        <w:t xml:space="preserve">   </w:t>
      </w:r>
    </w:p>
    <w:p w:rsidR="007D0E13" w:rsidRDefault="009C6A57" w:rsidP="00700998">
      <w:pPr>
        <w:tabs>
          <w:tab w:val="left" w:pos="-720"/>
        </w:tabs>
        <w:suppressAutoHyphens/>
        <w:spacing w:after="0" w:line="240" w:lineRule="auto"/>
        <w:ind w:left="-426" w:right="-426"/>
        <w:jc w:val="both"/>
        <w:rPr>
          <w:lang w:val="en-GB"/>
        </w:rPr>
      </w:pPr>
      <w:r w:rsidRPr="00FC6062">
        <w:rPr>
          <w:rFonts w:cstheme="minorHAnsi"/>
          <w:sz w:val="24"/>
          <w:szCs w:val="24"/>
          <w:lang w:val="en-GB" w:eastAsia="hr-HR"/>
        </w:rPr>
        <w:lastRenderedPageBreak/>
        <w:t xml:space="preserve">      </w:t>
      </w:r>
      <w:r w:rsidR="00FC51A4" w:rsidRPr="00FC6062">
        <w:rPr>
          <w:rFonts w:cstheme="minorHAnsi"/>
          <w:sz w:val="24"/>
          <w:szCs w:val="24"/>
          <w:lang w:val="en-GB" w:eastAsia="hr-HR"/>
        </w:rPr>
        <w:t xml:space="preserve"> </w:t>
      </w:r>
      <w:r w:rsidR="00670DF2">
        <w:rPr>
          <w:rFonts w:cstheme="minorHAnsi"/>
          <w:noProof/>
          <w:sz w:val="24"/>
          <w:szCs w:val="24"/>
          <w:lang w:val="en-GB" w:eastAsia="hr-HR"/>
        </w:rPr>
        <w:drawing>
          <wp:inline distT="0" distB="0" distL="0" distR="0" wp14:anchorId="10E87026">
            <wp:extent cx="2709777" cy="37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09777" cy="3780000"/>
                    </a:xfrm>
                    <a:prstGeom prst="rect">
                      <a:avLst/>
                    </a:prstGeom>
                    <a:noFill/>
                  </pic:spPr>
                </pic:pic>
              </a:graphicData>
            </a:graphic>
          </wp:inline>
        </w:drawing>
      </w:r>
      <w:r w:rsidRPr="00FC6062">
        <w:rPr>
          <w:rFonts w:cstheme="minorHAnsi"/>
          <w:sz w:val="24"/>
          <w:szCs w:val="24"/>
          <w:lang w:val="en-GB" w:eastAsia="hr-HR"/>
        </w:rPr>
        <w:t xml:space="preserve"> </w:t>
      </w:r>
      <w:r w:rsidR="00223CCE">
        <w:rPr>
          <w:rFonts w:cstheme="minorHAnsi"/>
          <w:sz w:val="24"/>
          <w:szCs w:val="24"/>
          <w:lang w:val="en-GB" w:eastAsia="hr-HR"/>
        </w:rPr>
        <w:t xml:space="preserve">  </w:t>
      </w:r>
      <w:r w:rsidRPr="00FC6062">
        <w:rPr>
          <w:rFonts w:cstheme="minorHAnsi"/>
          <w:sz w:val="24"/>
          <w:szCs w:val="24"/>
          <w:lang w:val="en-GB" w:eastAsia="hr-HR"/>
        </w:rPr>
        <w:t xml:space="preserve"> </w:t>
      </w:r>
      <w:r w:rsidR="00223CCE">
        <w:rPr>
          <w:rFonts w:cstheme="minorHAnsi"/>
          <w:sz w:val="24"/>
          <w:szCs w:val="24"/>
          <w:lang w:val="en-GB" w:eastAsia="hr-HR"/>
        </w:rPr>
        <w:t xml:space="preserve">   </w:t>
      </w:r>
      <w:r w:rsidRPr="00FC6062">
        <w:rPr>
          <w:rFonts w:cstheme="minorHAnsi"/>
          <w:sz w:val="24"/>
          <w:szCs w:val="24"/>
          <w:lang w:val="en-GB" w:eastAsia="hr-HR"/>
        </w:rPr>
        <w:t xml:space="preserve"> </w:t>
      </w:r>
      <w:r w:rsidR="00223CCE">
        <w:rPr>
          <w:rFonts w:cstheme="minorHAnsi"/>
          <w:sz w:val="24"/>
          <w:szCs w:val="24"/>
          <w:lang w:val="en-GB" w:eastAsia="hr-HR"/>
        </w:rPr>
        <w:t xml:space="preserve"> </w:t>
      </w:r>
      <w:r w:rsidRPr="00FC6062">
        <w:rPr>
          <w:rFonts w:cstheme="minorHAnsi"/>
          <w:sz w:val="24"/>
          <w:szCs w:val="24"/>
          <w:lang w:val="en-GB" w:eastAsia="hr-HR"/>
        </w:rPr>
        <w:t xml:space="preserve">  </w:t>
      </w:r>
      <w:r w:rsidR="00834FCE" w:rsidRPr="00FC6062" w:rsidDel="00834FCE">
        <w:rPr>
          <w:lang w:val="en-GB"/>
        </w:rPr>
        <w:t xml:space="preserve"> </w:t>
      </w:r>
      <w:r w:rsidR="00722AAF">
        <w:rPr>
          <w:noProof/>
          <w:lang w:val="en-GB"/>
        </w:rPr>
        <w:drawing>
          <wp:inline distT="0" distB="0" distL="0" distR="0" wp14:anchorId="682C754B">
            <wp:extent cx="2709777" cy="37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09777" cy="3780000"/>
                    </a:xfrm>
                    <a:prstGeom prst="rect">
                      <a:avLst/>
                    </a:prstGeom>
                    <a:noFill/>
                  </pic:spPr>
                </pic:pic>
              </a:graphicData>
            </a:graphic>
          </wp:inline>
        </w:drawing>
      </w:r>
    </w:p>
    <w:p w:rsidR="00223CCE" w:rsidRDefault="00223CCE" w:rsidP="00700998">
      <w:pPr>
        <w:tabs>
          <w:tab w:val="left" w:pos="-720"/>
        </w:tabs>
        <w:suppressAutoHyphens/>
        <w:spacing w:after="0" w:line="240" w:lineRule="auto"/>
        <w:ind w:left="-426" w:right="-426"/>
        <w:jc w:val="both"/>
        <w:rPr>
          <w:lang w:val="en-GB"/>
        </w:rPr>
      </w:pPr>
    </w:p>
    <w:p w:rsidR="00223CCE" w:rsidRPr="00FC6062" w:rsidRDefault="00223CCE" w:rsidP="00700998">
      <w:pPr>
        <w:tabs>
          <w:tab w:val="left" w:pos="-720"/>
        </w:tabs>
        <w:suppressAutoHyphens/>
        <w:spacing w:after="0" w:line="240" w:lineRule="auto"/>
        <w:ind w:left="-426" w:right="-426"/>
        <w:jc w:val="both"/>
        <w:rPr>
          <w:rFonts w:cstheme="minorHAnsi"/>
          <w:sz w:val="24"/>
          <w:szCs w:val="24"/>
          <w:lang w:val="en-GB" w:eastAsia="hr-HR"/>
        </w:rPr>
      </w:pPr>
    </w:p>
    <w:p w:rsidR="00700998" w:rsidRDefault="00223CCE" w:rsidP="00700998">
      <w:pPr>
        <w:tabs>
          <w:tab w:val="left" w:pos="-720"/>
        </w:tabs>
        <w:suppressAutoHyphens/>
        <w:spacing w:after="0" w:line="240" w:lineRule="auto"/>
        <w:ind w:left="-426" w:right="-426"/>
        <w:jc w:val="both"/>
        <w:rPr>
          <w:rFonts w:cstheme="minorHAnsi"/>
          <w:sz w:val="24"/>
          <w:szCs w:val="24"/>
          <w:lang w:val="en-GB" w:eastAsia="hr-HR"/>
        </w:rPr>
      </w:pPr>
      <w:r>
        <w:rPr>
          <w:rFonts w:cstheme="minorHAnsi"/>
          <w:sz w:val="24"/>
          <w:szCs w:val="24"/>
          <w:lang w:val="en-GB" w:eastAsia="hr-HR"/>
        </w:rPr>
        <w:t xml:space="preserve"> </w:t>
      </w:r>
      <w:r>
        <w:rPr>
          <w:rFonts w:cstheme="minorHAnsi"/>
          <w:noProof/>
          <w:sz w:val="24"/>
          <w:szCs w:val="24"/>
          <w:lang w:val="en-GB"/>
        </w:rPr>
        <w:drawing>
          <wp:inline distT="0" distB="0" distL="0" distR="0" wp14:anchorId="2C42FC63" wp14:editId="20D92939">
            <wp:extent cx="3101202" cy="3672000"/>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01202" cy="3672000"/>
                    </a:xfrm>
                    <a:prstGeom prst="rect">
                      <a:avLst/>
                    </a:prstGeom>
                    <a:noFill/>
                  </pic:spPr>
                </pic:pic>
              </a:graphicData>
            </a:graphic>
          </wp:inline>
        </w:drawing>
      </w:r>
      <w:r>
        <w:rPr>
          <w:rFonts w:cstheme="minorHAnsi"/>
          <w:noProof/>
          <w:sz w:val="24"/>
          <w:szCs w:val="24"/>
          <w:lang w:val="en-GB"/>
        </w:rPr>
        <w:drawing>
          <wp:inline distT="0" distB="0" distL="0" distR="0" wp14:anchorId="380E3AB6" wp14:editId="14EF352E">
            <wp:extent cx="3153187" cy="3708000"/>
            <wp:effectExtent l="0" t="0" r="952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53187" cy="3708000"/>
                    </a:xfrm>
                    <a:prstGeom prst="rect">
                      <a:avLst/>
                    </a:prstGeom>
                    <a:noFill/>
                  </pic:spPr>
                </pic:pic>
              </a:graphicData>
            </a:graphic>
          </wp:inline>
        </w:drawing>
      </w:r>
    </w:p>
    <w:p w:rsidR="00223CCE" w:rsidRDefault="00223CCE" w:rsidP="00700998">
      <w:pPr>
        <w:tabs>
          <w:tab w:val="left" w:pos="-720"/>
        </w:tabs>
        <w:suppressAutoHyphens/>
        <w:spacing w:after="0" w:line="240" w:lineRule="auto"/>
        <w:ind w:left="-426" w:right="-426"/>
        <w:jc w:val="both"/>
        <w:rPr>
          <w:rFonts w:cstheme="minorHAnsi"/>
          <w:sz w:val="24"/>
          <w:szCs w:val="24"/>
          <w:lang w:val="en-GB" w:eastAsia="hr-HR"/>
        </w:rPr>
      </w:pPr>
    </w:p>
    <w:p w:rsidR="00B57ECC" w:rsidRPr="00FC6062" w:rsidRDefault="00B57ECC" w:rsidP="00D3606D">
      <w:pPr>
        <w:tabs>
          <w:tab w:val="left" w:pos="-720"/>
          <w:tab w:val="left" w:pos="426"/>
        </w:tabs>
        <w:suppressAutoHyphens/>
        <w:spacing w:after="0" w:line="240" w:lineRule="auto"/>
        <w:jc w:val="both"/>
        <w:rPr>
          <w:rFonts w:eastAsia="Times New Roman" w:cs="Calibri"/>
          <w:spacing w:val="-3"/>
          <w:sz w:val="24"/>
          <w:szCs w:val="24"/>
          <w:lang w:val="en-GB" w:eastAsia="hr-HR"/>
        </w:rPr>
      </w:pPr>
    </w:p>
    <w:p w:rsidR="009E53C8" w:rsidRPr="00FC6062"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FC6062">
        <w:rPr>
          <w:rFonts w:eastAsia="Times New Roman" w:cs="Calibri"/>
          <w:color w:val="7F7F7F" w:themeColor="text1" w:themeTint="80"/>
          <w:spacing w:val="-3"/>
          <w:sz w:val="20"/>
          <w:szCs w:val="20"/>
          <w:lang w:val="en-GB" w:eastAsia="hr-HR"/>
        </w:rPr>
        <w:t>*</w:t>
      </w:r>
      <w:r w:rsidR="007D4720" w:rsidRPr="007D4720">
        <w:rPr>
          <w:rFonts w:eastAsia="Times New Roman" w:cs="Calibri"/>
          <w:color w:val="7F7F7F" w:themeColor="text1" w:themeTint="80"/>
          <w:spacing w:val="-3"/>
          <w:sz w:val="20"/>
          <w:szCs w:val="20"/>
          <w:lang w:val="en-GB" w:eastAsia="hr-HR"/>
        </w:rPr>
        <w:t>Investments in subsidiaries, Property, plant and equipment and intangible assets, Foreclosed assets and Other assets</w:t>
      </w:r>
      <w:r w:rsidRPr="00FC6062">
        <w:rPr>
          <w:rFonts w:eastAsia="Times New Roman" w:cs="Calibri"/>
          <w:color w:val="7F7F7F" w:themeColor="text1" w:themeTint="80"/>
          <w:spacing w:val="-3"/>
          <w:sz w:val="20"/>
          <w:szCs w:val="20"/>
          <w:lang w:val="en-GB" w:eastAsia="hr-HR"/>
        </w:rPr>
        <w:t>.</w:t>
      </w:r>
    </w:p>
    <w:p w:rsidR="00700998" w:rsidRPr="00FC6062"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FC6062">
        <w:rPr>
          <w:rFonts w:eastAsia="Times New Roman" w:cs="Calibri"/>
          <w:color w:val="7F7F7F" w:themeColor="text1" w:themeTint="80"/>
          <w:spacing w:val="-3"/>
          <w:sz w:val="20"/>
          <w:szCs w:val="20"/>
          <w:lang w:val="en-GB" w:eastAsia="hr-HR"/>
        </w:rPr>
        <w:t>**</w:t>
      </w:r>
      <w:r w:rsidR="007D4720" w:rsidRPr="007D4720">
        <w:rPr>
          <w:rFonts w:eastAsia="Times New Roman" w:cs="Calibri"/>
          <w:color w:val="7F7F7F" w:themeColor="text1" w:themeTint="80"/>
          <w:spacing w:val="-3"/>
          <w:sz w:val="20"/>
          <w:szCs w:val="20"/>
          <w:lang w:val="en-GB" w:eastAsia="hr-HR"/>
        </w:rPr>
        <w:t>Provisioning includes provisioning for guarantees, commitments and other liabilities</w:t>
      </w:r>
      <w:r w:rsidRPr="00FC6062">
        <w:rPr>
          <w:rFonts w:eastAsia="Times New Roman" w:cs="Calibri"/>
          <w:color w:val="7F7F7F" w:themeColor="text1" w:themeTint="80"/>
          <w:spacing w:val="-3"/>
          <w:sz w:val="20"/>
          <w:szCs w:val="20"/>
          <w:lang w:val="en-GB" w:eastAsia="hr-HR"/>
        </w:rPr>
        <w:t>.</w:t>
      </w:r>
    </w:p>
    <w:p w:rsidR="00700998" w:rsidRPr="00FC6062" w:rsidRDefault="00700998" w:rsidP="00B305E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700998" w:rsidRPr="00FC6062" w:rsidSect="007B5D75">
      <w:footerReference w:type="default" r:id="rId4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347" w:rsidRDefault="00643347" w:rsidP="00AE35D1">
      <w:pPr>
        <w:spacing w:after="0" w:line="240" w:lineRule="auto"/>
      </w:pPr>
      <w:r>
        <w:separator/>
      </w:r>
    </w:p>
  </w:endnote>
  <w:endnote w:type="continuationSeparator" w:id="0">
    <w:p w:rsidR="00643347" w:rsidRDefault="00643347"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290697" w:rsidRDefault="00250F38">
    <w:pPr>
      <w:pStyle w:val="Footer"/>
      <w:jc w:val="center"/>
      <w:rPr>
        <w:sz w:val="18"/>
        <w:szCs w:val="18"/>
      </w:rPr>
    </w:pPr>
  </w:p>
  <w:p w:rsidR="00250F38" w:rsidRPr="000E7285" w:rsidRDefault="00250F38"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rsidR="00250F38" w:rsidRDefault="00250F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11</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12</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14</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15</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2C64CB" w:rsidRDefault="00250F38"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16</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Default="00250F38" w:rsidP="00250F38">
    <w:pPr>
      <w:pBdr>
        <w:top w:val="single" w:sz="4" w:space="1" w:color="auto"/>
      </w:pBdr>
      <w:tabs>
        <w:tab w:val="center" w:pos="4153"/>
        <w:tab w:val="right" w:pos="9072"/>
      </w:tabs>
      <w:spacing w:after="0" w:line="240" w:lineRule="auto"/>
      <w:ind w:right="283"/>
    </w:pPr>
    <w:r w:rsidRPr="00250F38">
      <w:rPr>
        <w:rFonts w:eastAsia="Times New Roman" w:cs="Arial"/>
        <w:sz w:val="19"/>
        <w:szCs w:val="19"/>
        <w:lang w:val="en-GB"/>
      </w:rPr>
      <w:t>2   Croatian Bank for Reconstruction and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290697" w:rsidRDefault="00250F38">
    <w:pPr>
      <w:pStyle w:val="Footer"/>
      <w:jc w:val="center"/>
      <w:rPr>
        <w:sz w:val="18"/>
        <w:szCs w:val="18"/>
      </w:rPr>
    </w:pPr>
  </w:p>
  <w:p w:rsidR="00250F38" w:rsidRPr="000E7285" w:rsidRDefault="00250F38"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004E6931" w:rsidRPr="004E6931">
      <w:rPr>
        <w:rFonts w:eastAsia="Times New Roman" w:cs="Arial"/>
        <w:sz w:val="19"/>
        <w:szCs w:val="19"/>
        <w:lang w:val="en-GB"/>
      </w:rPr>
      <w:t xml:space="preserve">Croatian Bank for Reconstruction and Development </w:t>
    </w:r>
  </w:p>
  <w:p w:rsidR="00250F38" w:rsidRDefault="00250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3 </w:t>
    </w:r>
    <w:r w:rsidRPr="000E7285">
      <w:rPr>
        <w:rFonts w:eastAsia="Times New Roman" w:cs="Arial"/>
        <w:sz w:val="19"/>
        <w:szCs w:val="19"/>
      </w:rPr>
      <w:t xml:space="preserve">  </w:t>
    </w:r>
    <w:r w:rsidRPr="00250F38">
      <w:rPr>
        <w:rFonts w:eastAsia="Times New Roman" w:cs="Arial"/>
        <w:sz w:val="19"/>
        <w:szCs w:val="19"/>
        <w:lang w:val="en-GB"/>
      </w:rPr>
      <w:t>Croatian Bank for Reconstruction and Development</w:t>
    </w:r>
  </w:p>
  <w:p w:rsidR="00250F38" w:rsidRDefault="00250F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Pr="000E7285">
      <w:rPr>
        <w:rFonts w:eastAsia="Times New Roman" w:cs="Arial"/>
        <w:sz w:val="19"/>
        <w:szCs w:val="19"/>
      </w:rPr>
      <w:t xml:space="preserve">  </w:t>
    </w:r>
    <w:r>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Default="00250F38" w:rsidP="004E6931">
    <w:pPr>
      <w:pBdr>
        <w:top w:val="single" w:sz="4" w:space="1" w:color="auto"/>
      </w:pBdr>
      <w:tabs>
        <w:tab w:val="center" w:pos="4153"/>
        <w:tab w:val="right" w:pos="9072"/>
      </w:tabs>
      <w:spacing w:after="0" w:line="240" w:lineRule="auto"/>
      <w:ind w:right="283"/>
    </w:pPr>
    <w:r>
      <w:rPr>
        <w:rFonts w:eastAsia="Times New Roman" w:cs="Arial"/>
        <w:sz w:val="19"/>
        <w:szCs w:val="19"/>
      </w:rPr>
      <w:t>8</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Pr="000E7285" w:rsidRDefault="00250F38"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Pr="000E7285">
      <w:rPr>
        <w:rFonts w:eastAsia="Times New Roman" w:cs="Arial"/>
        <w:sz w:val="19"/>
        <w:szCs w:val="19"/>
      </w:rPr>
      <w:t xml:space="preserve">  </w:t>
    </w:r>
    <w:r w:rsidR="004E6931" w:rsidRPr="004E6931">
      <w:rPr>
        <w:rFonts w:eastAsia="Times New Roman" w:cs="Arial"/>
        <w:sz w:val="19"/>
        <w:szCs w:val="19"/>
        <w:lang w:val="en-GB"/>
      </w:rPr>
      <w:t>Croatian Bank for Reconstruction and Development</w:t>
    </w:r>
  </w:p>
  <w:p w:rsidR="00250F38" w:rsidRDefault="0025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347" w:rsidRDefault="00643347" w:rsidP="00AE35D1">
      <w:pPr>
        <w:spacing w:after="0" w:line="240" w:lineRule="auto"/>
      </w:pPr>
      <w:r>
        <w:separator/>
      </w:r>
    </w:p>
  </w:footnote>
  <w:footnote w:type="continuationSeparator" w:id="0">
    <w:p w:rsidR="00643347" w:rsidRDefault="00643347"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F38" w:rsidRDefault="00250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7"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6"/>
  </w:num>
  <w:num w:numId="6">
    <w:abstractNumId w:val="0"/>
  </w:num>
  <w:num w:numId="7">
    <w:abstractNumId w:val="18"/>
  </w:num>
  <w:num w:numId="8">
    <w:abstractNumId w:val="7"/>
  </w:num>
  <w:num w:numId="9">
    <w:abstractNumId w:val="2"/>
  </w:num>
  <w:num w:numId="10">
    <w:abstractNumId w:val="10"/>
  </w:num>
  <w:num w:numId="11">
    <w:abstractNumId w:val="15"/>
  </w:num>
  <w:num w:numId="12">
    <w:abstractNumId w:val="13"/>
  </w:num>
  <w:num w:numId="13">
    <w:abstractNumId w:val="16"/>
  </w:num>
  <w:num w:numId="14">
    <w:abstractNumId w:val="17"/>
  </w:num>
  <w:num w:numId="15">
    <w:abstractNumId w:val="4"/>
  </w:num>
  <w:num w:numId="16">
    <w:abstractNumId w:val="14"/>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5E96"/>
    <w:rsid w:val="00006EF5"/>
    <w:rsid w:val="000115F8"/>
    <w:rsid w:val="00011681"/>
    <w:rsid w:val="0001281B"/>
    <w:rsid w:val="0001297D"/>
    <w:rsid w:val="0001410A"/>
    <w:rsid w:val="00014847"/>
    <w:rsid w:val="000149E9"/>
    <w:rsid w:val="00015A3C"/>
    <w:rsid w:val="00017764"/>
    <w:rsid w:val="00022C04"/>
    <w:rsid w:val="00022EB0"/>
    <w:rsid w:val="000241D5"/>
    <w:rsid w:val="000244BE"/>
    <w:rsid w:val="000250FE"/>
    <w:rsid w:val="00031476"/>
    <w:rsid w:val="00031979"/>
    <w:rsid w:val="00034749"/>
    <w:rsid w:val="00035E8F"/>
    <w:rsid w:val="00035EEC"/>
    <w:rsid w:val="00037EC8"/>
    <w:rsid w:val="00041D20"/>
    <w:rsid w:val="00042D33"/>
    <w:rsid w:val="0004513C"/>
    <w:rsid w:val="000454B4"/>
    <w:rsid w:val="00045721"/>
    <w:rsid w:val="00045CCC"/>
    <w:rsid w:val="000479D6"/>
    <w:rsid w:val="00047EEB"/>
    <w:rsid w:val="00047F32"/>
    <w:rsid w:val="00051457"/>
    <w:rsid w:val="0005277D"/>
    <w:rsid w:val="000562A8"/>
    <w:rsid w:val="00057C14"/>
    <w:rsid w:val="000617E0"/>
    <w:rsid w:val="00062631"/>
    <w:rsid w:val="00062A07"/>
    <w:rsid w:val="00062E57"/>
    <w:rsid w:val="00067D16"/>
    <w:rsid w:val="00071A97"/>
    <w:rsid w:val="00072C81"/>
    <w:rsid w:val="0007317D"/>
    <w:rsid w:val="00073263"/>
    <w:rsid w:val="000737D9"/>
    <w:rsid w:val="000743E9"/>
    <w:rsid w:val="00075515"/>
    <w:rsid w:val="000800B5"/>
    <w:rsid w:val="00081940"/>
    <w:rsid w:val="00085E8C"/>
    <w:rsid w:val="00090260"/>
    <w:rsid w:val="00090F12"/>
    <w:rsid w:val="00093893"/>
    <w:rsid w:val="00093FFC"/>
    <w:rsid w:val="00094C98"/>
    <w:rsid w:val="000A14D2"/>
    <w:rsid w:val="000A211F"/>
    <w:rsid w:val="000A516A"/>
    <w:rsid w:val="000A6D8E"/>
    <w:rsid w:val="000A76E4"/>
    <w:rsid w:val="000A7CB4"/>
    <w:rsid w:val="000A7CE2"/>
    <w:rsid w:val="000B0090"/>
    <w:rsid w:val="000B1794"/>
    <w:rsid w:val="000B3FE6"/>
    <w:rsid w:val="000B56CC"/>
    <w:rsid w:val="000B583E"/>
    <w:rsid w:val="000B7946"/>
    <w:rsid w:val="000B7E5F"/>
    <w:rsid w:val="000C2B06"/>
    <w:rsid w:val="000C3336"/>
    <w:rsid w:val="000C3545"/>
    <w:rsid w:val="000C63F0"/>
    <w:rsid w:val="000C673F"/>
    <w:rsid w:val="000C7868"/>
    <w:rsid w:val="000D555D"/>
    <w:rsid w:val="000E1112"/>
    <w:rsid w:val="000E13CC"/>
    <w:rsid w:val="000E3A01"/>
    <w:rsid w:val="000E4ABB"/>
    <w:rsid w:val="000E6872"/>
    <w:rsid w:val="000E7285"/>
    <w:rsid w:val="000F04E1"/>
    <w:rsid w:val="000F09ED"/>
    <w:rsid w:val="000F5087"/>
    <w:rsid w:val="000F54DA"/>
    <w:rsid w:val="000F54DB"/>
    <w:rsid w:val="000F59D5"/>
    <w:rsid w:val="000F7480"/>
    <w:rsid w:val="001002A2"/>
    <w:rsid w:val="0010063A"/>
    <w:rsid w:val="001014AC"/>
    <w:rsid w:val="00102A38"/>
    <w:rsid w:val="00105662"/>
    <w:rsid w:val="00105C1F"/>
    <w:rsid w:val="00106E4B"/>
    <w:rsid w:val="001071C4"/>
    <w:rsid w:val="001101C0"/>
    <w:rsid w:val="00111FB4"/>
    <w:rsid w:val="0011250C"/>
    <w:rsid w:val="0011293B"/>
    <w:rsid w:val="00113256"/>
    <w:rsid w:val="00122A35"/>
    <w:rsid w:val="00122BF1"/>
    <w:rsid w:val="001230A2"/>
    <w:rsid w:val="00124861"/>
    <w:rsid w:val="0012542F"/>
    <w:rsid w:val="001312B5"/>
    <w:rsid w:val="001314B6"/>
    <w:rsid w:val="00132044"/>
    <w:rsid w:val="001320B3"/>
    <w:rsid w:val="001320FF"/>
    <w:rsid w:val="00132608"/>
    <w:rsid w:val="00132877"/>
    <w:rsid w:val="00133536"/>
    <w:rsid w:val="0013477D"/>
    <w:rsid w:val="0013644E"/>
    <w:rsid w:val="00140D1A"/>
    <w:rsid w:val="001432B3"/>
    <w:rsid w:val="0014476E"/>
    <w:rsid w:val="00147A3B"/>
    <w:rsid w:val="00147BED"/>
    <w:rsid w:val="00152275"/>
    <w:rsid w:val="001526BF"/>
    <w:rsid w:val="00154A76"/>
    <w:rsid w:val="001564EC"/>
    <w:rsid w:val="00156F4B"/>
    <w:rsid w:val="00157AA7"/>
    <w:rsid w:val="00161B32"/>
    <w:rsid w:val="001637D9"/>
    <w:rsid w:val="001651B8"/>
    <w:rsid w:val="00165954"/>
    <w:rsid w:val="00165E58"/>
    <w:rsid w:val="0016643A"/>
    <w:rsid w:val="00166F19"/>
    <w:rsid w:val="00171348"/>
    <w:rsid w:val="00171573"/>
    <w:rsid w:val="001718A7"/>
    <w:rsid w:val="00171E49"/>
    <w:rsid w:val="001721EA"/>
    <w:rsid w:val="00172E99"/>
    <w:rsid w:val="001732A1"/>
    <w:rsid w:val="00174B17"/>
    <w:rsid w:val="00174EDE"/>
    <w:rsid w:val="001755C7"/>
    <w:rsid w:val="001756A5"/>
    <w:rsid w:val="001771E0"/>
    <w:rsid w:val="00177EA8"/>
    <w:rsid w:val="00180B86"/>
    <w:rsid w:val="00182077"/>
    <w:rsid w:val="0018242C"/>
    <w:rsid w:val="00182752"/>
    <w:rsid w:val="00182EBE"/>
    <w:rsid w:val="001836D6"/>
    <w:rsid w:val="0018377C"/>
    <w:rsid w:val="00184C66"/>
    <w:rsid w:val="00187D89"/>
    <w:rsid w:val="00192218"/>
    <w:rsid w:val="00192451"/>
    <w:rsid w:val="00192762"/>
    <w:rsid w:val="00192793"/>
    <w:rsid w:val="00192D81"/>
    <w:rsid w:val="0019558E"/>
    <w:rsid w:val="001966AA"/>
    <w:rsid w:val="001A05CD"/>
    <w:rsid w:val="001A0A37"/>
    <w:rsid w:val="001A20C1"/>
    <w:rsid w:val="001A2E50"/>
    <w:rsid w:val="001A41FE"/>
    <w:rsid w:val="001A4847"/>
    <w:rsid w:val="001A5980"/>
    <w:rsid w:val="001A60B3"/>
    <w:rsid w:val="001B0533"/>
    <w:rsid w:val="001B0B2A"/>
    <w:rsid w:val="001B1A65"/>
    <w:rsid w:val="001B3C94"/>
    <w:rsid w:val="001B5499"/>
    <w:rsid w:val="001B641B"/>
    <w:rsid w:val="001B7AAD"/>
    <w:rsid w:val="001C1FDF"/>
    <w:rsid w:val="001C2048"/>
    <w:rsid w:val="001C3F5F"/>
    <w:rsid w:val="001C559B"/>
    <w:rsid w:val="001C5C3D"/>
    <w:rsid w:val="001C6D63"/>
    <w:rsid w:val="001C75C2"/>
    <w:rsid w:val="001D2396"/>
    <w:rsid w:val="001D478E"/>
    <w:rsid w:val="001D607A"/>
    <w:rsid w:val="001D613D"/>
    <w:rsid w:val="001D736C"/>
    <w:rsid w:val="001E06D4"/>
    <w:rsid w:val="001E329C"/>
    <w:rsid w:val="001F0A06"/>
    <w:rsid w:val="001F19FB"/>
    <w:rsid w:val="001F28BE"/>
    <w:rsid w:val="001F5378"/>
    <w:rsid w:val="001F5EC3"/>
    <w:rsid w:val="001F77B9"/>
    <w:rsid w:val="00201768"/>
    <w:rsid w:val="00204142"/>
    <w:rsid w:val="00204945"/>
    <w:rsid w:val="00205E14"/>
    <w:rsid w:val="00205FC4"/>
    <w:rsid w:val="00207149"/>
    <w:rsid w:val="0020719F"/>
    <w:rsid w:val="00207E12"/>
    <w:rsid w:val="002105C2"/>
    <w:rsid w:val="002105E8"/>
    <w:rsid w:val="00210D54"/>
    <w:rsid w:val="0021296D"/>
    <w:rsid w:val="00212DE6"/>
    <w:rsid w:val="002138C6"/>
    <w:rsid w:val="002139EA"/>
    <w:rsid w:val="00214829"/>
    <w:rsid w:val="00214D08"/>
    <w:rsid w:val="002211A4"/>
    <w:rsid w:val="00221BB0"/>
    <w:rsid w:val="00221E48"/>
    <w:rsid w:val="002237F3"/>
    <w:rsid w:val="00223CCE"/>
    <w:rsid w:val="00223DA7"/>
    <w:rsid w:val="002260BD"/>
    <w:rsid w:val="00226C6E"/>
    <w:rsid w:val="00232DB9"/>
    <w:rsid w:val="00234396"/>
    <w:rsid w:val="00236FE9"/>
    <w:rsid w:val="00240F31"/>
    <w:rsid w:val="002417E1"/>
    <w:rsid w:val="00244B32"/>
    <w:rsid w:val="00244FF9"/>
    <w:rsid w:val="00245666"/>
    <w:rsid w:val="00246384"/>
    <w:rsid w:val="0024653F"/>
    <w:rsid w:val="00250F38"/>
    <w:rsid w:val="002563D1"/>
    <w:rsid w:val="00257EE2"/>
    <w:rsid w:val="00264224"/>
    <w:rsid w:val="00266B97"/>
    <w:rsid w:val="0026752C"/>
    <w:rsid w:val="00267A95"/>
    <w:rsid w:val="002714FC"/>
    <w:rsid w:val="00272CA5"/>
    <w:rsid w:val="00273E6D"/>
    <w:rsid w:val="002744E8"/>
    <w:rsid w:val="002754A5"/>
    <w:rsid w:val="00275D45"/>
    <w:rsid w:val="0027798B"/>
    <w:rsid w:val="00280418"/>
    <w:rsid w:val="00280FD9"/>
    <w:rsid w:val="0028152F"/>
    <w:rsid w:val="00282231"/>
    <w:rsid w:val="00282E66"/>
    <w:rsid w:val="002834B1"/>
    <w:rsid w:val="00285B02"/>
    <w:rsid w:val="00290697"/>
    <w:rsid w:val="002910FC"/>
    <w:rsid w:val="002915DB"/>
    <w:rsid w:val="002917B3"/>
    <w:rsid w:val="00292FAF"/>
    <w:rsid w:val="00294702"/>
    <w:rsid w:val="00295EFE"/>
    <w:rsid w:val="002969B8"/>
    <w:rsid w:val="002A0053"/>
    <w:rsid w:val="002A0507"/>
    <w:rsid w:val="002A1705"/>
    <w:rsid w:val="002A38D0"/>
    <w:rsid w:val="002A599E"/>
    <w:rsid w:val="002B1A0D"/>
    <w:rsid w:val="002B45D9"/>
    <w:rsid w:val="002B48CA"/>
    <w:rsid w:val="002B4AC1"/>
    <w:rsid w:val="002B6016"/>
    <w:rsid w:val="002B7D68"/>
    <w:rsid w:val="002C11A1"/>
    <w:rsid w:val="002C3515"/>
    <w:rsid w:val="002C48CB"/>
    <w:rsid w:val="002C4FED"/>
    <w:rsid w:val="002C64CB"/>
    <w:rsid w:val="002C76DD"/>
    <w:rsid w:val="002D1C76"/>
    <w:rsid w:val="002D23C5"/>
    <w:rsid w:val="002D3BA1"/>
    <w:rsid w:val="002D5848"/>
    <w:rsid w:val="002D5C34"/>
    <w:rsid w:val="002E121E"/>
    <w:rsid w:val="002E1970"/>
    <w:rsid w:val="002E269E"/>
    <w:rsid w:val="002E53A0"/>
    <w:rsid w:val="002E6B83"/>
    <w:rsid w:val="002E6DE1"/>
    <w:rsid w:val="002E7EA9"/>
    <w:rsid w:val="002F0A29"/>
    <w:rsid w:val="002F28C8"/>
    <w:rsid w:val="002F4419"/>
    <w:rsid w:val="002F52CD"/>
    <w:rsid w:val="002F6424"/>
    <w:rsid w:val="002F66C5"/>
    <w:rsid w:val="0030186D"/>
    <w:rsid w:val="0030251E"/>
    <w:rsid w:val="0030270F"/>
    <w:rsid w:val="00303FDD"/>
    <w:rsid w:val="00304FB3"/>
    <w:rsid w:val="0030575E"/>
    <w:rsid w:val="00306BFE"/>
    <w:rsid w:val="00306D3A"/>
    <w:rsid w:val="00306F85"/>
    <w:rsid w:val="00310146"/>
    <w:rsid w:val="003109E2"/>
    <w:rsid w:val="00310E04"/>
    <w:rsid w:val="00310F96"/>
    <w:rsid w:val="003132C3"/>
    <w:rsid w:val="00315BD6"/>
    <w:rsid w:val="00317B07"/>
    <w:rsid w:val="00317B7A"/>
    <w:rsid w:val="00317F7D"/>
    <w:rsid w:val="00320B48"/>
    <w:rsid w:val="003213D1"/>
    <w:rsid w:val="00321D39"/>
    <w:rsid w:val="003222CF"/>
    <w:rsid w:val="003234B8"/>
    <w:rsid w:val="00324025"/>
    <w:rsid w:val="00324D27"/>
    <w:rsid w:val="00331DF5"/>
    <w:rsid w:val="00333F7B"/>
    <w:rsid w:val="0033403B"/>
    <w:rsid w:val="00334B7C"/>
    <w:rsid w:val="003358AA"/>
    <w:rsid w:val="00335BF6"/>
    <w:rsid w:val="003378CD"/>
    <w:rsid w:val="003439D3"/>
    <w:rsid w:val="00344F38"/>
    <w:rsid w:val="00346285"/>
    <w:rsid w:val="00346CBE"/>
    <w:rsid w:val="00347BB2"/>
    <w:rsid w:val="003513FA"/>
    <w:rsid w:val="003516A1"/>
    <w:rsid w:val="0035268A"/>
    <w:rsid w:val="003571EC"/>
    <w:rsid w:val="003603A1"/>
    <w:rsid w:val="003661CA"/>
    <w:rsid w:val="00366BCB"/>
    <w:rsid w:val="00366CEB"/>
    <w:rsid w:val="00371E4D"/>
    <w:rsid w:val="003727B4"/>
    <w:rsid w:val="00373D3F"/>
    <w:rsid w:val="00375495"/>
    <w:rsid w:val="0037736C"/>
    <w:rsid w:val="00377894"/>
    <w:rsid w:val="00377971"/>
    <w:rsid w:val="003869DA"/>
    <w:rsid w:val="00386C27"/>
    <w:rsid w:val="003904D0"/>
    <w:rsid w:val="003929E0"/>
    <w:rsid w:val="00392C03"/>
    <w:rsid w:val="00393647"/>
    <w:rsid w:val="003979AE"/>
    <w:rsid w:val="003A36A8"/>
    <w:rsid w:val="003A411B"/>
    <w:rsid w:val="003B25C7"/>
    <w:rsid w:val="003C5F0E"/>
    <w:rsid w:val="003C7367"/>
    <w:rsid w:val="003C7E36"/>
    <w:rsid w:val="003D01A5"/>
    <w:rsid w:val="003D0E4F"/>
    <w:rsid w:val="003D2452"/>
    <w:rsid w:val="003D37AD"/>
    <w:rsid w:val="003D407D"/>
    <w:rsid w:val="003D57BB"/>
    <w:rsid w:val="003D583C"/>
    <w:rsid w:val="003D636C"/>
    <w:rsid w:val="003E0668"/>
    <w:rsid w:val="003E1C9D"/>
    <w:rsid w:val="003E2CC0"/>
    <w:rsid w:val="003E2CF9"/>
    <w:rsid w:val="003E303E"/>
    <w:rsid w:val="003E3F30"/>
    <w:rsid w:val="003E432B"/>
    <w:rsid w:val="003E5F5C"/>
    <w:rsid w:val="003E6E6C"/>
    <w:rsid w:val="003E7614"/>
    <w:rsid w:val="003F0B76"/>
    <w:rsid w:val="003F2303"/>
    <w:rsid w:val="003F2597"/>
    <w:rsid w:val="003F5B42"/>
    <w:rsid w:val="004006DC"/>
    <w:rsid w:val="00400E1E"/>
    <w:rsid w:val="004010B4"/>
    <w:rsid w:val="00402611"/>
    <w:rsid w:val="00405D91"/>
    <w:rsid w:val="004065CD"/>
    <w:rsid w:val="004066BD"/>
    <w:rsid w:val="00410152"/>
    <w:rsid w:val="0041096C"/>
    <w:rsid w:val="00414463"/>
    <w:rsid w:val="00414491"/>
    <w:rsid w:val="00416F51"/>
    <w:rsid w:val="00417595"/>
    <w:rsid w:val="00417B56"/>
    <w:rsid w:val="00420392"/>
    <w:rsid w:val="0042106D"/>
    <w:rsid w:val="0042227E"/>
    <w:rsid w:val="00422588"/>
    <w:rsid w:val="00422C5C"/>
    <w:rsid w:val="00424202"/>
    <w:rsid w:val="00425395"/>
    <w:rsid w:val="00425C36"/>
    <w:rsid w:val="00426055"/>
    <w:rsid w:val="00427B00"/>
    <w:rsid w:val="00427B54"/>
    <w:rsid w:val="00427C09"/>
    <w:rsid w:val="00431335"/>
    <w:rsid w:val="004317DB"/>
    <w:rsid w:val="004319F1"/>
    <w:rsid w:val="004328C8"/>
    <w:rsid w:val="00432A48"/>
    <w:rsid w:val="004343FA"/>
    <w:rsid w:val="00434748"/>
    <w:rsid w:val="004405CD"/>
    <w:rsid w:val="004420A9"/>
    <w:rsid w:val="00443722"/>
    <w:rsid w:val="00443A7D"/>
    <w:rsid w:val="004447FC"/>
    <w:rsid w:val="0044748D"/>
    <w:rsid w:val="004475EE"/>
    <w:rsid w:val="00450AE7"/>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2355"/>
    <w:rsid w:val="0047257D"/>
    <w:rsid w:val="00473488"/>
    <w:rsid w:val="0047434B"/>
    <w:rsid w:val="00474BCC"/>
    <w:rsid w:val="00477432"/>
    <w:rsid w:val="00481DEF"/>
    <w:rsid w:val="0048362C"/>
    <w:rsid w:val="0048635F"/>
    <w:rsid w:val="00494386"/>
    <w:rsid w:val="00494449"/>
    <w:rsid w:val="00495531"/>
    <w:rsid w:val="00497A49"/>
    <w:rsid w:val="004A0E87"/>
    <w:rsid w:val="004A2189"/>
    <w:rsid w:val="004A5658"/>
    <w:rsid w:val="004B02BC"/>
    <w:rsid w:val="004B1027"/>
    <w:rsid w:val="004B1481"/>
    <w:rsid w:val="004B1DE4"/>
    <w:rsid w:val="004B339A"/>
    <w:rsid w:val="004B7528"/>
    <w:rsid w:val="004C00E3"/>
    <w:rsid w:val="004C03F7"/>
    <w:rsid w:val="004C0C3A"/>
    <w:rsid w:val="004C4CAA"/>
    <w:rsid w:val="004C5C55"/>
    <w:rsid w:val="004C6F63"/>
    <w:rsid w:val="004C75D8"/>
    <w:rsid w:val="004D1734"/>
    <w:rsid w:val="004D3C83"/>
    <w:rsid w:val="004E082D"/>
    <w:rsid w:val="004E0E04"/>
    <w:rsid w:val="004E1E60"/>
    <w:rsid w:val="004E4BD1"/>
    <w:rsid w:val="004E4CD5"/>
    <w:rsid w:val="004E588A"/>
    <w:rsid w:val="004E6931"/>
    <w:rsid w:val="004F3415"/>
    <w:rsid w:val="005014DC"/>
    <w:rsid w:val="00502A0A"/>
    <w:rsid w:val="00503167"/>
    <w:rsid w:val="0050347C"/>
    <w:rsid w:val="00504C3A"/>
    <w:rsid w:val="00505702"/>
    <w:rsid w:val="005071C0"/>
    <w:rsid w:val="0051087D"/>
    <w:rsid w:val="00514881"/>
    <w:rsid w:val="005201C6"/>
    <w:rsid w:val="00520922"/>
    <w:rsid w:val="00520D37"/>
    <w:rsid w:val="00522926"/>
    <w:rsid w:val="005236B6"/>
    <w:rsid w:val="00525A6E"/>
    <w:rsid w:val="00527F1B"/>
    <w:rsid w:val="00530BDD"/>
    <w:rsid w:val="00531434"/>
    <w:rsid w:val="00531C98"/>
    <w:rsid w:val="005320C3"/>
    <w:rsid w:val="0053275B"/>
    <w:rsid w:val="00532BBD"/>
    <w:rsid w:val="005371EE"/>
    <w:rsid w:val="0053735D"/>
    <w:rsid w:val="00544A1D"/>
    <w:rsid w:val="00546BC0"/>
    <w:rsid w:val="00551AFB"/>
    <w:rsid w:val="005522A6"/>
    <w:rsid w:val="0055291F"/>
    <w:rsid w:val="00554B91"/>
    <w:rsid w:val="00555F2D"/>
    <w:rsid w:val="00562C3A"/>
    <w:rsid w:val="005654E7"/>
    <w:rsid w:val="00572377"/>
    <w:rsid w:val="005744F8"/>
    <w:rsid w:val="00576D51"/>
    <w:rsid w:val="00582992"/>
    <w:rsid w:val="00582BB8"/>
    <w:rsid w:val="0058795F"/>
    <w:rsid w:val="00587994"/>
    <w:rsid w:val="00587B1C"/>
    <w:rsid w:val="0059334C"/>
    <w:rsid w:val="00596884"/>
    <w:rsid w:val="00597DCD"/>
    <w:rsid w:val="005A01C0"/>
    <w:rsid w:val="005A184D"/>
    <w:rsid w:val="005A190F"/>
    <w:rsid w:val="005A1957"/>
    <w:rsid w:val="005A1E16"/>
    <w:rsid w:val="005A35C6"/>
    <w:rsid w:val="005A6619"/>
    <w:rsid w:val="005A6D6B"/>
    <w:rsid w:val="005A7C68"/>
    <w:rsid w:val="005B58C5"/>
    <w:rsid w:val="005B5C42"/>
    <w:rsid w:val="005B7AB5"/>
    <w:rsid w:val="005C047B"/>
    <w:rsid w:val="005C0CE8"/>
    <w:rsid w:val="005C1D07"/>
    <w:rsid w:val="005C324A"/>
    <w:rsid w:val="005C6BB4"/>
    <w:rsid w:val="005D019F"/>
    <w:rsid w:val="005D453B"/>
    <w:rsid w:val="005D4C16"/>
    <w:rsid w:val="005D559F"/>
    <w:rsid w:val="005D5AFF"/>
    <w:rsid w:val="005D5D73"/>
    <w:rsid w:val="005D71A4"/>
    <w:rsid w:val="005E0386"/>
    <w:rsid w:val="005E2239"/>
    <w:rsid w:val="005E236B"/>
    <w:rsid w:val="005E2D42"/>
    <w:rsid w:val="005E2E17"/>
    <w:rsid w:val="005E367B"/>
    <w:rsid w:val="005E471B"/>
    <w:rsid w:val="005E4AC8"/>
    <w:rsid w:val="005E5574"/>
    <w:rsid w:val="005E6C3C"/>
    <w:rsid w:val="005E7AFD"/>
    <w:rsid w:val="005F0AE9"/>
    <w:rsid w:val="005F2590"/>
    <w:rsid w:val="005F2F49"/>
    <w:rsid w:val="005F39E1"/>
    <w:rsid w:val="005F6F84"/>
    <w:rsid w:val="005F78AB"/>
    <w:rsid w:val="005F7E9D"/>
    <w:rsid w:val="00601BA3"/>
    <w:rsid w:val="00602844"/>
    <w:rsid w:val="00603925"/>
    <w:rsid w:val="00603FCA"/>
    <w:rsid w:val="00605542"/>
    <w:rsid w:val="00606B35"/>
    <w:rsid w:val="006071E3"/>
    <w:rsid w:val="00611CCD"/>
    <w:rsid w:val="00613FE4"/>
    <w:rsid w:val="00615087"/>
    <w:rsid w:val="00620373"/>
    <w:rsid w:val="00621CA0"/>
    <w:rsid w:val="006220C1"/>
    <w:rsid w:val="006220D7"/>
    <w:rsid w:val="00622DE4"/>
    <w:rsid w:val="00623268"/>
    <w:rsid w:val="00623C82"/>
    <w:rsid w:val="00623CB3"/>
    <w:rsid w:val="00624312"/>
    <w:rsid w:val="006247E6"/>
    <w:rsid w:val="00626449"/>
    <w:rsid w:val="00627E2C"/>
    <w:rsid w:val="0063028C"/>
    <w:rsid w:val="00631E61"/>
    <w:rsid w:val="006329AA"/>
    <w:rsid w:val="00634A7C"/>
    <w:rsid w:val="00635A18"/>
    <w:rsid w:val="00643347"/>
    <w:rsid w:val="00644808"/>
    <w:rsid w:val="00644E14"/>
    <w:rsid w:val="0064535C"/>
    <w:rsid w:val="00645528"/>
    <w:rsid w:val="00645771"/>
    <w:rsid w:val="00647585"/>
    <w:rsid w:val="006476A4"/>
    <w:rsid w:val="00647D7A"/>
    <w:rsid w:val="006521C1"/>
    <w:rsid w:val="006549BA"/>
    <w:rsid w:val="0065565B"/>
    <w:rsid w:val="00655813"/>
    <w:rsid w:val="006561B5"/>
    <w:rsid w:val="0065688C"/>
    <w:rsid w:val="006571CF"/>
    <w:rsid w:val="006571D0"/>
    <w:rsid w:val="006574F4"/>
    <w:rsid w:val="00662B68"/>
    <w:rsid w:val="00662C57"/>
    <w:rsid w:val="00665728"/>
    <w:rsid w:val="006672AE"/>
    <w:rsid w:val="00667312"/>
    <w:rsid w:val="00670DF2"/>
    <w:rsid w:val="00671E0F"/>
    <w:rsid w:val="006738F5"/>
    <w:rsid w:val="00676976"/>
    <w:rsid w:val="00677EA0"/>
    <w:rsid w:val="006843BC"/>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387A"/>
    <w:rsid w:val="006A399D"/>
    <w:rsid w:val="006A42A6"/>
    <w:rsid w:val="006A43DB"/>
    <w:rsid w:val="006A55DE"/>
    <w:rsid w:val="006A58CC"/>
    <w:rsid w:val="006B08BC"/>
    <w:rsid w:val="006B10CF"/>
    <w:rsid w:val="006B1B39"/>
    <w:rsid w:val="006B1BE5"/>
    <w:rsid w:val="006B2629"/>
    <w:rsid w:val="006B2826"/>
    <w:rsid w:val="006B3F2F"/>
    <w:rsid w:val="006B44F9"/>
    <w:rsid w:val="006B531C"/>
    <w:rsid w:val="006B7572"/>
    <w:rsid w:val="006C6102"/>
    <w:rsid w:val="006C6A89"/>
    <w:rsid w:val="006D2A6B"/>
    <w:rsid w:val="006D614F"/>
    <w:rsid w:val="006D63F0"/>
    <w:rsid w:val="006E02CA"/>
    <w:rsid w:val="006E3E83"/>
    <w:rsid w:val="006E54A3"/>
    <w:rsid w:val="006E7CC4"/>
    <w:rsid w:val="006F26D9"/>
    <w:rsid w:val="006F357A"/>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168C6"/>
    <w:rsid w:val="00720F3F"/>
    <w:rsid w:val="007217DE"/>
    <w:rsid w:val="007221ED"/>
    <w:rsid w:val="00722AAF"/>
    <w:rsid w:val="00724057"/>
    <w:rsid w:val="0072650F"/>
    <w:rsid w:val="007304E2"/>
    <w:rsid w:val="007305EA"/>
    <w:rsid w:val="00733D40"/>
    <w:rsid w:val="007342C2"/>
    <w:rsid w:val="007350C0"/>
    <w:rsid w:val="0073540C"/>
    <w:rsid w:val="00735B63"/>
    <w:rsid w:val="00735F2B"/>
    <w:rsid w:val="0073733E"/>
    <w:rsid w:val="0074086A"/>
    <w:rsid w:val="007427D7"/>
    <w:rsid w:val="007429C3"/>
    <w:rsid w:val="00742D45"/>
    <w:rsid w:val="00744109"/>
    <w:rsid w:val="00746BE9"/>
    <w:rsid w:val="00747579"/>
    <w:rsid w:val="00755255"/>
    <w:rsid w:val="0075772D"/>
    <w:rsid w:val="00761417"/>
    <w:rsid w:val="007615C4"/>
    <w:rsid w:val="0076464B"/>
    <w:rsid w:val="00765976"/>
    <w:rsid w:val="00765AC6"/>
    <w:rsid w:val="007665B3"/>
    <w:rsid w:val="007667DB"/>
    <w:rsid w:val="0076739E"/>
    <w:rsid w:val="00767B76"/>
    <w:rsid w:val="00767E36"/>
    <w:rsid w:val="0077024A"/>
    <w:rsid w:val="00775B46"/>
    <w:rsid w:val="00777891"/>
    <w:rsid w:val="00777D96"/>
    <w:rsid w:val="00783A4F"/>
    <w:rsid w:val="00783AEC"/>
    <w:rsid w:val="007859D5"/>
    <w:rsid w:val="00786303"/>
    <w:rsid w:val="007866A7"/>
    <w:rsid w:val="00786C65"/>
    <w:rsid w:val="00786D6A"/>
    <w:rsid w:val="007937A8"/>
    <w:rsid w:val="00794772"/>
    <w:rsid w:val="007955CC"/>
    <w:rsid w:val="00796388"/>
    <w:rsid w:val="00797994"/>
    <w:rsid w:val="00797BC9"/>
    <w:rsid w:val="007A13D3"/>
    <w:rsid w:val="007A1557"/>
    <w:rsid w:val="007A3135"/>
    <w:rsid w:val="007A3C54"/>
    <w:rsid w:val="007A4BD0"/>
    <w:rsid w:val="007A681A"/>
    <w:rsid w:val="007B069A"/>
    <w:rsid w:val="007B0AE6"/>
    <w:rsid w:val="007B4B96"/>
    <w:rsid w:val="007B5D75"/>
    <w:rsid w:val="007B5F64"/>
    <w:rsid w:val="007B6860"/>
    <w:rsid w:val="007B7548"/>
    <w:rsid w:val="007C03B3"/>
    <w:rsid w:val="007C058B"/>
    <w:rsid w:val="007C08AA"/>
    <w:rsid w:val="007C2B60"/>
    <w:rsid w:val="007C2FFB"/>
    <w:rsid w:val="007C598D"/>
    <w:rsid w:val="007C61D5"/>
    <w:rsid w:val="007C6460"/>
    <w:rsid w:val="007D0E13"/>
    <w:rsid w:val="007D3F76"/>
    <w:rsid w:val="007D44F0"/>
    <w:rsid w:val="007D45F1"/>
    <w:rsid w:val="007D4720"/>
    <w:rsid w:val="007D649D"/>
    <w:rsid w:val="007D690E"/>
    <w:rsid w:val="007D7208"/>
    <w:rsid w:val="007E1C2B"/>
    <w:rsid w:val="007E222A"/>
    <w:rsid w:val="007E582D"/>
    <w:rsid w:val="007F1E67"/>
    <w:rsid w:val="007F3D20"/>
    <w:rsid w:val="007F4002"/>
    <w:rsid w:val="007F4420"/>
    <w:rsid w:val="007F5394"/>
    <w:rsid w:val="007F60A8"/>
    <w:rsid w:val="0080046D"/>
    <w:rsid w:val="00801EB8"/>
    <w:rsid w:val="00804698"/>
    <w:rsid w:val="008047C6"/>
    <w:rsid w:val="00804E5B"/>
    <w:rsid w:val="00807D5B"/>
    <w:rsid w:val="00810A4B"/>
    <w:rsid w:val="00810E4D"/>
    <w:rsid w:val="00811545"/>
    <w:rsid w:val="008117C3"/>
    <w:rsid w:val="00811935"/>
    <w:rsid w:val="0081235D"/>
    <w:rsid w:val="0081351E"/>
    <w:rsid w:val="00821087"/>
    <w:rsid w:val="00822F9F"/>
    <w:rsid w:val="00827C93"/>
    <w:rsid w:val="0083173D"/>
    <w:rsid w:val="00833BDB"/>
    <w:rsid w:val="008340CD"/>
    <w:rsid w:val="00834FCE"/>
    <w:rsid w:val="00835BFB"/>
    <w:rsid w:val="00836038"/>
    <w:rsid w:val="00837123"/>
    <w:rsid w:val="008374B8"/>
    <w:rsid w:val="00842C40"/>
    <w:rsid w:val="00847298"/>
    <w:rsid w:val="00847EFF"/>
    <w:rsid w:val="00850100"/>
    <w:rsid w:val="008506C4"/>
    <w:rsid w:val="00854B20"/>
    <w:rsid w:val="008558CC"/>
    <w:rsid w:val="00855C93"/>
    <w:rsid w:val="0085643B"/>
    <w:rsid w:val="00857DE2"/>
    <w:rsid w:val="00857E8B"/>
    <w:rsid w:val="00861D51"/>
    <w:rsid w:val="00863151"/>
    <w:rsid w:val="008646D7"/>
    <w:rsid w:val="00864CDC"/>
    <w:rsid w:val="00867F86"/>
    <w:rsid w:val="00870CDD"/>
    <w:rsid w:val="00871618"/>
    <w:rsid w:val="00871BFC"/>
    <w:rsid w:val="00872418"/>
    <w:rsid w:val="00872C56"/>
    <w:rsid w:val="008748A6"/>
    <w:rsid w:val="008756F1"/>
    <w:rsid w:val="00875B03"/>
    <w:rsid w:val="00884FF3"/>
    <w:rsid w:val="00886818"/>
    <w:rsid w:val="008909B3"/>
    <w:rsid w:val="0089170B"/>
    <w:rsid w:val="0089181E"/>
    <w:rsid w:val="00893743"/>
    <w:rsid w:val="008940CA"/>
    <w:rsid w:val="0089707B"/>
    <w:rsid w:val="008A048B"/>
    <w:rsid w:val="008A2936"/>
    <w:rsid w:val="008A29AA"/>
    <w:rsid w:val="008A7B17"/>
    <w:rsid w:val="008B03DC"/>
    <w:rsid w:val="008B47FA"/>
    <w:rsid w:val="008C05EC"/>
    <w:rsid w:val="008C2923"/>
    <w:rsid w:val="008C3E02"/>
    <w:rsid w:val="008C5513"/>
    <w:rsid w:val="008C5B68"/>
    <w:rsid w:val="008C6E0E"/>
    <w:rsid w:val="008D0A9C"/>
    <w:rsid w:val="008D2463"/>
    <w:rsid w:val="008D2B4D"/>
    <w:rsid w:val="008D2EE6"/>
    <w:rsid w:val="008D4255"/>
    <w:rsid w:val="008D5E7E"/>
    <w:rsid w:val="008D71E9"/>
    <w:rsid w:val="008E2648"/>
    <w:rsid w:val="008E3305"/>
    <w:rsid w:val="008E3982"/>
    <w:rsid w:val="008E3ABC"/>
    <w:rsid w:val="008E433D"/>
    <w:rsid w:val="008E662D"/>
    <w:rsid w:val="008F69C5"/>
    <w:rsid w:val="008F7EA3"/>
    <w:rsid w:val="009012D9"/>
    <w:rsid w:val="00903BF3"/>
    <w:rsid w:val="0090429D"/>
    <w:rsid w:val="00906C2D"/>
    <w:rsid w:val="009076F6"/>
    <w:rsid w:val="00910678"/>
    <w:rsid w:val="009106D2"/>
    <w:rsid w:val="00910C9B"/>
    <w:rsid w:val="00910DBE"/>
    <w:rsid w:val="009110C4"/>
    <w:rsid w:val="00912440"/>
    <w:rsid w:val="00912FB2"/>
    <w:rsid w:val="00917A2C"/>
    <w:rsid w:val="00917ABC"/>
    <w:rsid w:val="00922693"/>
    <w:rsid w:val="00922833"/>
    <w:rsid w:val="00924415"/>
    <w:rsid w:val="0092537E"/>
    <w:rsid w:val="00925616"/>
    <w:rsid w:val="00926B74"/>
    <w:rsid w:val="00927610"/>
    <w:rsid w:val="00931110"/>
    <w:rsid w:val="00934BFE"/>
    <w:rsid w:val="009373E1"/>
    <w:rsid w:val="009423D3"/>
    <w:rsid w:val="00943C6F"/>
    <w:rsid w:val="00943E0D"/>
    <w:rsid w:val="00944A3A"/>
    <w:rsid w:val="009456C8"/>
    <w:rsid w:val="00945DA9"/>
    <w:rsid w:val="00947AC0"/>
    <w:rsid w:val="00955BB2"/>
    <w:rsid w:val="009606D4"/>
    <w:rsid w:val="00961DA1"/>
    <w:rsid w:val="00962065"/>
    <w:rsid w:val="00962442"/>
    <w:rsid w:val="009626AB"/>
    <w:rsid w:val="009636B6"/>
    <w:rsid w:val="00965486"/>
    <w:rsid w:val="0097104D"/>
    <w:rsid w:val="0097153D"/>
    <w:rsid w:val="00972038"/>
    <w:rsid w:val="00972857"/>
    <w:rsid w:val="0097460C"/>
    <w:rsid w:val="00976DDC"/>
    <w:rsid w:val="00977A4E"/>
    <w:rsid w:val="00983403"/>
    <w:rsid w:val="009874F8"/>
    <w:rsid w:val="009877D9"/>
    <w:rsid w:val="00992A60"/>
    <w:rsid w:val="009963CA"/>
    <w:rsid w:val="00996C02"/>
    <w:rsid w:val="009A0571"/>
    <w:rsid w:val="009A0FF2"/>
    <w:rsid w:val="009A2486"/>
    <w:rsid w:val="009A3270"/>
    <w:rsid w:val="009A6023"/>
    <w:rsid w:val="009B1CCB"/>
    <w:rsid w:val="009B1DCC"/>
    <w:rsid w:val="009B3074"/>
    <w:rsid w:val="009B3E8B"/>
    <w:rsid w:val="009B4285"/>
    <w:rsid w:val="009B4C6C"/>
    <w:rsid w:val="009B53FC"/>
    <w:rsid w:val="009B5BDD"/>
    <w:rsid w:val="009B6F97"/>
    <w:rsid w:val="009C0647"/>
    <w:rsid w:val="009C2C42"/>
    <w:rsid w:val="009C6A57"/>
    <w:rsid w:val="009D0846"/>
    <w:rsid w:val="009D08A2"/>
    <w:rsid w:val="009D17A3"/>
    <w:rsid w:val="009D1C0D"/>
    <w:rsid w:val="009D1EE4"/>
    <w:rsid w:val="009D24FB"/>
    <w:rsid w:val="009D3DCB"/>
    <w:rsid w:val="009D5228"/>
    <w:rsid w:val="009D594D"/>
    <w:rsid w:val="009D6018"/>
    <w:rsid w:val="009D7FE2"/>
    <w:rsid w:val="009E32C2"/>
    <w:rsid w:val="009E3641"/>
    <w:rsid w:val="009E3F77"/>
    <w:rsid w:val="009E53C8"/>
    <w:rsid w:val="009E60BE"/>
    <w:rsid w:val="009E6A41"/>
    <w:rsid w:val="009E6AB6"/>
    <w:rsid w:val="009E78D5"/>
    <w:rsid w:val="009F6178"/>
    <w:rsid w:val="00A0118A"/>
    <w:rsid w:val="00A04CB8"/>
    <w:rsid w:val="00A11570"/>
    <w:rsid w:val="00A11B8C"/>
    <w:rsid w:val="00A150B3"/>
    <w:rsid w:val="00A1635C"/>
    <w:rsid w:val="00A166D0"/>
    <w:rsid w:val="00A221CD"/>
    <w:rsid w:val="00A23ABA"/>
    <w:rsid w:val="00A240E5"/>
    <w:rsid w:val="00A244EE"/>
    <w:rsid w:val="00A258D9"/>
    <w:rsid w:val="00A303C5"/>
    <w:rsid w:val="00A30F50"/>
    <w:rsid w:val="00A3128E"/>
    <w:rsid w:val="00A3224F"/>
    <w:rsid w:val="00A33140"/>
    <w:rsid w:val="00A333C7"/>
    <w:rsid w:val="00A33CBE"/>
    <w:rsid w:val="00A35432"/>
    <w:rsid w:val="00A40969"/>
    <w:rsid w:val="00A42266"/>
    <w:rsid w:val="00A4311E"/>
    <w:rsid w:val="00A4364C"/>
    <w:rsid w:val="00A43AFA"/>
    <w:rsid w:val="00A43BF0"/>
    <w:rsid w:val="00A43D17"/>
    <w:rsid w:val="00A4411B"/>
    <w:rsid w:val="00A45F18"/>
    <w:rsid w:val="00A467DA"/>
    <w:rsid w:val="00A47130"/>
    <w:rsid w:val="00A4725D"/>
    <w:rsid w:val="00A478A1"/>
    <w:rsid w:val="00A5245E"/>
    <w:rsid w:val="00A532EC"/>
    <w:rsid w:val="00A55AAE"/>
    <w:rsid w:val="00A5639F"/>
    <w:rsid w:val="00A57699"/>
    <w:rsid w:val="00A60DAD"/>
    <w:rsid w:val="00A612EF"/>
    <w:rsid w:val="00A63AB2"/>
    <w:rsid w:val="00A6433E"/>
    <w:rsid w:val="00A64BB4"/>
    <w:rsid w:val="00A65B50"/>
    <w:rsid w:val="00A65D28"/>
    <w:rsid w:val="00A66E01"/>
    <w:rsid w:val="00A67B12"/>
    <w:rsid w:val="00A7097C"/>
    <w:rsid w:val="00A724CA"/>
    <w:rsid w:val="00A72F02"/>
    <w:rsid w:val="00A7444C"/>
    <w:rsid w:val="00A745A2"/>
    <w:rsid w:val="00A747E3"/>
    <w:rsid w:val="00A75A42"/>
    <w:rsid w:val="00A80C70"/>
    <w:rsid w:val="00A861A4"/>
    <w:rsid w:val="00A871F0"/>
    <w:rsid w:val="00A907C1"/>
    <w:rsid w:val="00A91384"/>
    <w:rsid w:val="00A915C9"/>
    <w:rsid w:val="00A92D58"/>
    <w:rsid w:val="00A933E5"/>
    <w:rsid w:val="00A946F0"/>
    <w:rsid w:val="00A94EDA"/>
    <w:rsid w:val="00A95A73"/>
    <w:rsid w:val="00A969C6"/>
    <w:rsid w:val="00A969CE"/>
    <w:rsid w:val="00A96E4B"/>
    <w:rsid w:val="00AA0B2B"/>
    <w:rsid w:val="00AA149D"/>
    <w:rsid w:val="00AA2E68"/>
    <w:rsid w:val="00AA3292"/>
    <w:rsid w:val="00AA3B67"/>
    <w:rsid w:val="00AA4C08"/>
    <w:rsid w:val="00AA4C7D"/>
    <w:rsid w:val="00AA5D84"/>
    <w:rsid w:val="00AA7675"/>
    <w:rsid w:val="00AA7C9B"/>
    <w:rsid w:val="00AB02E4"/>
    <w:rsid w:val="00AB1A3C"/>
    <w:rsid w:val="00AB1DE2"/>
    <w:rsid w:val="00AB41C7"/>
    <w:rsid w:val="00AB4317"/>
    <w:rsid w:val="00AC5E5D"/>
    <w:rsid w:val="00AC6915"/>
    <w:rsid w:val="00AD1876"/>
    <w:rsid w:val="00AD316C"/>
    <w:rsid w:val="00AD3726"/>
    <w:rsid w:val="00AD6556"/>
    <w:rsid w:val="00AD6DCB"/>
    <w:rsid w:val="00AD7C87"/>
    <w:rsid w:val="00AD7F8C"/>
    <w:rsid w:val="00AE1C6E"/>
    <w:rsid w:val="00AE35D1"/>
    <w:rsid w:val="00AE36EF"/>
    <w:rsid w:val="00AE4A2A"/>
    <w:rsid w:val="00AE5757"/>
    <w:rsid w:val="00AE785D"/>
    <w:rsid w:val="00AF3519"/>
    <w:rsid w:val="00AF3E5A"/>
    <w:rsid w:val="00AF3F8F"/>
    <w:rsid w:val="00AF4EE7"/>
    <w:rsid w:val="00B00198"/>
    <w:rsid w:val="00B00533"/>
    <w:rsid w:val="00B03185"/>
    <w:rsid w:val="00B03442"/>
    <w:rsid w:val="00B03785"/>
    <w:rsid w:val="00B03D11"/>
    <w:rsid w:val="00B0511C"/>
    <w:rsid w:val="00B07119"/>
    <w:rsid w:val="00B1149F"/>
    <w:rsid w:val="00B12267"/>
    <w:rsid w:val="00B15497"/>
    <w:rsid w:val="00B157D4"/>
    <w:rsid w:val="00B166A8"/>
    <w:rsid w:val="00B23DAF"/>
    <w:rsid w:val="00B2425C"/>
    <w:rsid w:val="00B2490E"/>
    <w:rsid w:val="00B24FB2"/>
    <w:rsid w:val="00B25C4B"/>
    <w:rsid w:val="00B2659C"/>
    <w:rsid w:val="00B276F2"/>
    <w:rsid w:val="00B27A86"/>
    <w:rsid w:val="00B305E7"/>
    <w:rsid w:val="00B30A24"/>
    <w:rsid w:val="00B31139"/>
    <w:rsid w:val="00B32E88"/>
    <w:rsid w:val="00B33057"/>
    <w:rsid w:val="00B33469"/>
    <w:rsid w:val="00B3422F"/>
    <w:rsid w:val="00B3557B"/>
    <w:rsid w:val="00B355A8"/>
    <w:rsid w:val="00B36C23"/>
    <w:rsid w:val="00B37082"/>
    <w:rsid w:val="00B37B58"/>
    <w:rsid w:val="00B41F46"/>
    <w:rsid w:val="00B421AB"/>
    <w:rsid w:val="00B442A3"/>
    <w:rsid w:val="00B455CC"/>
    <w:rsid w:val="00B4585A"/>
    <w:rsid w:val="00B46B1F"/>
    <w:rsid w:val="00B46E41"/>
    <w:rsid w:val="00B47B38"/>
    <w:rsid w:val="00B506BD"/>
    <w:rsid w:val="00B51445"/>
    <w:rsid w:val="00B52178"/>
    <w:rsid w:val="00B52370"/>
    <w:rsid w:val="00B5455B"/>
    <w:rsid w:val="00B54566"/>
    <w:rsid w:val="00B54C8F"/>
    <w:rsid w:val="00B55221"/>
    <w:rsid w:val="00B559E5"/>
    <w:rsid w:val="00B55B9C"/>
    <w:rsid w:val="00B5610A"/>
    <w:rsid w:val="00B57DFA"/>
    <w:rsid w:val="00B57ECC"/>
    <w:rsid w:val="00B608B9"/>
    <w:rsid w:val="00B611DC"/>
    <w:rsid w:val="00B6175B"/>
    <w:rsid w:val="00B62C2F"/>
    <w:rsid w:val="00B63691"/>
    <w:rsid w:val="00B637B2"/>
    <w:rsid w:val="00B66C6D"/>
    <w:rsid w:val="00B70257"/>
    <w:rsid w:val="00B702F8"/>
    <w:rsid w:val="00B7101B"/>
    <w:rsid w:val="00B7103C"/>
    <w:rsid w:val="00B755B8"/>
    <w:rsid w:val="00B75C2B"/>
    <w:rsid w:val="00B75F87"/>
    <w:rsid w:val="00B8096F"/>
    <w:rsid w:val="00B80B83"/>
    <w:rsid w:val="00B81116"/>
    <w:rsid w:val="00B81C8B"/>
    <w:rsid w:val="00B81EB3"/>
    <w:rsid w:val="00B832FD"/>
    <w:rsid w:val="00B84393"/>
    <w:rsid w:val="00B8570D"/>
    <w:rsid w:val="00B864DE"/>
    <w:rsid w:val="00B865F9"/>
    <w:rsid w:val="00B92E84"/>
    <w:rsid w:val="00B933AB"/>
    <w:rsid w:val="00B94B83"/>
    <w:rsid w:val="00B957BB"/>
    <w:rsid w:val="00BA0B30"/>
    <w:rsid w:val="00BA12AA"/>
    <w:rsid w:val="00BA16E8"/>
    <w:rsid w:val="00BA6269"/>
    <w:rsid w:val="00BA715E"/>
    <w:rsid w:val="00BB0260"/>
    <w:rsid w:val="00BB0300"/>
    <w:rsid w:val="00BB336B"/>
    <w:rsid w:val="00BB346E"/>
    <w:rsid w:val="00BB3BB6"/>
    <w:rsid w:val="00BB655D"/>
    <w:rsid w:val="00BB68B9"/>
    <w:rsid w:val="00BC0A89"/>
    <w:rsid w:val="00BC104E"/>
    <w:rsid w:val="00BC1F3B"/>
    <w:rsid w:val="00BC412E"/>
    <w:rsid w:val="00BD0263"/>
    <w:rsid w:val="00BD2FCB"/>
    <w:rsid w:val="00BD4F29"/>
    <w:rsid w:val="00BD5029"/>
    <w:rsid w:val="00BD6436"/>
    <w:rsid w:val="00BD6888"/>
    <w:rsid w:val="00BD775E"/>
    <w:rsid w:val="00BE1A75"/>
    <w:rsid w:val="00BE2841"/>
    <w:rsid w:val="00BE2A95"/>
    <w:rsid w:val="00BE3687"/>
    <w:rsid w:val="00BE6420"/>
    <w:rsid w:val="00BF0922"/>
    <w:rsid w:val="00BF17D9"/>
    <w:rsid w:val="00BF311F"/>
    <w:rsid w:val="00BF32EB"/>
    <w:rsid w:val="00BF5A16"/>
    <w:rsid w:val="00BF7262"/>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1A4F"/>
    <w:rsid w:val="00C22AD6"/>
    <w:rsid w:val="00C23C95"/>
    <w:rsid w:val="00C242A1"/>
    <w:rsid w:val="00C242D6"/>
    <w:rsid w:val="00C2491F"/>
    <w:rsid w:val="00C31DF1"/>
    <w:rsid w:val="00C31F69"/>
    <w:rsid w:val="00C32F6A"/>
    <w:rsid w:val="00C3502E"/>
    <w:rsid w:val="00C3504D"/>
    <w:rsid w:val="00C3619E"/>
    <w:rsid w:val="00C41BCC"/>
    <w:rsid w:val="00C4323C"/>
    <w:rsid w:val="00C4459C"/>
    <w:rsid w:val="00C478A8"/>
    <w:rsid w:val="00C47C4C"/>
    <w:rsid w:val="00C50046"/>
    <w:rsid w:val="00C511F9"/>
    <w:rsid w:val="00C51E2A"/>
    <w:rsid w:val="00C52580"/>
    <w:rsid w:val="00C5419E"/>
    <w:rsid w:val="00C5425F"/>
    <w:rsid w:val="00C5535B"/>
    <w:rsid w:val="00C606A2"/>
    <w:rsid w:val="00C61753"/>
    <w:rsid w:val="00C62066"/>
    <w:rsid w:val="00C620EE"/>
    <w:rsid w:val="00C6286A"/>
    <w:rsid w:val="00C65DD0"/>
    <w:rsid w:val="00C662EF"/>
    <w:rsid w:val="00C672B3"/>
    <w:rsid w:val="00C70D18"/>
    <w:rsid w:val="00C71598"/>
    <w:rsid w:val="00C7174B"/>
    <w:rsid w:val="00C71EEA"/>
    <w:rsid w:val="00C731DD"/>
    <w:rsid w:val="00C733D3"/>
    <w:rsid w:val="00C744B9"/>
    <w:rsid w:val="00C750E0"/>
    <w:rsid w:val="00C753C2"/>
    <w:rsid w:val="00C755CB"/>
    <w:rsid w:val="00C779AE"/>
    <w:rsid w:val="00C80C9F"/>
    <w:rsid w:val="00C83B26"/>
    <w:rsid w:val="00C85D58"/>
    <w:rsid w:val="00C86222"/>
    <w:rsid w:val="00C8731E"/>
    <w:rsid w:val="00C92D53"/>
    <w:rsid w:val="00C92E03"/>
    <w:rsid w:val="00C93EFD"/>
    <w:rsid w:val="00C9422F"/>
    <w:rsid w:val="00C94693"/>
    <w:rsid w:val="00C958BE"/>
    <w:rsid w:val="00C9705B"/>
    <w:rsid w:val="00CA0759"/>
    <w:rsid w:val="00CA08FA"/>
    <w:rsid w:val="00CA0E23"/>
    <w:rsid w:val="00CA448A"/>
    <w:rsid w:val="00CA461F"/>
    <w:rsid w:val="00CA5EF5"/>
    <w:rsid w:val="00CA6FF0"/>
    <w:rsid w:val="00CA7A39"/>
    <w:rsid w:val="00CA7C3E"/>
    <w:rsid w:val="00CB074D"/>
    <w:rsid w:val="00CB0FB8"/>
    <w:rsid w:val="00CB54BF"/>
    <w:rsid w:val="00CB67EC"/>
    <w:rsid w:val="00CB75CB"/>
    <w:rsid w:val="00CB76B5"/>
    <w:rsid w:val="00CB7B83"/>
    <w:rsid w:val="00CC21B1"/>
    <w:rsid w:val="00CC275B"/>
    <w:rsid w:val="00CC309B"/>
    <w:rsid w:val="00CC327C"/>
    <w:rsid w:val="00CC37F3"/>
    <w:rsid w:val="00CC3EF3"/>
    <w:rsid w:val="00CC7734"/>
    <w:rsid w:val="00CC7FE1"/>
    <w:rsid w:val="00CD03F8"/>
    <w:rsid w:val="00CD2131"/>
    <w:rsid w:val="00CD21AF"/>
    <w:rsid w:val="00CD402B"/>
    <w:rsid w:val="00CD41C7"/>
    <w:rsid w:val="00CD4522"/>
    <w:rsid w:val="00CD5158"/>
    <w:rsid w:val="00CD5783"/>
    <w:rsid w:val="00CD76A6"/>
    <w:rsid w:val="00CE2728"/>
    <w:rsid w:val="00CE3241"/>
    <w:rsid w:val="00CE6C3F"/>
    <w:rsid w:val="00CF14D9"/>
    <w:rsid w:val="00CF7E76"/>
    <w:rsid w:val="00D00012"/>
    <w:rsid w:val="00D002CC"/>
    <w:rsid w:val="00D00EE3"/>
    <w:rsid w:val="00D028B6"/>
    <w:rsid w:val="00D02D2E"/>
    <w:rsid w:val="00D03DDB"/>
    <w:rsid w:val="00D041FF"/>
    <w:rsid w:val="00D06365"/>
    <w:rsid w:val="00D10DEE"/>
    <w:rsid w:val="00D10E25"/>
    <w:rsid w:val="00D13066"/>
    <w:rsid w:val="00D15431"/>
    <w:rsid w:val="00D16BD8"/>
    <w:rsid w:val="00D16C71"/>
    <w:rsid w:val="00D17BD2"/>
    <w:rsid w:val="00D20AA4"/>
    <w:rsid w:val="00D210B3"/>
    <w:rsid w:val="00D23843"/>
    <w:rsid w:val="00D23ADF"/>
    <w:rsid w:val="00D24055"/>
    <w:rsid w:val="00D24A07"/>
    <w:rsid w:val="00D25999"/>
    <w:rsid w:val="00D26ABB"/>
    <w:rsid w:val="00D309DE"/>
    <w:rsid w:val="00D31F95"/>
    <w:rsid w:val="00D3254D"/>
    <w:rsid w:val="00D3346B"/>
    <w:rsid w:val="00D34545"/>
    <w:rsid w:val="00D3606D"/>
    <w:rsid w:val="00D36DB0"/>
    <w:rsid w:val="00D3766B"/>
    <w:rsid w:val="00D415FF"/>
    <w:rsid w:val="00D429D5"/>
    <w:rsid w:val="00D44F67"/>
    <w:rsid w:val="00D45AA2"/>
    <w:rsid w:val="00D46AB4"/>
    <w:rsid w:val="00D50E1B"/>
    <w:rsid w:val="00D5109C"/>
    <w:rsid w:val="00D51B7B"/>
    <w:rsid w:val="00D53DBE"/>
    <w:rsid w:val="00D55A88"/>
    <w:rsid w:val="00D5702E"/>
    <w:rsid w:val="00D61F7D"/>
    <w:rsid w:val="00D6362F"/>
    <w:rsid w:val="00D63FE9"/>
    <w:rsid w:val="00D65A34"/>
    <w:rsid w:val="00D70147"/>
    <w:rsid w:val="00D71EC2"/>
    <w:rsid w:val="00D732FB"/>
    <w:rsid w:val="00D75A21"/>
    <w:rsid w:val="00D760A5"/>
    <w:rsid w:val="00D776C6"/>
    <w:rsid w:val="00D81452"/>
    <w:rsid w:val="00D81B23"/>
    <w:rsid w:val="00D834DB"/>
    <w:rsid w:val="00D83DCC"/>
    <w:rsid w:val="00D845FC"/>
    <w:rsid w:val="00D84764"/>
    <w:rsid w:val="00D850CB"/>
    <w:rsid w:val="00D85255"/>
    <w:rsid w:val="00D85449"/>
    <w:rsid w:val="00D86611"/>
    <w:rsid w:val="00D868BB"/>
    <w:rsid w:val="00D87260"/>
    <w:rsid w:val="00D916B2"/>
    <w:rsid w:val="00D94BE1"/>
    <w:rsid w:val="00D94C54"/>
    <w:rsid w:val="00D94E40"/>
    <w:rsid w:val="00D96ED6"/>
    <w:rsid w:val="00DA01DF"/>
    <w:rsid w:val="00DA09FB"/>
    <w:rsid w:val="00DA2001"/>
    <w:rsid w:val="00DA2F32"/>
    <w:rsid w:val="00DA641F"/>
    <w:rsid w:val="00DA7633"/>
    <w:rsid w:val="00DA775E"/>
    <w:rsid w:val="00DB09B4"/>
    <w:rsid w:val="00DB2E7C"/>
    <w:rsid w:val="00DB38B6"/>
    <w:rsid w:val="00DB4852"/>
    <w:rsid w:val="00DB4969"/>
    <w:rsid w:val="00DB5B3A"/>
    <w:rsid w:val="00DB6E07"/>
    <w:rsid w:val="00DB7995"/>
    <w:rsid w:val="00DC05AE"/>
    <w:rsid w:val="00DC132C"/>
    <w:rsid w:val="00DC251A"/>
    <w:rsid w:val="00DC2860"/>
    <w:rsid w:val="00DC354E"/>
    <w:rsid w:val="00DC64C3"/>
    <w:rsid w:val="00DC6AF1"/>
    <w:rsid w:val="00DD02F2"/>
    <w:rsid w:val="00DD1315"/>
    <w:rsid w:val="00DD1BE9"/>
    <w:rsid w:val="00DD26FD"/>
    <w:rsid w:val="00DD43A9"/>
    <w:rsid w:val="00DD5058"/>
    <w:rsid w:val="00DD5DD5"/>
    <w:rsid w:val="00DD7510"/>
    <w:rsid w:val="00DE122A"/>
    <w:rsid w:val="00DE2D21"/>
    <w:rsid w:val="00DE30C6"/>
    <w:rsid w:val="00DE4960"/>
    <w:rsid w:val="00DE52B5"/>
    <w:rsid w:val="00DE5EF2"/>
    <w:rsid w:val="00DE65A2"/>
    <w:rsid w:val="00DE700B"/>
    <w:rsid w:val="00DE7950"/>
    <w:rsid w:val="00DF00E8"/>
    <w:rsid w:val="00DF01CC"/>
    <w:rsid w:val="00DF0635"/>
    <w:rsid w:val="00DF251C"/>
    <w:rsid w:val="00DF30AE"/>
    <w:rsid w:val="00E00A45"/>
    <w:rsid w:val="00E04A7C"/>
    <w:rsid w:val="00E10B6B"/>
    <w:rsid w:val="00E1283F"/>
    <w:rsid w:val="00E13B27"/>
    <w:rsid w:val="00E13D4A"/>
    <w:rsid w:val="00E15E84"/>
    <w:rsid w:val="00E162B3"/>
    <w:rsid w:val="00E20184"/>
    <w:rsid w:val="00E20638"/>
    <w:rsid w:val="00E20718"/>
    <w:rsid w:val="00E20A62"/>
    <w:rsid w:val="00E22320"/>
    <w:rsid w:val="00E232AD"/>
    <w:rsid w:val="00E24FB2"/>
    <w:rsid w:val="00E251B1"/>
    <w:rsid w:val="00E3044D"/>
    <w:rsid w:val="00E33080"/>
    <w:rsid w:val="00E33732"/>
    <w:rsid w:val="00E337ED"/>
    <w:rsid w:val="00E35A04"/>
    <w:rsid w:val="00E35E55"/>
    <w:rsid w:val="00E36078"/>
    <w:rsid w:val="00E3743C"/>
    <w:rsid w:val="00E415EC"/>
    <w:rsid w:val="00E415F5"/>
    <w:rsid w:val="00E44AD4"/>
    <w:rsid w:val="00E502A6"/>
    <w:rsid w:val="00E51784"/>
    <w:rsid w:val="00E52290"/>
    <w:rsid w:val="00E52BAC"/>
    <w:rsid w:val="00E53580"/>
    <w:rsid w:val="00E53BE1"/>
    <w:rsid w:val="00E540AB"/>
    <w:rsid w:val="00E540B2"/>
    <w:rsid w:val="00E5427F"/>
    <w:rsid w:val="00E574D5"/>
    <w:rsid w:val="00E57A64"/>
    <w:rsid w:val="00E6283A"/>
    <w:rsid w:val="00E62CCD"/>
    <w:rsid w:val="00E65201"/>
    <w:rsid w:val="00E658AC"/>
    <w:rsid w:val="00E66EED"/>
    <w:rsid w:val="00E6735F"/>
    <w:rsid w:val="00E70207"/>
    <w:rsid w:val="00E70A27"/>
    <w:rsid w:val="00E71D31"/>
    <w:rsid w:val="00E7259C"/>
    <w:rsid w:val="00E730D1"/>
    <w:rsid w:val="00E7412A"/>
    <w:rsid w:val="00E75759"/>
    <w:rsid w:val="00E803FD"/>
    <w:rsid w:val="00E80C89"/>
    <w:rsid w:val="00E81817"/>
    <w:rsid w:val="00E85F2A"/>
    <w:rsid w:val="00E86735"/>
    <w:rsid w:val="00E873C8"/>
    <w:rsid w:val="00E95227"/>
    <w:rsid w:val="00E9550F"/>
    <w:rsid w:val="00E96499"/>
    <w:rsid w:val="00E9766B"/>
    <w:rsid w:val="00EA25B0"/>
    <w:rsid w:val="00EA3D26"/>
    <w:rsid w:val="00EA54EE"/>
    <w:rsid w:val="00EA5E7A"/>
    <w:rsid w:val="00EB02A0"/>
    <w:rsid w:val="00EB1479"/>
    <w:rsid w:val="00EB224C"/>
    <w:rsid w:val="00EB334F"/>
    <w:rsid w:val="00EB39AC"/>
    <w:rsid w:val="00EB3A33"/>
    <w:rsid w:val="00EB3AAA"/>
    <w:rsid w:val="00EB5E6C"/>
    <w:rsid w:val="00EC0452"/>
    <w:rsid w:val="00EC1094"/>
    <w:rsid w:val="00EC1392"/>
    <w:rsid w:val="00EC28B8"/>
    <w:rsid w:val="00EC3408"/>
    <w:rsid w:val="00EC3410"/>
    <w:rsid w:val="00EC4E8E"/>
    <w:rsid w:val="00EC55C7"/>
    <w:rsid w:val="00EC57E5"/>
    <w:rsid w:val="00EC5F24"/>
    <w:rsid w:val="00ED0315"/>
    <w:rsid w:val="00ED032C"/>
    <w:rsid w:val="00ED091B"/>
    <w:rsid w:val="00ED19B5"/>
    <w:rsid w:val="00ED1AC7"/>
    <w:rsid w:val="00ED5065"/>
    <w:rsid w:val="00ED62A0"/>
    <w:rsid w:val="00ED65F1"/>
    <w:rsid w:val="00ED72B4"/>
    <w:rsid w:val="00ED7C49"/>
    <w:rsid w:val="00EE37C3"/>
    <w:rsid w:val="00EE3896"/>
    <w:rsid w:val="00EE60B0"/>
    <w:rsid w:val="00EE66A6"/>
    <w:rsid w:val="00EF0BE2"/>
    <w:rsid w:val="00EF190B"/>
    <w:rsid w:val="00EF2AF8"/>
    <w:rsid w:val="00EF2D35"/>
    <w:rsid w:val="00EF3A0B"/>
    <w:rsid w:val="00EF621E"/>
    <w:rsid w:val="00F00AB7"/>
    <w:rsid w:val="00F02F84"/>
    <w:rsid w:val="00F03DDB"/>
    <w:rsid w:val="00F04274"/>
    <w:rsid w:val="00F053D9"/>
    <w:rsid w:val="00F0671B"/>
    <w:rsid w:val="00F06FFA"/>
    <w:rsid w:val="00F110D7"/>
    <w:rsid w:val="00F11426"/>
    <w:rsid w:val="00F13358"/>
    <w:rsid w:val="00F13DAE"/>
    <w:rsid w:val="00F15535"/>
    <w:rsid w:val="00F1784B"/>
    <w:rsid w:val="00F20111"/>
    <w:rsid w:val="00F23B41"/>
    <w:rsid w:val="00F2459C"/>
    <w:rsid w:val="00F24D36"/>
    <w:rsid w:val="00F25BB1"/>
    <w:rsid w:val="00F26545"/>
    <w:rsid w:val="00F27182"/>
    <w:rsid w:val="00F317FB"/>
    <w:rsid w:val="00F31A59"/>
    <w:rsid w:val="00F31BDE"/>
    <w:rsid w:val="00F36B6F"/>
    <w:rsid w:val="00F37B13"/>
    <w:rsid w:val="00F40A57"/>
    <w:rsid w:val="00F40C90"/>
    <w:rsid w:val="00F41EE1"/>
    <w:rsid w:val="00F42B35"/>
    <w:rsid w:val="00F449AE"/>
    <w:rsid w:val="00F4670A"/>
    <w:rsid w:val="00F477AB"/>
    <w:rsid w:val="00F504BC"/>
    <w:rsid w:val="00F504CF"/>
    <w:rsid w:val="00F52B18"/>
    <w:rsid w:val="00F537A8"/>
    <w:rsid w:val="00F57EB6"/>
    <w:rsid w:val="00F601D0"/>
    <w:rsid w:val="00F62A21"/>
    <w:rsid w:val="00F62C26"/>
    <w:rsid w:val="00F65A70"/>
    <w:rsid w:val="00F6773D"/>
    <w:rsid w:val="00F7182E"/>
    <w:rsid w:val="00F71BEC"/>
    <w:rsid w:val="00F71CEF"/>
    <w:rsid w:val="00F72D0A"/>
    <w:rsid w:val="00F737CD"/>
    <w:rsid w:val="00F74EF5"/>
    <w:rsid w:val="00F75536"/>
    <w:rsid w:val="00F77604"/>
    <w:rsid w:val="00F81D85"/>
    <w:rsid w:val="00F8363B"/>
    <w:rsid w:val="00F83B36"/>
    <w:rsid w:val="00F84E1F"/>
    <w:rsid w:val="00F87931"/>
    <w:rsid w:val="00F91E78"/>
    <w:rsid w:val="00F937F0"/>
    <w:rsid w:val="00F94CEF"/>
    <w:rsid w:val="00F960BB"/>
    <w:rsid w:val="00FA066F"/>
    <w:rsid w:val="00FA11E8"/>
    <w:rsid w:val="00FA1AE8"/>
    <w:rsid w:val="00FA39ED"/>
    <w:rsid w:val="00FA3B6F"/>
    <w:rsid w:val="00FA4515"/>
    <w:rsid w:val="00FA6684"/>
    <w:rsid w:val="00FA78FA"/>
    <w:rsid w:val="00FB0704"/>
    <w:rsid w:val="00FB36EA"/>
    <w:rsid w:val="00FB3A47"/>
    <w:rsid w:val="00FB449B"/>
    <w:rsid w:val="00FB4AD9"/>
    <w:rsid w:val="00FB561F"/>
    <w:rsid w:val="00FC1AD8"/>
    <w:rsid w:val="00FC237D"/>
    <w:rsid w:val="00FC2FC1"/>
    <w:rsid w:val="00FC3544"/>
    <w:rsid w:val="00FC3E56"/>
    <w:rsid w:val="00FC51A4"/>
    <w:rsid w:val="00FC6062"/>
    <w:rsid w:val="00FC617B"/>
    <w:rsid w:val="00FC65E4"/>
    <w:rsid w:val="00FC7E2E"/>
    <w:rsid w:val="00FD01D0"/>
    <w:rsid w:val="00FD0B63"/>
    <w:rsid w:val="00FD21DC"/>
    <w:rsid w:val="00FD3D87"/>
    <w:rsid w:val="00FD4BAE"/>
    <w:rsid w:val="00FD4C02"/>
    <w:rsid w:val="00FD4E05"/>
    <w:rsid w:val="00FD5254"/>
    <w:rsid w:val="00FD6B6D"/>
    <w:rsid w:val="00FE06F1"/>
    <w:rsid w:val="00FE0E05"/>
    <w:rsid w:val="00FE34EF"/>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4CAFAB"/>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7.png"/><Relationship Id="rId42" Type="http://schemas.openxmlformats.org/officeDocument/2006/relationships/footer" Target="footer14.xml"/><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png"/><Relationship Id="rId29" Type="http://schemas.openxmlformats.org/officeDocument/2006/relationships/footer" Target="footer9.xm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11.xml"/><Relationship Id="rId43" Type="http://schemas.openxmlformats.org/officeDocument/2006/relationships/header" Target="header1.xml"/><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5C08-20E2-47CC-B01C-4925A2C6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2177</Words>
  <Characters>12409</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19</cp:revision>
  <cp:lastPrinted>2019-11-22T13:30:00Z</cp:lastPrinted>
  <dcterms:created xsi:type="dcterms:W3CDTF">2019-11-22T08:42:00Z</dcterms:created>
  <dcterms:modified xsi:type="dcterms:W3CDTF">2019-11-26T14:04:00Z</dcterms:modified>
</cp:coreProperties>
</file>