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0D45" w14:textId="77777777" w:rsidR="007E222A" w:rsidRPr="00395073"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sidRPr="00395073">
        <w:rPr>
          <w:rFonts w:eastAsia="Times New Roman" w:cs="Calibri"/>
          <w:b/>
          <w:spacing w:val="-3"/>
          <w:sz w:val="24"/>
          <w:szCs w:val="24"/>
          <w:u w:val="single"/>
          <w:lang w:val="en-GB" w:eastAsia="hr-HR"/>
        </w:rPr>
        <w:t xml:space="preserve">  </w:t>
      </w:r>
    </w:p>
    <w:p w14:paraId="621CC603" w14:textId="77777777" w:rsidR="007E222A" w:rsidRPr="00395073"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bookmarkStart w:id="0" w:name="_Hlk523321750"/>
      <w:bookmarkEnd w:id="0"/>
    </w:p>
    <w:p w14:paraId="04E558E8" w14:textId="77777777" w:rsidR="007E222A" w:rsidRPr="00395073" w:rsidRDefault="00596824"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sidRPr="00395073">
        <w:rPr>
          <w:rFonts w:eastAsia="Times New Roman" w:cs="Calibri"/>
          <w:b/>
          <w:noProof/>
          <w:spacing w:val="-3"/>
          <w:sz w:val="24"/>
          <w:szCs w:val="24"/>
          <w:u w:val="single"/>
          <w:lang w:val="en-GB" w:eastAsia="hr-HR"/>
        </w:rPr>
        <w:drawing>
          <wp:anchor distT="0" distB="0" distL="114300" distR="114300" simplePos="0" relativeHeight="251659264" behindDoc="1" locked="0" layoutInCell="1" allowOverlap="1" wp14:anchorId="51CF0324" wp14:editId="0DB86D00">
            <wp:simplePos x="0" y="0"/>
            <wp:positionH relativeFrom="column">
              <wp:posOffset>-318770</wp:posOffset>
            </wp:positionH>
            <wp:positionV relativeFrom="paragraph">
              <wp:posOffset>118546</wp:posOffset>
            </wp:positionV>
            <wp:extent cx="3081020" cy="1043940"/>
            <wp:effectExtent l="0" t="0" r="0" b="0"/>
            <wp:wrapThrough wrapText="bothSides">
              <wp:wrapPolygon edited="0">
                <wp:start x="4274" y="3942"/>
                <wp:lineTo x="2538" y="6701"/>
                <wp:lineTo x="2270" y="7489"/>
                <wp:lineTo x="2270" y="18526"/>
                <wp:lineTo x="5075" y="19314"/>
                <wp:lineTo x="17362" y="19314"/>
                <wp:lineTo x="19098" y="18526"/>
                <wp:lineTo x="19766" y="18131"/>
                <wp:lineTo x="19899" y="16161"/>
                <wp:lineTo x="9482" y="11036"/>
                <wp:lineTo x="9883" y="7883"/>
                <wp:lineTo x="9349" y="7095"/>
                <wp:lineTo x="5743" y="3942"/>
                <wp:lineTo x="4274" y="3942"/>
              </wp:wrapPolygon>
            </wp:wrapThrough>
            <wp:docPr id="2" name="Picture 2"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8" cstate="print">
                      <a:extLst>
                        <a:ext uri="{28A0092B-C50C-407E-A947-70E740481C1C}">
                          <a14:useLocalDpi xmlns:a14="http://schemas.microsoft.com/office/drawing/2010/main" val="0"/>
                        </a:ext>
                      </a:extLst>
                    </a:blip>
                    <a:srcRect t="22328" r="60526" b="13531"/>
                    <a:stretch>
                      <a:fillRect/>
                    </a:stretch>
                  </pic:blipFill>
                  <pic:spPr bwMode="auto">
                    <a:xfrm>
                      <a:off x="0" y="0"/>
                      <a:ext cx="308102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07167" w14:textId="77777777" w:rsidR="007E222A" w:rsidRPr="00395073"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95B744D" w14:textId="77777777" w:rsidR="007E222A" w:rsidRPr="00395073"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4899FCA" w14:textId="77777777" w:rsidR="007E222A" w:rsidRPr="00395073"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EC3DED9" w14:textId="77777777" w:rsidR="007E222A" w:rsidRPr="00395073"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B491C33" w14:textId="77777777" w:rsidR="007E222A" w:rsidRPr="00395073"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ECBA38C" w14:textId="77777777" w:rsidR="007E222A" w:rsidRPr="00395073"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54E1596" w14:textId="77777777" w:rsidR="007E222A" w:rsidRPr="00395073"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F9F12A1"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49A7D23"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5BF689A"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B1CC153"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9315DC7" w14:textId="77777777" w:rsidR="007E222A" w:rsidRPr="00395073"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5E75FDA" w14:textId="77777777" w:rsidR="007E222A" w:rsidRPr="00395073"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8550FC0" w14:textId="77777777" w:rsidR="007E222A" w:rsidRPr="00395073" w:rsidRDefault="007E222A" w:rsidP="00422588">
      <w:pPr>
        <w:tabs>
          <w:tab w:val="left" w:pos="-720"/>
          <w:tab w:val="left" w:pos="426"/>
        </w:tabs>
        <w:suppressAutoHyphens/>
        <w:spacing w:after="0" w:line="240" w:lineRule="auto"/>
        <w:jc w:val="both"/>
        <w:rPr>
          <w:rFonts w:eastAsia="Times New Roman" w:cs="Calibri"/>
          <w:b/>
          <w:spacing w:val="-3"/>
          <w:sz w:val="44"/>
          <w:szCs w:val="44"/>
          <w:u w:val="single"/>
          <w:lang w:val="en-GB" w:eastAsia="hr-HR"/>
        </w:rPr>
      </w:pPr>
    </w:p>
    <w:p w14:paraId="524A259F" w14:textId="77777777" w:rsidR="00627884" w:rsidRPr="00395073" w:rsidRDefault="00627884" w:rsidP="00627884">
      <w:pPr>
        <w:tabs>
          <w:tab w:val="left" w:pos="-720"/>
          <w:tab w:val="left" w:pos="0"/>
        </w:tabs>
        <w:suppressAutoHyphens/>
        <w:spacing w:after="0" w:line="240" w:lineRule="auto"/>
        <w:jc w:val="center"/>
        <w:rPr>
          <w:rFonts w:eastAsia="Times New Roman" w:cs="Calibri"/>
          <w:b/>
          <w:spacing w:val="-3"/>
          <w:sz w:val="32"/>
          <w:szCs w:val="32"/>
          <w:lang w:val="en-GB" w:eastAsia="hr-HR"/>
        </w:rPr>
      </w:pPr>
      <w:r w:rsidRPr="00395073">
        <w:rPr>
          <w:rFonts w:eastAsia="Times New Roman" w:cs="Calibri"/>
          <w:b/>
          <w:spacing w:val="-3"/>
          <w:sz w:val="32"/>
          <w:szCs w:val="32"/>
          <w:lang w:val="en-GB" w:eastAsia="hr-HR"/>
        </w:rPr>
        <w:t>REPORT ON FINANCIAL PERFORMANCE</w:t>
      </w:r>
    </w:p>
    <w:p w14:paraId="01921BAF" w14:textId="77777777" w:rsidR="00627884" w:rsidRPr="00395073" w:rsidRDefault="00627884" w:rsidP="00627884">
      <w:pPr>
        <w:tabs>
          <w:tab w:val="left" w:pos="-720"/>
          <w:tab w:val="left" w:pos="0"/>
        </w:tabs>
        <w:suppressAutoHyphens/>
        <w:spacing w:after="0" w:line="240" w:lineRule="auto"/>
        <w:jc w:val="center"/>
        <w:rPr>
          <w:rFonts w:eastAsia="Times New Roman" w:cs="Calibri"/>
          <w:b/>
          <w:spacing w:val="-3"/>
          <w:sz w:val="32"/>
          <w:szCs w:val="32"/>
          <w:lang w:val="en-GB" w:eastAsia="hr-HR"/>
        </w:rPr>
      </w:pPr>
      <w:r w:rsidRPr="00395073">
        <w:rPr>
          <w:rFonts w:eastAsia="Times New Roman" w:cs="Calibri"/>
          <w:b/>
          <w:spacing w:val="-3"/>
          <w:sz w:val="32"/>
          <w:szCs w:val="32"/>
          <w:lang w:val="en-GB" w:eastAsia="hr-HR"/>
        </w:rPr>
        <w:t xml:space="preserve">FOR THE PERIOD </w:t>
      </w:r>
    </w:p>
    <w:p w14:paraId="5D3CB0A9" w14:textId="77777777" w:rsidR="007E222A" w:rsidRPr="00395073" w:rsidRDefault="00627884" w:rsidP="00627884">
      <w:pPr>
        <w:tabs>
          <w:tab w:val="left" w:pos="-720"/>
          <w:tab w:val="left" w:pos="0"/>
        </w:tabs>
        <w:suppressAutoHyphens/>
        <w:spacing w:after="0" w:line="240" w:lineRule="auto"/>
        <w:jc w:val="center"/>
        <w:rPr>
          <w:rFonts w:eastAsia="Times New Roman" w:cs="Calibri"/>
          <w:b/>
          <w:spacing w:val="-3"/>
          <w:sz w:val="32"/>
          <w:szCs w:val="32"/>
          <w:lang w:val="en-GB" w:eastAsia="hr-HR"/>
        </w:rPr>
      </w:pPr>
      <w:r w:rsidRPr="00395073">
        <w:rPr>
          <w:rFonts w:eastAsia="Times New Roman" w:cs="Calibri"/>
          <w:b/>
          <w:spacing w:val="-3"/>
          <w:sz w:val="32"/>
          <w:szCs w:val="32"/>
          <w:lang w:val="en-GB" w:eastAsia="hr-HR"/>
        </w:rPr>
        <w:t xml:space="preserve">1 JANUARY – 30 </w:t>
      </w:r>
      <w:r w:rsidR="00A14E1D" w:rsidRPr="00395073">
        <w:rPr>
          <w:rFonts w:eastAsia="Times New Roman" w:cs="Calibri"/>
          <w:b/>
          <w:spacing w:val="-3"/>
          <w:sz w:val="32"/>
          <w:szCs w:val="32"/>
          <w:lang w:val="en-GB" w:eastAsia="hr-HR"/>
        </w:rPr>
        <w:t xml:space="preserve">SEPTEMBER </w:t>
      </w:r>
      <w:r w:rsidRPr="00395073">
        <w:rPr>
          <w:rFonts w:eastAsia="Times New Roman" w:cs="Calibri"/>
          <w:b/>
          <w:spacing w:val="-3"/>
          <w:sz w:val="32"/>
          <w:szCs w:val="32"/>
          <w:lang w:val="en-GB" w:eastAsia="hr-HR"/>
        </w:rPr>
        <w:t>2018</w:t>
      </w:r>
    </w:p>
    <w:p w14:paraId="7C52240D"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63DF829"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2663D66"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74E394F"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EF981F0"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4FA9FCB"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DD0ECCA"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318C424"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299337"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E015B75"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51E4D00"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67CED5D"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1AAE600"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463FFA"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6113993"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DAC1DA"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C4B8F01"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9B9E5CB" w14:textId="77777777" w:rsidR="001C5366" w:rsidRPr="00395073" w:rsidRDefault="001C5366"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BB15AB7" w14:textId="77777777" w:rsidR="001C5366" w:rsidRPr="00395073" w:rsidRDefault="001C5366"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DF1DA46"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24F8752"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007311A" w14:textId="77777777" w:rsidR="001D478E" w:rsidRPr="00395073"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CB2F91F" w14:textId="77777777" w:rsidR="00DD4579" w:rsidRDefault="00DD4579" w:rsidP="00AB1895">
      <w:pPr>
        <w:tabs>
          <w:tab w:val="left" w:pos="-720"/>
          <w:tab w:val="left" w:pos="426"/>
        </w:tabs>
        <w:suppressAutoHyphens/>
        <w:spacing w:after="0" w:line="240" w:lineRule="auto"/>
        <w:jc w:val="center"/>
        <w:rPr>
          <w:rFonts w:eastAsia="Times New Roman" w:cs="Calibri"/>
          <w:b/>
          <w:spacing w:val="-3"/>
          <w:sz w:val="24"/>
          <w:szCs w:val="24"/>
          <w:lang w:val="en-GB" w:eastAsia="hr-HR"/>
        </w:rPr>
      </w:pPr>
    </w:p>
    <w:p w14:paraId="1EF383E5" w14:textId="4D07BB8D" w:rsidR="00E70A27" w:rsidRPr="00395073" w:rsidRDefault="001D478E" w:rsidP="00AB1895">
      <w:pPr>
        <w:tabs>
          <w:tab w:val="left" w:pos="-720"/>
          <w:tab w:val="left" w:pos="426"/>
        </w:tabs>
        <w:suppressAutoHyphens/>
        <w:spacing w:after="0" w:line="240" w:lineRule="auto"/>
        <w:jc w:val="center"/>
        <w:rPr>
          <w:rFonts w:eastAsia="Times New Roman" w:cs="Calibri"/>
          <w:b/>
          <w:spacing w:val="-3"/>
          <w:sz w:val="24"/>
          <w:szCs w:val="24"/>
          <w:u w:val="single"/>
          <w:lang w:val="en-GB" w:eastAsia="hr-HR"/>
        </w:rPr>
        <w:sectPr w:rsidR="00E70A27" w:rsidRPr="00395073" w:rsidSect="000241D5">
          <w:footerReference w:type="default" r:id="rId9"/>
          <w:pgSz w:w="11906" w:h="16838" w:code="9"/>
          <w:pgMar w:top="596" w:right="1133" w:bottom="1417" w:left="1417" w:header="709" w:footer="709" w:gutter="0"/>
          <w:cols w:space="708"/>
          <w:titlePg/>
          <w:docGrid w:linePitch="360"/>
        </w:sectPr>
      </w:pPr>
      <w:r w:rsidRPr="00395073">
        <w:rPr>
          <w:rFonts w:eastAsia="Times New Roman" w:cs="Calibri"/>
          <w:b/>
          <w:spacing w:val="-3"/>
          <w:sz w:val="24"/>
          <w:szCs w:val="24"/>
          <w:lang w:val="en-GB" w:eastAsia="hr-HR"/>
        </w:rPr>
        <w:t xml:space="preserve">Zagreb, </w:t>
      </w:r>
      <w:r w:rsidR="00A14E1D" w:rsidRPr="00395073">
        <w:rPr>
          <w:rFonts w:eastAsia="Times New Roman" w:cs="Calibri"/>
          <w:b/>
          <w:spacing w:val="-3"/>
          <w:sz w:val="24"/>
          <w:szCs w:val="24"/>
          <w:lang w:val="en-GB" w:eastAsia="hr-HR"/>
        </w:rPr>
        <w:t xml:space="preserve">November </w:t>
      </w:r>
      <w:r w:rsidRPr="00395073">
        <w:rPr>
          <w:rFonts w:eastAsia="Times New Roman" w:cs="Calibri"/>
          <w:b/>
          <w:spacing w:val="-3"/>
          <w:sz w:val="24"/>
          <w:szCs w:val="24"/>
          <w:lang w:val="en-GB" w:eastAsia="hr-HR"/>
        </w:rPr>
        <w:t>201</w:t>
      </w:r>
      <w:r w:rsidR="00212DE6" w:rsidRPr="00395073">
        <w:rPr>
          <w:rFonts w:eastAsia="Times New Roman" w:cs="Calibri"/>
          <w:b/>
          <w:spacing w:val="-3"/>
          <w:sz w:val="24"/>
          <w:szCs w:val="24"/>
          <w:lang w:val="en-GB" w:eastAsia="hr-HR"/>
        </w:rPr>
        <w:t>8</w:t>
      </w:r>
    </w:p>
    <w:p w14:paraId="7F17ACAC" w14:textId="77777777" w:rsidR="001D2396" w:rsidRPr="00395073" w:rsidRDefault="001D2396">
      <w:pPr>
        <w:rPr>
          <w:rFonts w:eastAsia="Times New Roman" w:cs="Calibri"/>
          <w:b/>
          <w:spacing w:val="-3"/>
          <w:sz w:val="24"/>
          <w:szCs w:val="24"/>
          <w:u w:val="single"/>
          <w:lang w:val="en-GB" w:eastAsia="hr-HR"/>
        </w:rPr>
      </w:pPr>
    </w:p>
    <w:p w14:paraId="4A484370" w14:textId="77777777" w:rsidR="001D2396" w:rsidRPr="00395073" w:rsidRDefault="001D2396" w:rsidP="00290697">
      <w:pPr>
        <w:spacing w:after="0" w:line="240" w:lineRule="auto"/>
        <w:rPr>
          <w:rFonts w:eastAsia="Times New Roman" w:cs="Calibri"/>
          <w:b/>
          <w:spacing w:val="-3"/>
          <w:sz w:val="24"/>
          <w:szCs w:val="24"/>
          <w:u w:val="single"/>
          <w:lang w:val="en-GB" w:eastAsia="hr-HR"/>
        </w:rPr>
      </w:pPr>
    </w:p>
    <w:p w14:paraId="514FEA64" w14:textId="77777777" w:rsidR="001D2396" w:rsidRPr="00395073" w:rsidRDefault="001D2396" w:rsidP="00290697">
      <w:pPr>
        <w:spacing w:after="0" w:line="240" w:lineRule="auto"/>
        <w:rPr>
          <w:rFonts w:eastAsia="Times New Roman" w:cs="Calibri"/>
          <w:b/>
          <w:spacing w:val="-3"/>
          <w:sz w:val="24"/>
          <w:szCs w:val="24"/>
          <w:u w:val="single"/>
          <w:lang w:val="en-GB" w:eastAsia="hr-HR"/>
        </w:rPr>
      </w:pPr>
    </w:p>
    <w:p w14:paraId="01DFDBD8" w14:textId="77777777" w:rsidR="001D2396" w:rsidRPr="00395073" w:rsidRDefault="001D2396" w:rsidP="00290697">
      <w:pPr>
        <w:spacing w:after="0" w:line="240" w:lineRule="auto"/>
        <w:rPr>
          <w:rFonts w:eastAsia="Times New Roman" w:cs="Calibri"/>
          <w:b/>
          <w:spacing w:val="-3"/>
          <w:sz w:val="24"/>
          <w:szCs w:val="24"/>
          <w:u w:val="single"/>
          <w:lang w:val="en-GB" w:eastAsia="hr-HR"/>
        </w:rPr>
      </w:pPr>
    </w:p>
    <w:p w14:paraId="040194F6" w14:textId="77777777" w:rsidR="001D2396" w:rsidRPr="00395073" w:rsidRDefault="001D2396" w:rsidP="00290697">
      <w:pPr>
        <w:spacing w:after="0" w:line="240" w:lineRule="auto"/>
        <w:rPr>
          <w:rFonts w:eastAsia="Times New Roman" w:cs="Calibri"/>
          <w:b/>
          <w:spacing w:val="-3"/>
          <w:sz w:val="24"/>
          <w:szCs w:val="24"/>
          <w:u w:val="single"/>
          <w:lang w:val="en-GB" w:eastAsia="hr-HR"/>
        </w:rPr>
      </w:pPr>
    </w:p>
    <w:p w14:paraId="4BBC4A48" w14:textId="77777777" w:rsidR="00C21778" w:rsidRPr="00395073" w:rsidRDefault="00C21778" w:rsidP="00290697">
      <w:pPr>
        <w:spacing w:after="0" w:line="240" w:lineRule="auto"/>
        <w:rPr>
          <w:rFonts w:eastAsia="Times New Roman" w:cs="Calibri"/>
          <w:b/>
          <w:spacing w:val="-3"/>
          <w:sz w:val="24"/>
          <w:szCs w:val="24"/>
          <w:u w:val="single"/>
          <w:lang w:val="en-GB" w:eastAsia="hr-HR"/>
        </w:rPr>
      </w:pPr>
    </w:p>
    <w:p w14:paraId="117A7D5F" w14:textId="77777777" w:rsidR="00C21778" w:rsidRPr="00395073" w:rsidRDefault="00C21778" w:rsidP="00290697">
      <w:pPr>
        <w:spacing w:after="0" w:line="240" w:lineRule="auto"/>
        <w:rPr>
          <w:rFonts w:eastAsia="Times New Roman" w:cs="Calibri"/>
          <w:b/>
          <w:spacing w:val="-3"/>
          <w:sz w:val="24"/>
          <w:szCs w:val="24"/>
          <w:u w:val="single"/>
          <w:lang w:val="en-GB" w:eastAsia="hr-HR"/>
        </w:rPr>
      </w:pPr>
    </w:p>
    <w:p w14:paraId="23286C2C" w14:textId="77777777" w:rsidR="00C21778" w:rsidRPr="00395073" w:rsidRDefault="00C21778" w:rsidP="00290697">
      <w:pPr>
        <w:spacing w:after="0" w:line="240" w:lineRule="auto"/>
        <w:rPr>
          <w:rFonts w:eastAsia="Times New Roman" w:cs="Calibri"/>
          <w:b/>
          <w:spacing w:val="-3"/>
          <w:sz w:val="24"/>
          <w:szCs w:val="24"/>
          <w:u w:val="single"/>
          <w:lang w:val="en-GB" w:eastAsia="hr-HR"/>
        </w:rPr>
      </w:pPr>
    </w:p>
    <w:p w14:paraId="60CA9279" w14:textId="77777777" w:rsidR="00C21778" w:rsidRPr="00395073" w:rsidRDefault="00C21778" w:rsidP="00290697">
      <w:pPr>
        <w:spacing w:after="0" w:line="240" w:lineRule="auto"/>
        <w:rPr>
          <w:rFonts w:eastAsia="Times New Roman" w:cs="Calibri"/>
          <w:b/>
          <w:spacing w:val="-3"/>
          <w:sz w:val="24"/>
          <w:szCs w:val="24"/>
          <w:u w:val="single"/>
          <w:lang w:val="en-GB" w:eastAsia="hr-HR"/>
        </w:rPr>
      </w:pPr>
    </w:p>
    <w:p w14:paraId="56621887" w14:textId="77777777" w:rsidR="001C5366" w:rsidRPr="00395073" w:rsidRDefault="001C5366" w:rsidP="00290697">
      <w:pPr>
        <w:spacing w:after="0" w:line="240" w:lineRule="auto"/>
        <w:rPr>
          <w:rFonts w:eastAsia="Times New Roman" w:cs="Calibri"/>
          <w:b/>
          <w:spacing w:val="-3"/>
          <w:sz w:val="24"/>
          <w:szCs w:val="24"/>
          <w:u w:val="single"/>
          <w:lang w:val="en-GB" w:eastAsia="hr-HR"/>
        </w:rPr>
      </w:pPr>
    </w:p>
    <w:p w14:paraId="0C53D474" w14:textId="77777777" w:rsidR="001C5366" w:rsidRPr="00395073" w:rsidRDefault="001C5366" w:rsidP="00290697">
      <w:pPr>
        <w:spacing w:after="0" w:line="240" w:lineRule="auto"/>
        <w:rPr>
          <w:rFonts w:eastAsia="Times New Roman" w:cs="Calibri"/>
          <w:b/>
          <w:spacing w:val="-3"/>
          <w:sz w:val="24"/>
          <w:szCs w:val="24"/>
          <w:u w:val="single"/>
          <w:lang w:val="en-GB" w:eastAsia="hr-HR"/>
        </w:rPr>
      </w:pPr>
    </w:p>
    <w:p w14:paraId="070A1EB7" w14:textId="77777777" w:rsidR="001C5366" w:rsidRPr="00395073" w:rsidRDefault="001C5366" w:rsidP="00290697">
      <w:pPr>
        <w:spacing w:after="0" w:line="240" w:lineRule="auto"/>
        <w:rPr>
          <w:rFonts w:eastAsia="Times New Roman" w:cs="Calibri"/>
          <w:b/>
          <w:spacing w:val="-3"/>
          <w:sz w:val="24"/>
          <w:szCs w:val="24"/>
          <w:u w:val="single"/>
          <w:lang w:val="en-GB" w:eastAsia="hr-HR"/>
        </w:rPr>
      </w:pPr>
    </w:p>
    <w:p w14:paraId="2A490B47" w14:textId="77777777" w:rsidR="001C5366" w:rsidRPr="00395073" w:rsidRDefault="001C5366" w:rsidP="00290697">
      <w:pPr>
        <w:spacing w:after="0" w:line="240" w:lineRule="auto"/>
        <w:rPr>
          <w:rFonts w:eastAsia="Times New Roman" w:cs="Calibri"/>
          <w:b/>
          <w:spacing w:val="-3"/>
          <w:sz w:val="24"/>
          <w:szCs w:val="24"/>
          <w:u w:val="single"/>
          <w:lang w:val="en-GB" w:eastAsia="hr-HR"/>
        </w:rPr>
      </w:pPr>
    </w:p>
    <w:p w14:paraId="4F42707E" w14:textId="77777777" w:rsidR="001C5366" w:rsidRPr="00395073" w:rsidRDefault="001C5366" w:rsidP="00290697">
      <w:pPr>
        <w:spacing w:after="0" w:line="240" w:lineRule="auto"/>
        <w:rPr>
          <w:rFonts w:eastAsia="Times New Roman" w:cs="Calibri"/>
          <w:b/>
          <w:spacing w:val="-3"/>
          <w:sz w:val="24"/>
          <w:szCs w:val="24"/>
          <w:u w:val="single"/>
          <w:lang w:val="en-GB" w:eastAsia="hr-HR"/>
        </w:rPr>
      </w:pPr>
    </w:p>
    <w:p w14:paraId="42E27979" w14:textId="77777777" w:rsidR="001C5366" w:rsidRPr="00395073" w:rsidRDefault="001C5366" w:rsidP="00290697">
      <w:pPr>
        <w:spacing w:after="0" w:line="240" w:lineRule="auto"/>
        <w:rPr>
          <w:rFonts w:eastAsia="Times New Roman" w:cs="Calibri"/>
          <w:b/>
          <w:spacing w:val="-3"/>
          <w:sz w:val="24"/>
          <w:szCs w:val="24"/>
          <w:u w:val="single"/>
          <w:lang w:val="en-GB" w:eastAsia="hr-HR"/>
        </w:rPr>
      </w:pPr>
    </w:p>
    <w:p w14:paraId="055AFFC9" w14:textId="77777777" w:rsidR="00C21778" w:rsidRPr="00395073" w:rsidRDefault="00C21778" w:rsidP="00290697">
      <w:pPr>
        <w:spacing w:after="0" w:line="240" w:lineRule="auto"/>
        <w:rPr>
          <w:rFonts w:eastAsia="Times New Roman" w:cs="Calibri"/>
          <w:b/>
          <w:spacing w:val="-3"/>
          <w:sz w:val="24"/>
          <w:szCs w:val="24"/>
          <w:u w:val="single"/>
          <w:lang w:val="en-GB" w:eastAsia="hr-HR"/>
        </w:rPr>
      </w:pPr>
    </w:p>
    <w:p w14:paraId="0F1379EB" w14:textId="77777777" w:rsidR="007438B4" w:rsidRPr="00395073" w:rsidRDefault="007438B4" w:rsidP="00290697">
      <w:pPr>
        <w:spacing w:after="0" w:line="240" w:lineRule="auto"/>
        <w:rPr>
          <w:rFonts w:eastAsia="Times New Roman" w:cs="Calibri"/>
          <w:b/>
          <w:spacing w:val="-3"/>
          <w:sz w:val="24"/>
          <w:szCs w:val="24"/>
          <w:u w:val="single"/>
          <w:lang w:val="en-GB" w:eastAsia="hr-HR"/>
        </w:rPr>
      </w:pPr>
    </w:p>
    <w:p w14:paraId="7938F32D" w14:textId="77777777" w:rsidR="007438B4" w:rsidRPr="00395073" w:rsidRDefault="007438B4" w:rsidP="00290697">
      <w:pPr>
        <w:spacing w:after="0" w:line="240" w:lineRule="auto"/>
        <w:rPr>
          <w:rFonts w:eastAsia="Times New Roman" w:cs="Calibri"/>
          <w:b/>
          <w:spacing w:val="-3"/>
          <w:sz w:val="24"/>
          <w:szCs w:val="24"/>
          <w:u w:val="single"/>
          <w:lang w:val="en-GB" w:eastAsia="hr-HR"/>
        </w:rPr>
      </w:pPr>
    </w:p>
    <w:p w14:paraId="18D5F824" w14:textId="77777777" w:rsidR="007438B4" w:rsidRPr="00395073" w:rsidRDefault="007438B4" w:rsidP="00290697">
      <w:pPr>
        <w:spacing w:after="0" w:line="240" w:lineRule="auto"/>
        <w:rPr>
          <w:rFonts w:eastAsia="Times New Roman" w:cs="Calibri"/>
          <w:b/>
          <w:spacing w:val="-3"/>
          <w:sz w:val="24"/>
          <w:szCs w:val="24"/>
          <w:u w:val="single"/>
          <w:lang w:val="en-GB" w:eastAsia="hr-HR"/>
        </w:rPr>
      </w:pPr>
    </w:p>
    <w:p w14:paraId="639D3B0B" w14:textId="77777777" w:rsidR="00C21778" w:rsidRPr="00395073" w:rsidRDefault="00C21778" w:rsidP="00290697">
      <w:pPr>
        <w:spacing w:after="0" w:line="240" w:lineRule="auto"/>
        <w:rPr>
          <w:rFonts w:eastAsia="Times New Roman" w:cs="Calibri"/>
          <w:b/>
          <w:spacing w:val="-3"/>
          <w:sz w:val="24"/>
          <w:szCs w:val="24"/>
          <w:u w:val="single"/>
          <w:lang w:val="en-GB" w:eastAsia="hr-HR"/>
        </w:rPr>
      </w:pPr>
    </w:p>
    <w:p w14:paraId="21EEF728" w14:textId="77777777" w:rsidR="00C21778" w:rsidRPr="00395073" w:rsidRDefault="00C21778" w:rsidP="00290697">
      <w:pPr>
        <w:spacing w:after="0" w:line="240" w:lineRule="auto"/>
        <w:rPr>
          <w:rFonts w:eastAsia="Times New Roman" w:cs="Calibri"/>
          <w:b/>
          <w:spacing w:val="-3"/>
          <w:sz w:val="24"/>
          <w:szCs w:val="24"/>
          <w:u w:val="single"/>
          <w:lang w:val="en-GB" w:eastAsia="hr-HR"/>
        </w:rPr>
      </w:pPr>
    </w:p>
    <w:p w14:paraId="678C6B0F" w14:textId="77777777" w:rsidR="007438B4" w:rsidRPr="00395073" w:rsidRDefault="007438B4" w:rsidP="00290697">
      <w:pPr>
        <w:spacing w:after="0" w:line="240" w:lineRule="auto"/>
        <w:rPr>
          <w:rFonts w:eastAsia="Times New Roman" w:cs="Calibri"/>
          <w:b/>
          <w:spacing w:val="-3"/>
          <w:sz w:val="24"/>
          <w:szCs w:val="24"/>
          <w:u w:val="single"/>
          <w:lang w:val="en-GB" w:eastAsia="hr-HR"/>
        </w:rPr>
      </w:pPr>
    </w:p>
    <w:p w14:paraId="10F3FAC4" w14:textId="77777777" w:rsidR="007438B4" w:rsidRPr="00395073" w:rsidRDefault="007438B4" w:rsidP="00290697">
      <w:pPr>
        <w:spacing w:after="0" w:line="240" w:lineRule="auto"/>
        <w:rPr>
          <w:rFonts w:eastAsia="Times New Roman" w:cs="Calibri"/>
          <w:b/>
          <w:spacing w:val="-3"/>
          <w:sz w:val="24"/>
          <w:szCs w:val="24"/>
          <w:u w:val="single"/>
          <w:lang w:val="en-GB" w:eastAsia="hr-HR"/>
        </w:rPr>
      </w:pPr>
    </w:p>
    <w:p w14:paraId="7AE7DC49" w14:textId="77777777" w:rsidR="007438B4" w:rsidRPr="00395073" w:rsidRDefault="007438B4" w:rsidP="00290697">
      <w:pPr>
        <w:spacing w:after="0" w:line="240" w:lineRule="auto"/>
        <w:rPr>
          <w:rFonts w:eastAsia="Times New Roman" w:cs="Calibri"/>
          <w:b/>
          <w:spacing w:val="-3"/>
          <w:sz w:val="24"/>
          <w:szCs w:val="24"/>
          <w:u w:val="single"/>
          <w:lang w:val="en-GB" w:eastAsia="hr-HR"/>
        </w:rPr>
      </w:pPr>
    </w:p>
    <w:p w14:paraId="2BFAC75E" w14:textId="77777777" w:rsidR="00AB1895" w:rsidRPr="00395073" w:rsidRDefault="00AB1895" w:rsidP="00AB1895">
      <w:pPr>
        <w:tabs>
          <w:tab w:val="left" w:pos="-720"/>
          <w:tab w:val="left" w:pos="426"/>
        </w:tabs>
        <w:suppressAutoHyphens/>
        <w:spacing w:after="0" w:line="240" w:lineRule="auto"/>
        <w:jc w:val="center"/>
        <w:rPr>
          <w:rFonts w:eastAsia="Times New Roman" w:cs="Calibri"/>
          <w:b/>
          <w:spacing w:val="-3"/>
          <w:sz w:val="28"/>
          <w:szCs w:val="28"/>
          <w:u w:val="single"/>
          <w:lang w:val="en-GB" w:eastAsia="hr-HR"/>
        </w:rPr>
      </w:pPr>
      <w:r w:rsidRPr="00395073">
        <w:rPr>
          <w:rFonts w:ascii="Calibri" w:eastAsia="Times New Roman" w:hAnsi="Calibri" w:cs="Arial"/>
          <w:b/>
          <w:sz w:val="28"/>
          <w:szCs w:val="28"/>
          <w:lang w:val="en-GB"/>
        </w:rPr>
        <w:t>RESULTS OF THE GROUP</w:t>
      </w:r>
    </w:p>
    <w:p w14:paraId="4EBF3BE3" w14:textId="77777777" w:rsidR="00B37082" w:rsidRPr="00395073" w:rsidRDefault="00B37082">
      <w:pPr>
        <w:rPr>
          <w:rFonts w:eastAsia="Times New Roman" w:cs="Calibri"/>
          <w:b/>
          <w:spacing w:val="-3"/>
          <w:sz w:val="24"/>
          <w:szCs w:val="24"/>
          <w:u w:val="single"/>
          <w:lang w:val="en-GB" w:eastAsia="hr-HR"/>
        </w:rPr>
        <w:sectPr w:rsidR="00B37082" w:rsidRPr="00395073" w:rsidSect="00C23C95">
          <w:footerReference w:type="first" r:id="rId10"/>
          <w:pgSz w:w="11906" w:h="16838" w:code="9"/>
          <w:pgMar w:top="863" w:right="1133" w:bottom="1417" w:left="1417" w:header="709" w:footer="709" w:gutter="0"/>
          <w:cols w:space="708"/>
          <w:titlePg/>
          <w:docGrid w:linePitch="360"/>
        </w:sectPr>
      </w:pPr>
    </w:p>
    <w:p w14:paraId="19694C08" w14:textId="77777777" w:rsidR="001D2396" w:rsidRPr="00395073" w:rsidRDefault="001D2396">
      <w:pPr>
        <w:rPr>
          <w:rFonts w:eastAsia="Times New Roman" w:cs="Calibri"/>
          <w:b/>
          <w:spacing w:val="-3"/>
          <w:sz w:val="24"/>
          <w:szCs w:val="24"/>
          <w:u w:val="single"/>
          <w:lang w:val="en-GB" w:eastAsia="hr-HR"/>
        </w:rPr>
      </w:pPr>
    </w:p>
    <w:p w14:paraId="77969D34" w14:textId="77777777" w:rsidR="00D06365" w:rsidRPr="00395073" w:rsidRDefault="00D06365" w:rsidP="00C23C95">
      <w:pPr>
        <w:tabs>
          <w:tab w:val="left" w:pos="-720"/>
          <w:tab w:val="left" w:pos="426"/>
        </w:tabs>
        <w:suppressAutoHyphens/>
        <w:spacing w:after="0" w:line="240" w:lineRule="auto"/>
        <w:jc w:val="center"/>
        <w:rPr>
          <w:rFonts w:eastAsia="Times New Roman" w:cs="Calibri"/>
          <w:b/>
          <w:caps/>
          <w:spacing w:val="-3"/>
          <w:sz w:val="26"/>
          <w:szCs w:val="26"/>
          <w:lang w:val="en-GB" w:eastAsia="hr-HR"/>
        </w:rPr>
      </w:pPr>
    </w:p>
    <w:p w14:paraId="6819CCF9" w14:textId="77777777" w:rsidR="00AB1895" w:rsidRPr="00395073" w:rsidRDefault="00AB1895" w:rsidP="00AB1895">
      <w:pPr>
        <w:tabs>
          <w:tab w:val="left" w:pos="-720"/>
          <w:tab w:val="left" w:pos="426"/>
        </w:tabs>
        <w:suppressAutoHyphens/>
        <w:spacing w:after="0" w:line="240" w:lineRule="auto"/>
        <w:jc w:val="center"/>
        <w:rPr>
          <w:rFonts w:eastAsia="Times New Roman" w:cs="Calibri"/>
          <w:b/>
          <w:caps/>
          <w:spacing w:val="-3"/>
          <w:sz w:val="26"/>
          <w:szCs w:val="26"/>
          <w:lang w:val="en-GB" w:eastAsia="hr-HR"/>
        </w:rPr>
      </w:pPr>
      <w:r w:rsidRPr="00395073">
        <w:rPr>
          <w:rFonts w:eastAsia="Times New Roman" w:cs="Calibri"/>
          <w:b/>
          <w:caps/>
          <w:spacing w:val="-3"/>
          <w:sz w:val="26"/>
          <w:szCs w:val="26"/>
          <w:lang w:val="en-GB" w:eastAsia="hr-HR"/>
        </w:rPr>
        <w:t>BREAKDOWN OF THE MOST SIGNIFICANT FINANCIAL INFORMATION OF hbor GROUP</w:t>
      </w:r>
    </w:p>
    <w:p w14:paraId="40D95AAD" w14:textId="77777777" w:rsidR="00AB1895" w:rsidRPr="00395073" w:rsidRDefault="00AB1895" w:rsidP="00AB1895">
      <w:pPr>
        <w:spacing w:before="120" w:after="120"/>
        <w:ind w:left="360"/>
        <w:jc w:val="center"/>
        <w:rPr>
          <w:rFonts w:ascii="Calibri" w:hAnsi="Calibri" w:cs="Calibri"/>
          <w:lang w:val="en-GB"/>
        </w:rPr>
      </w:pPr>
      <w:r w:rsidRPr="00395073">
        <w:rPr>
          <w:rFonts w:ascii="Calibri" w:hAnsi="Calibri" w:cs="Calibri"/>
          <w:bCs/>
          <w:lang w:val="en-GB"/>
        </w:rPr>
        <w:t>-HRK millions-</w:t>
      </w:r>
    </w:p>
    <w:p w14:paraId="6D78801A" w14:textId="77777777" w:rsidR="00D845FC" w:rsidRPr="00395073" w:rsidRDefault="00D845FC" w:rsidP="001D2396">
      <w:pPr>
        <w:tabs>
          <w:tab w:val="left" w:pos="-720"/>
          <w:tab w:val="left" w:pos="426"/>
        </w:tabs>
        <w:suppressAutoHyphens/>
        <w:spacing w:after="0" w:line="240" w:lineRule="auto"/>
        <w:jc w:val="both"/>
        <w:rPr>
          <w:rFonts w:eastAsia="Times New Roman" w:cs="Calibri"/>
          <w:b/>
          <w:caps/>
          <w:spacing w:val="-3"/>
          <w:sz w:val="26"/>
          <w:szCs w:val="26"/>
          <w:lang w:val="en-GB" w:eastAsia="hr-HR"/>
        </w:rPr>
      </w:pPr>
    </w:p>
    <w:tbl>
      <w:tblPr>
        <w:tblW w:w="9115" w:type="dxa"/>
        <w:tblInd w:w="98" w:type="dxa"/>
        <w:tblLayout w:type="fixed"/>
        <w:tblLook w:val="04A0" w:firstRow="1" w:lastRow="0" w:firstColumn="1" w:lastColumn="0" w:noHBand="0" w:noVBand="1"/>
      </w:tblPr>
      <w:tblGrid>
        <w:gridCol w:w="3109"/>
        <w:gridCol w:w="2059"/>
        <w:gridCol w:w="2095"/>
        <w:gridCol w:w="1852"/>
      </w:tblGrid>
      <w:tr w:rsidR="00AA2E68" w:rsidRPr="00395073" w14:paraId="68FD1FE1" w14:textId="77777777" w:rsidTr="00020D59">
        <w:trPr>
          <w:trHeight w:val="270"/>
        </w:trPr>
        <w:tc>
          <w:tcPr>
            <w:tcW w:w="3109" w:type="dxa"/>
            <w:tcBorders>
              <w:top w:val="single" w:sz="8" w:space="0" w:color="808080"/>
              <w:left w:val="single" w:sz="8" w:space="0" w:color="808080"/>
              <w:bottom w:val="single" w:sz="8" w:space="0" w:color="999999"/>
              <w:right w:val="single" w:sz="8" w:space="0" w:color="999999"/>
            </w:tcBorders>
            <w:shd w:val="clear" w:color="000000" w:fill="FFFFFF"/>
            <w:vAlign w:val="center"/>
            <w:hideMark/>
          </w:tcPr>
          <w:p w14:paraId="42D75CCE" w14:textId="77777777" w:rsidR="00AA2E68" w:rsidRPr="00395073" w:rsidRDefault="00AA2E68" w:rsidP="00AA2E68">
            <w:pPr>
              <w:spacing w:after="0" w:line="240" w:lineRule="auto"/>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 </w:t>
            </w:r>
          </w:p>
        </w:tc>
        <w:tc>
          <w:tcPr>
            <w:tcW w:w="2059" w:type="dxa"/>
            <w:tcBorders>
              <w:top w:val="single" w:sz="8" w:space="0" w:color="808080"/>
              <w:left w:val="nil"/>
              <w:bottom w:val="single" w:sz="8" w:space="0" w:color="999999"/>
              <w:right w:val="single" w:sz="8" w:space="0" w:color="999999"/>
            </w:tcBorders>
            <w:shd w:val="clear" w:color="000000" w:fill="FFFFFF"/>
            <w:vAlign w:val="center"/>
          </w:tcPr>
          <w:p w14:paraId="5B103250" w14:textId="77777777" w:rsidR="00AA2E68" w:rsidRPr="00395073" w:rsidRDefault="00E55D24" w:rsidP="00020D59">
            <w:pPr>
              <w:spacing w:after="0" w:line="240" w:lineRule="auto"/>
              <w:jc w:val="right"/>
              <w:rPr>
                <w:rFonts w:ascii="Calibri" w:eastAsia="Times New Roman" w:hAnsi="Calibri" w:cs="Times New Roman"/>
                <w:b/>
                <w:bCs/>
                <w:color w:val="000000"/>
                <w:sz w:val="24"/>
                <w:szCs w:val="24"/>
                <w:lang w:val="en-GB" w:eastAsia="hr-HR"/>
              </w:rPr>
            </w:pPr>
            <w:r w:rsidRPr="00395073">
              <w:rPr>
                <w:rFonts w:ascii="Calibri" w:eastAsia="Times New Roman" w:hAnsi="Calibri" w:cs="Times New Roman"/>
                <w:b/>
                <w:bCs/>
                <w:color w:val="000000"/>
                <w:sz w:val="24"/>
                <w:szCs w:val="24"/>
                <w:lang w:val="en-GB" w:eastAsia="hr-HR"/>
              </w:rPr>
              <w:t>2016</w:t>
            </w:r>
          </w:p>
        </w:tc>
        <w:tc>
          <w:tcPr>
            <w:tcW w:w="2095" w:type="dxa"/>
            <w:tcBorders>
              <w:top w:val="single" w:sz="8" w:space="0" w:color="808080"/>
              <w:left w:val="nil"/>
              <w:bottom w:val="single" w:sz="8" w:space="0" w:color="999999"/>
              <w:right w:val="single" w:sz="8" w:space="0" w:color="808080"/>
            </w:tcBorders>
            <w:shd w:val="clear" w:color="000000" w:fill="FFFFFF"/>
            <w:vAlign w:val="center"/>
          </w:tcPr>
          <w:p w14:paraId="1766FAFC" w14:textId="77777777" w:rsidR="00AA2E68" w:rsidRPr="00395073" w:rsidRDefault="00E55D24" w:rsidP="00020D59">
            <w:pPr>
              <w:spacing w:after="0" w:line="240" w:lineRule="auto"/>
              <w:jc w:val="right"/>
              <w:rPr>
                <w:rFonts w:ascii="Calibri" w:eastAsia="Times New Roman" w:hAnsi="Calibri" w:cs="Times New Roman"/>
                <w:b/>
                <w:bCs/>
                <w:color w:val="000000"/>
                <w:sz w:val="24"/>
                <w:szCs w:val="24"/>
                <w:lang w:val="en-GB" w:eastAsia="hr-HR"/>
              </w:rPr>
            </w:pPr>
            <w:r w:rsidRPr="00395073">
              <w:rPr>
                <w:rFonts w:ascii="Calibri" w:eastAsia="Times New Roman" w:hAnsi="Calibri" w:cs="Times New Roman"/>
                <w:b/>
                <w:bCs/>
                <w:color w:val="000000"/>
                <w:sz w:val="24"/>
                <w:szCs w:val="24"/>
                <w:lang w:val="en-GB" w:eastAsia="hr-HR"/>
              </w:rPr>
              <w:t>2017</w:t>
            </w:r>
          </w:p>
        </w:tc>
        <w:tc>
          <w:tcPr>
            <w:tcW w:w="1852" w:type="dxa"/>
            <w:tcBorders>
              <w:top w:val="single" w:sz="8" w:space="0" w:color="808080"/>
              <w:left w:val="single" w:sz="8" w:space="0" w:color="808080"/>
              <w:bottom w:val="single" w:sz="8" w:space="0" w:color="999999"/>
              <w:right w:val="single" w:sz="8" w:space="0" w:color="999999"/>
            </w:tcBorders>
            <w:shd w:val="clear" w:color="000000" w:fill="FFFFFF"/>
            <w:vAlign w:val="center"/>
          </w:tcPr>
          <w:p w14:paraId="64B759CE" w14:textId="77777777" w:rsidR="00AA2E68" w:rsidRPr="00395073" w:rsidRDefault="00FE3AEC" w:rsidP="00020D59">
            <w:pPr>
              <w:spacing w:after="0" w:line="240" w:lineRule="auto"/>
              <w:jc w:val="right"/>
              <w:rPr>
                <w:rFonts w:ascii="Calibri" w:eastAsia="Times New Roman" w:hAnsi="Calibri" w:cs="Times New Roman"/>
                <w:b/>
                <w:bCs/>
                <w:color w:val="000000"/>
                <w:sz w:val="24"/>
                <w:szCs w:val="24"/>
                <w:lang w:val="en-GB" w:eastAsia="hr-HR"/>
              </w:rPr>
            </w:pPr>
            <w:r w:rsidRPr="00395073">
              <w:rPr>
                <w:rFonts w:ascii="Calibri" w:eastAsia="Times New Roman" w:hAnsi="Calibri" w:cs="Times New Roman"/>
                <w:b/>
                <w:bCs/>
                <w:color w:val="000000"/>
                <w:sz w:val="24"/>
                <w:szCs w:val="24"/>
                <w:lang w:val="en-GB" w:eastAsia="hr-HR"/>
              </w:rPr>
              <w:t xml:space="preserve">30 </w:t>
            </w:r>
            <w:r w:rsidR="00A14E1D" w:rsidRPr="00395073">
              <w:rPr>
                <w:rFonts w:ascii="Calibri" w:eastAsia="Times New Roman" w:hAnsi="Calibri" w:cs="Times New Roman"/>
                <w:b/>
                <w:bCs/>
                <w:color w:val="000000"/>
                <w:sz w:val="24"/>
                <w:szCs w:val="24"/>
                <w:lang w:val="en-GB" w:eastAsia="hr-HR"/>
              </w:rPr>
              <w:t xml:space="preserve">September </w:t>
            </w:r>
            <w:r w:rsidRPr="00395073">
              <w:rPr>
                <w:rFonts w:ascii="Calibri" w:eastAsia="Times New Roman" w:hAnsi="Calibri" w:cs="Times New Roman"/>
                <w:b/>
                <w:bCs/>
                <w:color w:val="000000"/>
                <w:sz w:val="24"/>
                <w:szCs w:val="24"/>
                <w:lang w:val="en-GB" w:eastAsia="hr-HR"/>
              </w:rPr>
              <w:t>2018</w:t>
            </w:r>
          </w:p>
        </w:tc>
      </w:tr>
      <w:tr w:rsidR="00592331" w:rsidRPr="00395073" w14:paraId="57542C6E" w14:textId="77777777" w:rsidTr="00020D59">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hideMark/>
          </w:tcPr>
          <w:p w14:paraId="51BCF818" w14:textId="77777777" w:rsidR="00592331" w:rsidRPr="00395073" w:rsidRDefault="00592331" w:rsidP="00592331">
            <w:pPr>
              <w:spacing w:after="0" w:line="240" w:lineRule="auto"/>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Total assets</w:t>
            </w:r>
          </w:p>
        </w:tc>
        <w:tc>
          <w:tcPr>
            <w:tcW w:w="2059" w:type="dxa"/>
            <w:tcBorders>
              <w:top w:val="single" w:sz="8" w:space="0" w:color="999999"/>
              <w:left w:val="single" w:sz="6" w:space="0" w:color="999999"/>
              <w:bottom w:val="single" w:sz="8" w:space="0" w:color="999999"/>
              <w:right w:val="single" w:sz="8" w:space="0" w:color="999999"/>
            </w:tcBorders>
            <w:shd w:val="clear" w:color="auto" w:fill="FFFFFF"/>
            <w:vAlign w:val="center"/>
          </w:tcPr>
          <w:p w14:paraId="59868623"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27,390.82</w:t>
            </w:r>
          </w:p>
        </w:tc>
        <w:tc>
          <w:tcPr>
            <w:tcW w:w="2095" w:type="dxa"/>
            <w:tcBorders>
              <w:top w:val="single" w:sz="8" w:space="0" w:color="999999"/>
              <w:left w:val="single" w:sz="8" w:space="0" w:color="999999"/>
              <w:bottom w:val="single" w:sz="8" w:space="0" w:color="999999"/>
              <w:right w:val="single" w:sz="8" w:space="0" w:color="999999"/>
            </w:tcBorders>
            <w:shd w:val="clear" w:color="auto" w:fill="FFFFFF"/>
            <w:vAlign w:val="bottom"/>
          </w:tcPr>
          <w:p w14:paraId="18D4C941"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28,075.56</w:t>
            </w:r>
          </w:p>
        </w:tc>
        <w:tc>
          <w:tcPr>
            <w:tcW w:w="1852" w:type="dxa"/>
            <w:tcBorders>
              <w:top w:val="single" w:sz="8" w:space="0" w:color="999999"/>
              <w:left w:val="single" w:sz="8" w:space="0" w:color="999999"/>
              <w:bottom w:val="single" w:sz="8" w:space="0" w:color="999999"/>
              <w:right w:val="single" w:sz="8" w:space="0" w:color="999999"/>
            </w:tcBorders>
            <w:shd w:val="clear" w:color="000000" w:fill="FFFFFF"/>
            <w:vAlign w:val="bottom"/>
          </w:tcPr>
          <w:p w14:paraId="3639829A"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hAnsi="Calibri"/>
                <w:color w:val="000000"/>
                <w:sz w:val="24"/>
                <w:szCs w:val="24"/>
                <w:lang w:val="en-GB"/>
              </w:rPr>
              <w:t>27,091.02</w:t>
            </w:r>
          </w:p>
        </w:tc>
      </w:tr>
      <w:tr w:rsidR="00592331" w:rsidRPr="00395073" w14:paraId="1FDE9A4A" w14:textId="77777777" w:rsidTr="00020D59">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hideMark/>
          </w:tcPr>
          <w:p w14:paraId="533953AC" w14:textId="77777777" w:rsidR="00592331" w:rsidRPr="00395073" w:rsidRDefault="00592331" w:rsidP="00592331">
            <w:pPr>
              <w:spacing w:after="0" w:line="240" w:lineRule="auto"/>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Gross loans</w:t>
            </w:r>
          </w:p>
        </w:tc>
        <w:tc>
          <w:tcPr>
            <w:tcW w:w="2059" w:type="dxa"/>
            <w:tcBorders>
              <w:top w:val="single" w:sz="8" w:space="0" w:color="999999"/>
              <w:left w:val="single" w:sz="6" w:space="0" w:color="999999"/>
              <w:bottom w:val="single" w:sz="8" w:space="0" w:color="999999"/>
              <w:right w:val="single" w:sz="8" w:space="0" w:color="999999"/>
            </w:tcBorders>
            <w:shd w:val="clear" w:color="auto" w:fill="FFFFFF"/>
            <w:vAlign w:val="center"/>
          </w:tcPr>
          <w:p w14:paraId="594BD3E9"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26,343.12</w:t>
            </w:r>
          </w:p>
        </w:tc>
        <w:tc>
          <w:tcPr>
            <w:tcW w:w="2095" w:type="dxa"/>
            <w:tcBorders>
              <w:top w:val="single" w:sz="8" w:space="0" w:color="999999"/>
              <w:left w:val="single" w:sz="8" w:space="0" w:color="999999"/>
              <w:bottom w:val="single" w:sz="8" w:space="0" w:color="999999"/>
              <w:right w:val="single" w:sz="8" w:space="0" w:color="999999"/>
            </w:tcBorders>
            <w:shd w:val="clear" w:color="auto" w:fill="FFFFFF"/>
            <w:vAlign w:val="bottom"/>
          </w:tcPr>
          <w:p w14:paraId="4D0D7719"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26,332.99</w:t>
            </w:r>
          </w:p>
        </w:tc>
        <w:tc>
          <w:tcPr>
            <w:tcW w:w="1852" w:type="dxa"/>
            <w:tcBorders>
              <w:top w:val="single" w:sz="8" w:space="0" w:color="999999"/>
              <w:left w:val="single" w:sz="8" w:space="0" w:color="999999"/>
              <w:bottom w:val="single" w:sz="8" w:space="0" w:color="999999"/>
              <w:right w:val="single" w:sz="8" w:space="0" w:color="999999"/>
            </w:tcBorders>
            <w:shd w:val="clear" w:color="000000" w:fill="FFFFFF"/>
            <w:vAlign w:val="bottom"/>
          </w:tcPr>
          <w:p w14:paraId="189ED1AD"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hAnsi="Calibri"/>
                <w:color w:val="000000"/>
                <w:sz w:val="24"/>
                <w:szCs w:val="24"/>
                <w:lang w:val="en-GB"/>
              </w:rPr>
              <w:t>25,863.02</w:t>
            </w:r>
          </w:p>
        </w:tc>
      </w:tr>
      <w:tr w:rsidR="00592331" w:rsidRPr="00395073" w14:paraId="5CB2F5A8" w14:textId="77777777" w:rsidTr="00020D59">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hideMark/>
          </w:tcPr>
          <w:p w14:paraId="39D1C474" w14:textId="485951B2" w:rsidR="00592331" w:rsidRPr="00395073" w:rsidRDefault="00592331" w:rsidP="00592331">
            <w:pPr>
              <w:spacing w:after="0" w:line="240" w:lineRule="auto"/>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Total equ</w:t>
            </w:r>
            <w:r w:rsidR="00342F55">
              <w:rPr>
                <w:rFonts w:ascii="Calibri" w:eastAsia="Times New Roman" w:hAnsi="Calibri" w:cs="Times New Roman"/>
                <w:color w:val="000000"/>
                <w:sz w:val="24"/>
                <w:szCs w:val="24"/>
                <w:lang w:val="en-GB" w:eastAsia="hr-HR"/>
              </w:rPr>
              <w:t>i</w:t>
            </w:r>
            <w:r w:rsidRPr="00395073">
              <w:rPr>
                <w:rFonts w:ascii="Calibri" w:eastAsia="Times New Roman" w:hAnsi="Calibri" w:cs="Times New Roman"/>
                <w:color w:val="000000"/>
                <w:sz w:val="24"/>
                <w:szCs w:val="24"/>
                <w:lang w:val="en-GB" w:eastAsia="hr-HR"/>
              </w:rPr>
              <w:t>ty</w:t>
            </w:r>
          </w:p>
        </w:tc>
        <w:tc>
          <w:tcPr>
            <w:tcW w:w="2059" w:type="dxa"/>
            <w:tcBorders>
              <w:top w:val="single" w:sz="8" w:space="0" w:color="999999"/>
              <w:left w:val="single" w:sz="6" w:space="0" w:color="999999"/>
              <w:bottom w:val="single" w:sz="8" w:space="0" w:color="999999"/>
              <w:right w:val="single" w:sz="8" w:space="0" w:color="999999"/>
            </w:tcBorders>
            <w:shd w:val="clear" w:color="auto" w:fill="FFFFFF"/>
            <w:vAlign w:val="center"/>
          </w:tcPr>
          <w:p w14:paraId="3F6A5920"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10,042.70</w:t>
            </w:r>
          </w:p>
        </w:tc>
        <w:tc>
          <w:tcPr>
            <w:tcW w:w="2095" w:type="dxa"/>
            <w:tcBorders>
              <w:top w:val="single" w:sz="8" w:space="0" w:color="999999"/>
              <w:left w:val="single" w:sz="8" w:space="0" w:color="999999"/>
              <w:bottom w:val="single" w:sz="8" w:space="0" w:color="999999"/>
              <w:right w:val="single" w:sz="8" w:space="0" w:color="999999"/>
            </w:tcBorders>
            <w:shd w:val="clear" w:color="auto" w:fill="FFFFFF"/>
            <w:vAlign w:val="bottom"/>
          </w:tcPr>
          <w:p w14:paraId="6DEA094C"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10,275.78</w:t>
            </w:r>
          </w:p>
        </w:tc>
        <w:tc>
          <w:tcPr>
            <w:tcW w:w="1852" w:type="dxa"/>
            <w:tcBorders>
              <w:top w:val="single" w:sz="8" w:space="0" w:color="999999"/>
              <w:left w:val="single" w:sz="8" w:space="0" w:color="999999"/>
              <w:bottom w:val="single" w:sz="8" w:space="0" w:color="999999"/>
              <w:right w:val="single" w:sz="8" w:space="0" w:color="999999"/>
            </w:tcBorders>
            <w:shd w:val="clear" w:color="000000" w:fill="FFFFFF"/>
            <w:vAlign w:val="bottom"/>
          </w:tcPr>
          <w:p w14:paraId="46739F4C"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hAnsi="Calibri"/>
                <w:color w:val="000000"/>
                <w:sz w:val="24"/>
                <w:szCs w:val="24"/>
                <w:lang w:val="en-GB"/>
              </w:rPr>
              <w:t>9,959.75</w:t>
            </w:r>
          </w:p>
        </w:tc>
      </w:tr>
      <w:tr w:rsidR="00592331" w:rsidRPr="00395073" w14:paraId="6B0C30F1" w14:textId="77777777" w:rsidTr="005B0B84">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hideMark/>
          </w:tcPr>
          <w:p w14:paraId="58872012" w14:textId="77777777" w:rsidR="00592331" w:rsidRPr="00395073" w:rsidRDefault="00592331" w:rsidP="00592331">
            <w:pPr>
              <w:spacing w:after="0" w:line="240" w:lineRule="auto"/>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 </w:t>
            </w:r>
          </w:p>
        </w:tc>
        <w:tc>
          <w:tcPr>
            <w:tcW w:w="2059" w:type="dxa"/>
            <w:tcBorders>
              <w:top w:val="single" w:sz="8" w:space="0" w:color="999999"/>
              <w:left w:val="nil"/>
              <w:bottom w:val="single" w:sz="8" w:space="0" w:color="999999"/>
              <w:right w:val="single" w:sz="8" w:space="0" w:color="999999"/>
            </w:tcBorders>
            <w:shd w:val="clear" w:color="000000" w:fill="FFFFFF"/>
            <w:vAlign w:val="center"/>
          </w:tcPr>
          <w:p w14:paraId="52E63DE9"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p>
        </w:tc>
        <w:tc>
          <w:tcPr>
            <w:tcW w:w="2095" w:type="dxa"/>
            <w:tcBorders>
              <w:top w:val="single" w:sz="8" w:space="0" w:color="999999"/>
              <w:left w:val="nil"/>
              <w:bottom w:val="single" w:sz="8" w:space="0" w:color="999999"/>
              <w:right w:val="single" w:sz="8" w:space="0" w:color="999999"/>
            </w:tcBorders>
            <w:shd w:val="clear" w:color="000000" w:fill="FFFFFF"/>
          </w:tcPr>
          <w:p w14:paraId="65E1F8A5"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p>
        </w:tc>
        <w:tc>
          <w:tcPr>
            <w:tcW w:w="1852" w:type="dxa"/>
            <w:tcBorders>
              <w:top w:val="single" w:sz="8" w:space="0" w:color="999999"/>
              <w:left w:val="single" w:sz="8" w:space="0" w:color="999999"/>
              <w:bottom w:val="single" w:sz="8" w:space="0" w:color="999999"/>
              <w:right w:val="single" w:sz="8" w:space="0" w:color="999999"/>
            </w:tcBorders>
            <w:shd w:val="clear" w:color="000000" w:fill="FFFFFF"/>
          </w:tcPr>
          <w:p w14:paraId="290CCC73"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p>
        </w:tc>
      </w:tr>
      <w:tr w:rsidR="00592331" w:rsidRPr="00395073" w14:paraId="3B2DE253" w14:textId="77777777" w:rsidTr="00020D59">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tcPr>
          <w:p w14:paraId="4DBE6D3C" w14:textId="77777777" w:rsidR="00592331" w:rsidRPr="00395073" w:rsidRDefault="00592331" w:rsidP="00592331">
            <w:pPr>
              <w:spacing w:after="0" w:line="240" w:lineRule="auto"/>
              <w:rPr>
                <w:rFonts w:ascii="Calibri" w:eastAsia="Times New Roman" w:hAnsi="Calibri" w:cs="Times New Roman"/>
                <w:color w:val="000000"/>
                <w:sz w:val="24"/>
                <w:szCs w:val="24"/>
                <w:lang w:val="en-GB" w:eastAsia="hr-HR"/>
              </w:rPr>
            </w:pPr>
          </w:p>
        </w:tc>
        <w:tc>
          <w:tcPr>
            <w:tcW w:w="2059" w:type="dxa"/>
            <w:tcBorders>
              <w:top w:val="nil"/>
              <w:left w:val="nil"/>
              <w:bottom w:val="single" w:sz="8" w:space="0" w:color="999999"/>
              <w:right w:val="single" w:sz="8" w:space="0" w:color="999999"/>
            </w:tcBorders>
            <w:shd w:val="clear" w:color="000000" w:fill="FFFFFF"/>
            <w:vAlign w:val="center"/>
          </w:tcPr>
          <w:p w14:paraId="1D716EFD" w14:textId="77777777" w:rsidR="00592331" w:rsidRPr="00395073" w:rsidRDefault="00592331" w:rsidP="00395073">
            <w:pPr>
              <w:spacing w:after="0" w:line="240" w:lineRule="auto"/>
              <w:jc w:val="right"/>
              <w:rPr>
                <w:rFonts w:ascii="Calibri" w:eastAsia="Times New Roman" w:hAnsi="Calibri" w:cs="Times New Roman"/>
                <w:color w:val="000000"/>
                <w:sz w:val="24"/>
                <w:szCs w:val="24"/>
                <w:lang w:val="en-GB" w:eastAsia="hr-HR"/>
              </w:rPr>
            </w:pPr>
            <w:r w:rsidRPr="00395073">
              <w:rPr>
                <w:rFonts w:ascii="Calibri" w:eastAsia="Times New Roman" w:hAnsi="Calibri" w:cs="Times New Roman"/>
                <w:b/>
                <w:bCs/>
                <w:color w:val="000000"/>
                <w:sz w:val="24"/>
                <w:szCs w:val="24"/>
                <w:lang w:val="en-GB" w:eastAsia="hr-HR"/>
              </w:rPr>
              <w:t>30 September 2016</w:t>
            </w:r>
          </w:p>
        </w:tc>
        <w:tc>
          <w:tcPr>
            <w:tcW w:w="2095" w:type="dxa"/>
            <w:tcBorders>
              <w:top w:val="single" w:sz="8" w:space="0" w:color="999999"/>
              <w:left w:val="nil"/>
              <w:bottom w:val="single" w:sz="8" w:space="0" w:color="999999"/>
              <w:right w:val="single" w:sz="8" w:space="0" w:color="999999"/>
            </w:tcBorders>
            <w:shd w:val="clear" w:color="000000" w:fill="FFFFFF"/>
            <w:vAlign w:val="center"/>
          </w:tcPr>
          <w:p w14:paraId="23BBB1BC" w14:textId="77777777" w:rsidR="00592331" w:rsidRPr="00395073" w:rsidRDefault="00592331" w:rsidP="00395073">
            <w:pPr>
              <w:spacing w:after="0" w:line="240" w:lineRule="auto"/>
              <w:jc w:val="right"/>
              <w:rPr>
                <w:rFonts w:ascii="Calibri" w:hAnsi="Calibri"/>
                <w:b/>
                <w:bCs/>
                <w:color w:val="000000"/>
                <w:sz w:val="24"/>
                <w:szCs w:val="24"/>
                <w:lang w:val="en-GB"/>
              </w:rPr>
            </w:pPr>
            <w:r w:rsidRPr="00395073">
              <w:rPr>
                <w:rFonts w:ascii="Calibri" w:eastAsia="Times New Roman" w:hAnsi="Calibri" w:cs="Times New Roman"/>
                <w:b/>
                <w:bCs/>
                <w:color w:val="000000"/>
                <w:sz w:val="24"/>
                <w:szCs w:val="24"/>
                <w:lang w:val="en-GB" w:eastAsia="hr-HR"/>
              </w:rPr>
              <w:t>30 September 2017</w:t>
            </w:r>
          </w:p>
        </w:tc>
        <w:tc>
          <w:tcPr>
            <w:tcW w:w="1852" w:type="dxa"/>
            <w:tcBorders>
              <w:top w:val="single" w:sz="8" w:space="0" w:color="999999"/>
              <w:left w:val="single" w:sz="8" w:space="0" w:color="999999"/>
              <w:bottom w:val="single" w:sz="8" w:space="0" w:color="999999"/>
              <w:right w:val="single" w:sz="8" w:space="0" w:color="999999"/>
            </w:tcBorders>
            <w:shd w:val="clear" w:color="000000" w:fill="FFFFFF"/>
            <w:vAlign w:val="center"/>
          </w:tcPr>
          <w:p w14:paraId="729E3A42" w14:textId="77777777" w:rsidR="00592331" w:rsidRPr="00395073" w:rsidRDefault="00592331" w:rsidP="00395073">
            <w:pPr>
              <w:spacing w:after="0" w:line="240" w:lineRule="auto"/>
              <w:jc w:val="right"/>
              <w:rPr>
                <w:rFonts w:ascii="Calibri" w:eastAsia="Times New Roman" w:hAnsi="Calibri" w:cs="Times New Roman"/>
                <w:color w:val="000000"/>
                <w:sz w:val="24"/>
                <w:szCs w:val="24"/>
                <w:lang w:val="en-GB" w:eastAsia="hr-HR"/>
              </w:rPr>
            </w:pPr>
            <w:r w:rsidRPr="00395073">
              <w:rPr>
                <w:rFonts w:ascii="Calibri" w:eastAsia="Times New Roman" w:hAnsi="Calibri" w:cs="Times New Roman"/>
                <w:b/>
                <w:bCs/>
                <w:color w:val="000000"/>
                <w:sz w:val="24"/>
                <w:szCs w:val="24"/>
                <w:lang w:val="en-GB" w:eastAsia="hr-HR"/>
              </w:rPr>
              <w:t>30 September 2018</w:t>
            </w:r>
          </w:p>
        </w:tc>
      </w:tr>
      <w:tr w:rsidR="00592331" w:rsidRPr="00395073" w14:paraId="045D1220" w14:textId="77777777" w:rsidTr="00020D59">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hideMark/>
          </w:tcPr>
          <w:p w14:paraId="6A5056CD" w14:textId="77777777" w:rsidR="00592331" w:rsidRPr="00395073" w:rsidRDefault="00592331" w:rsidP="00592331">
            <w:pPr>
              <w:spacing w:after="0" w:line="240" w:lineRule="auto"/>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Total income</w:t>
            </w:r>
          </w:p>
        </w:tc>
        <w:tc>
          <w:tcPr>
            <w:tcW w:w="2059" w:type="dxa"/>
            <w:tcBorders>
              <w:top w:val="nil"/>
              <w:left w:val="nil"/>
              <w:bottom w:val="single" w:sz="8" w:space="0" w:color="999999"/>
              <w:right w:val="single" w:sz="8" w:space="0" w:color="999999"/>
            </w:tcBorders>
            <w:shd w:val="clear" w:color="000000" w:fill="FFFFFF"/>
            <w:vAlign w:val="center"/>
          </w:tcPr>
          <w:p w14:paraId="271EEFB5"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677.57</w:t>
            </w:r>
          </w:p>
        </w:tc>
        <w:tc>
          <w:tcPr>
            <w:tcW w:w="2095" w:type="dxa"/>
            <w:tcBorders>
              <w:top w:val="single" w:sz="8" w:space="0" w:color="999999"/>
              <w:left w:val="nil"/>
              <w:bottom w:val="single" w:sz="8" w:space="0" w:color="999999"/>
              <w:right w:val="single" w:sz="8" w:space="0" w:color="999999"/>
            </w:tcBorders>
            <w:shd w:val="clear" w:color="000000" w:fill="FFFFFF"/>
            <w:vAlign w:val="center"/>
          </w:tcPr>
          <w:p w14:paraId="68DEC88B"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705.66</w:t>
            </w:r>
          </w:p>
        </w:tc>
        <w:tc>
          <w:tcPr>
            <w:tcW w:w="1852" w:type="dxa"/>
            <w:tcBorders>
              <w:top w:val="single" w:sz="8" w:space="0" w:color="999999"/>
              <w:left w:val="single" w:sz="8" w:space="0" w:color="999999"/>
              <w:bottom w:val="single" w:sz="8" w:space="0" w:color="999999"/>
              <w:right w:val="single" w:sz="8" w:space="0" w:color="999999"/>
            </w:tcBorders>
            <w:shd w:val="clear" w:color="000000" w:fill="FFFFFF"/>
            <w:vAlign w:val="bottom"/>
          </w:tcPr>
          <w:p w14:paraId="45C07BE0"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hAnsi="Calibri"/>
                <w:color w:val="000000"/>
                <w:sz w:val="24"/>
                <w:szCs w:val="24"/>
                <w:lang w:val="en-GB"/>
              </w:rPr>
              <w:t>617.35</w:t>
            </w:r>
          </w:p>
        </w:tc>
      </w:tr>
      <w:tr w:rsidR="00592331" w:rsidRPr="00395073" w14:paraId="05C4A04B" w14:textId="77777777" w:rsidTr="00020D59">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hideMark/>
          </w:tcPr>
          <w:p w14:paraId="018D0FA0" w14:textId="77777777" w:rsidR="00592331" w:rsidRPr="00395073" w:rsidRDefault="00592331" w:rsidP="00592331">
            <w:pPr>
              <w:spacing w:after="0" w:line="240" w:lineRule="auto"/>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Total expense</w:t>
            </w:r>
          </w:p>
        </w:tc>
        <w:tc>
          <w:tcPr>
            <w:tcW w:w="2059" w:type="dxa"/>
            <w:tcBorders>
              <w:top w:val="nil"/>
              <w:left w:val="nil"/>
              <w:bottom w:val="single" w:sz="8" w:space="0" w:color="999999"/>
              <w:right w:val="single" w:sz="8" w:space="0" w:color="999999"/>
            </w:tcBorders>
            <w:shd w:val="clear" w:color="000000" w:fill="FFFFFF"/>
            <w:vAlign w:val="center"/>
          </w:tcPr>
          <w:p w14:paraId="1B9D10DE"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 xml:space="preserve">            (517.79)</w:t>
            </w:r>
          </w:p>
        </w:tc>
        <w:tc>
          <w:tcPr>
            <w:tcW w:w="2095" w:type="dxa"/>
            <w:tcBorders>
              <w:top w:val="nil"/>
              <w:left w:val="nil"/>
              <w:bottom w:val="single" w:sz="8" w:space="0" w:color="999999"/>
              <w:right w:val="single" w:sz="8" w:space="0" w:color="999999"/>
            </w:tcBorders>
            <w:shd w:val="clear" w:color="000000" w:fill="FFFFFF"/>
            <w:vAlign w:val="center"/>
          </w:tcPr>
          <w:p w14:paraId="739CE0C6"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 xml:space="preserve">            (529.12)</w:t>
            </w:r>
          </w:p>
        </w:tc>
        <w:tc>
          <w:tcPr>
            <w:tcW w:w="1852" w:type="dxa"/>
            <w:tcBorders>
              <w:top w:val="single" w:sz="8" w:space="0" w:color="999999"/>
              <w:left w:val="single" w:sz="8" w:space="0" w:color="999999"/>
              <w:bottom w:val="single" w:sz="8" w:space="0" w:color="999999"/>
              <w:right w:val="single" w:sz="8" w:space="0" w:color="999999"/>
            </w:tcBorders>
            <w:shd w:val="clear" w:color="000000" w:fill="FFFFFF"/>
            <w:vAlign w:val="bottom"/>
          </w:tcPr>
          <w:p w14:paraId="64680640"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hAnsi="Calibri"/>
                <w:color w:val="000000"/>
                <w:sz w:val="24"/>
                <w:szCs w:val="24"/>
                <w:lang w:val="en-GB"/>
              </w:rPr>
              <w:t>(518.67)</w:t>
            </w:r>
          </w:p>
        </w:tc>
      </w:tr>
      <w:tr w:rsidR="00592331" w:rsidRPr="00395073" w14:paraId="183E4FE1" w14:textId="77777777" w:rsidTr="00020D59">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hideMark/>
          </w:tcPr>
          <w:p w14:paraId="634604F5" w14:textId="77777777" w:rsidR="00592331" w:rsidRPr="00395073" w:rsidRDefault="00592331" w:rsidP="00592331">
            <w:pPr>
              <w:spacing w:after="0" w:line="240" w:lineRule="auto"/>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Profit</w:t>
            </w:r>
          </w:p>
        </w:tc>
        <w:tc>
          <w:tcPr>
            <w:tcW w:w="2059" w:type="dxa"/>
            <w:tcBorders>
              <w:top w:val="nil"/>
              <w:left w:val="nil"/>
              <w:bottom w:val="single" w:sz="8" w:space="0" w:color="999999"/>
              <w:right w:val="single" w:sz="8" w:space="0" w:color="999999"/>
            </w:tcBorders>
            <w:shd w:val="clear" w:color="000000" w:fill="FFFFFF"/>
            <w:vAlign w:val="center"/>
          </w:tcPr>
          <w:p w14:paraId="10390F30"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159.78</w:t>
            </w:r>
          </w:p>
        </w:tc>
        <w:tc>
          <w:tcPr>
            <w:tcW w:w="2095" w:type="dxa"/>
            <w:tcBorders>
              <w:top w:val="nil"/>
              <w:left w:val="nil"/>
              <w:bottom w:val="single" w:sz="8" w:space="0" w:color="999999"/>
              <w:right w:val="single" w:sz="8" w:space="0" w:color="999999"/>
            </w:tcBorders>
            <w:shd w:val="clear" w:color="000000" w:fill="FFFFFF"/>
            <w:vAlign w:val="center"/>
          </w:tcPr>
          <w:p w14:paraId="7808524A"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176.54</w:t>
            </w:r>
          </w:p>
        </w:tc>
        <w:tc>
          <w:tcPr>
            <w:tcW w:w="1852" w:type="dxa"/>
            <w:tcBorders>
              <w:top w:val="single" w:sz="8" w:space="0" w:color="999999"/>
              <w:left w:val="single" w:sz="8" w:space="0" w:color="999999"/>
              <w:bottom w:val="single" w:sz="8" w:space="0" w:color="999999"/>
              <w:right w:val="single" w:sz="8" w:space="0" w:color="999999"/>
            </w:tcBorders>
            <w:shd w:val="clear" w:color="000000" w:fill="FFFFFF"/>
            <w:vAlign w:val="bottom"/>
          </w:tcPr>
          <w:p w14:paraId="7249E760"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hAnsi="Calibri"/>
                <w:color w:val="000000"/>
                <w:sz w:val="24"/>
                <w:szCs w:val="24"/>
                <w:lang w:val="en-GB"/>
              </w:rPr>
              <w:t>98.68</w:t>
            </w:r>
          </w:p>
        </w:tc>
      </w:tr>
      <w:tr w:rsidR="00592331" w:rsidRPr="00395073" w14:paraId="06300AA6" w14:textId="77777777" w:rsidTr="00020D59">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hideMark/>
          </w:tcPr>
          <w:p w14:paraId="298B23E9" w14:textId="77777777" w:rsidR="00592331" w:rsidRPr="00395073" w:rsidRDefault="00592331" w:rsidP="00592331">
            <w:pPr>
              <w:spacing w:after="0" w:line="240" w:lineRule="auto"/>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 </w:t>
            </w:r>
          </w:p>
        </w:tc>
        <w:tc>
          <w:tcPr>
            <w:tcW w:w="2059" w:type="dxa"/>
            <w:tcBorders>
              <w:bottom w:val="single" w:sz="8" w:space="0" w:color="999999"/>
            </w:tcBorders>
            <w:shd w:val="clear" w:color="000000" w:fill="FFFFFF"/>
            <w:vAlign w:val="bottom"/>
          </w:tcPr>
          <w:p w14:paraId="59ED6BD3" w14:textId="77777777" w:rsidR="00592331" w:rsidRPr="00395073" w:rsidRDefault="00592331" w:rsidP="00395073">
            <w:pPr>
              <w:spacing w:after="0" w:line="240" w:lineRule="auto"/>
              <w:jc w:val="right"/>
              <w:rPr>
                <w:rFonts w:ascii="Calibri" w:eastAsia="Times New Roman" w:hAnsi="Calibri" w:cs="Times New Roman"/>
                <w:color w:val="000000"/>
                <w:sz w:val="24"/>
                <w:szCs w:val="24"/>
                <w:lang w:val="en-GB" w:eastAsia="hr-HR"/>
              </w:rPr>
            </w:pPr>
          </w:p>
        </w:tc>
        <w:tc>
          <w:tcPr>
            <w:tcW w:w="2095" w:type="dxa"/>
            <w:tcBorders>
              <w:bottom w:val="single" w:sz="8" w:space="0" w:color="999999"/>
              <w:right w:val="single" w:sz="8" w:space="0" w:color="999999"/>
            </w:tcBorders>
            <w:shd w:val="clear" w:color="000000" w:fill="FFFFFF"/>
            <w:vAlign w:val="bottom"/>
          </w:tcPr>
          <w:p w14:paraId="044E50C0" w14:textId="77777777" w:rsidR="00592331" w:rsidRPr="00395073" w:rsidRDefault="00592331" w:rsidP="00395073">
            <w:pPr>
              <w:spacing w:after="0" w:line="240" w:lineRule="auto"/>
              <w:jc w:val="right"/>
              <w:rPr>
                <w:rFonts w:ascii="Calibri" w:eastAsia="Times New Roman" w:hAnsi="Calibri" w:cs="Times New Roman"/>
                <w:color w:val="000000"/>
                <w:sz w:val="24"/>
                <w:szCs w:val="24"/>
                <w:lang w:val="en-GB" w:eastAsia="hr-HR"/>
              </w:rPr>
            </w:pPr>
          </w:p>
        </w:tc>
        <w:tc>
          <w:tcPr>
            <w:tcW w:w="1852" w:type="dxa"/>
            <w:tcBorders>
              <w:top w:val="single" w:sz="8" w:space="0" w:color="999999"/>
              <w:left w:val="single" w:sz="8" w:space="0" w:color="999999"/>
              <w:bottom w:val="single" w:sz="8" w:space="0" w:color="999999"/>
              <w:right w:val="single" w:sz="8" w:space="0" w:color="999999"/>
            </w:tcBorders>
            <w:shd w:val="clear" w:color="000000" w:fill="FFFFFF"/>
            <w:vAlign w:val="bottom"/>
          </w:tcPr>
          <w:p w14:paraId="4B7C9A16"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p>
        </w:tc>
      </w:tr>
      <w:tr w:rsidR="00592331" w:rsidRPr="00395073" w14:paraId="5920DB8D" w14:textId="77777777" w:rsidTr="00020D59">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hideMark/>
          </w:tcPr>
          <w:p w14:paraId="7C152ECF" w14:textId="77777777" w:rsidR="00592331" w:rsidRPr="00395073" w:rsidRDefault="00592331" w:rsidP="00592331">
            <w:pPr>
              <w:spacing w:after="0" w:line="240" w:lineRule="auto"/>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Interest income</w:t>
            </w:r>
          </w:p>
        </w:tc>
        <w:tc>
          <w:tcPr>
            <w:tcW w:w="2059" w:type="dxa"/>
            <w:tcBorders>
              <w:top w:val="single" w:sz="8" w:space="0" w:color="999999"/>
              <w:left w:val="nil"/>
              <w:bottom w:val="single" w:sz="8" w:space="0" w:color="999999"/>
              <w:right w:val="single" w:sz="8" w:space="0" w:color="999999"/>
            </w:tcBorders>
            <w:shd w:val="clear" w:color="000000" w:fill="FFFFFF"/>
            <w:vAlign w:val="center"/>
          </w:tcPr>
          <w:p w14:paraId="53B1B75B"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644.93</w:t>
            </w:r>
          </w:p>
        </w:tc>
        <w:tc>
          <w:tcPr>
            <w:tcW w:w="2095" w:type="dxa"/>
            <w:tcBorders>
              <w:top w:val="single" w:sz="8" w:space="0" w:color="999999"/>
              <w:left w:val="nil"/>
              <w:bottom w:val="single" w:sz="8" w:space="0" w:color="999999"/>
              <w:right w:val="single" w:sz="8" w:space="0" w:color="999999"/>
            </w:tcBorders>
            <w:shd w:val="clear" w:color="000000" w:fill="FFFFFF"/>
            <w:vAlign w:val="center"/>
          </w:tcPr>
          <w:p w14:paraId="63D3F725"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661.20</w:t>
            </w:r>
          </w:p>
        </w:tc>
        <w:tc>
          <w:tcPr>
            <w:tcW w:w="1852" w:type="dxa"/>
            <w:tcBorders>
              <w:top w:val="single" w:sz="8" w:space="0" w:color="999999"/>
              <w:left w:val="single" w:sz="8" w:space="0" w:color="999999"/>
              <w:bottom w:val="single" w:sz="8" w:space="0" w:color="999999"/>
              <w:right w:val="single" w:sz="8" w:space="0" w:color="999999"/>
            </w:tcBorders>
            <w:shd w:val="clear" w:color="000000" w:fill="FFFFFF"/>
            <w:vAlign w:val="bottom"/>
          </w:tcPr>
          <w:p w14:paraId="55BD4585"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hAnsi="Calibri"/>
                <w:color w:val="000000"/>
                <w:sz w:val="24"/>
                <w:szCs w:val="24"/>
                <w:lang w:val="en-GB"/>
              </w:rPr>
              <w:t>563.14</w:t>
            </w:r>
          </w:p>
        </w:tc>
      </w:tr>
      <w:tr w:rsidR="00592331" w:rsidRPr="00395073" w14:paraId="4E36BC0B" w14:textId="77777777" w:rsidTr="00020D59">
        <w:trPr>
          <w:trHeight w:val="270"/>
        </w:trPr>
        <w:tc>
          <w:tcPr>
            <w:tcW w:w="3109" w:type="dxa"/>
            <w:tcBorders>
              <w:top w:val="nil"/>
              <w:left w:val="single" w:sz="8" w:space="0" w:color="808080"/>
              <w:bottom w:val="single" w:sz="8" w:space="0" w:color="999999"/>
              <w:right w:val="single" w:sz="8" w:space="0" w:color="999999"/>
            </w:tcBorders>
            <w:shd w:val="clear" w:color="000000" w:fill="FFFFFF"/>
            <w:vAlign w:val="center"/>
            <w:hideMark/>
          </w:tcPr>
          <w:p w14:paraId="5C93A110" w14:textId="77777777" w:rsidR="00592331" w:rsidRPr="00395073" w:rsidRDefault="00592331" w:rsidP="00592331">
            <w:pPr>
              <w:spacing w:after="0" w:line="240" w:lineRule="auto"/>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Interest expense</w:t>
            </w:r>
          </w:p>
        </w:tc>
        <w:tc>
          <w:tcPr>
            <w:tcW w:w="2059" w:type="dxa"/>
            <w:tcBorders>
              <w:top w:val="nil"/>
              <w:left w:val="nil"/>
              <w:bottom w:val="single" w:sz="8" w:space="0" w:color="999999"/>
              <w:right w:val="single" w:sz="8" w:space="0" w:color="999999"/>
            </w:tcBorders>
            <w:shd w:val="clear" w:color="000000" w:fill="FFFFFF"/>
            <w:noWrap/>
            <w:vAlign w:val="center"/>
          </w:tcPr>
          <w:p w14:paraId="2696D1C8"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 xml:space="preserve">            (340.88)</w:t>
            </w:r>
          </w:p>
        </w:tc>
        <w:tc>
          <w:tcPr>
            <w:tcW w:w="2095" w:type="dxa"/>
            <w:tcBorders>
              <w:top w:val="nil"/>
              <w:left w:val="nil"/>
              <w:bottom w:val="single" w:sz="8" w:space="0" w:color="999999"/>
              <w:right w:val="single" w:sz="8" w:space="0" w:color="999999"/>
            </w:tcBorders>
            <w:shd w:val="clear" w:color="auto" w:fill="auto"/>
            <w:vAlign w:val="center"/>
          </w:tcPr>
          <w:p w14:paraId="02FABFE0"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 xml:space="preserve">            (301.46)</w:t>
            </w:r>
          </w:p>
        </w:tc>
        <w:tc>
          <w:tcPr>
            <w:tcW w:w="1852" w:type="dxa"/>
            <w:tcBorders>
              <w:top w:val="single" w:sz="8" w:space="0" w:color="999999"/>
              <w:left w:val="single" w:sz="8" w:space="0" w:color="999999"/>
              <w:bottom w:val="single" w:sz="8" w:space="0" w:color="999999"/>
              <w:right w:val="single" w:sz="8" w:space="0" w:color="999999"/>
            </w:tcBorders>
            <w:shd w:val="clear" w:color="auto" w:fill="auto"/>
            <w:vAlign w:val="bottom"/>
          </w:tcPr>
          <w:p w14:paraId="689F9C29"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hAnsi="Calibri"/>
                <w:color w:val="000000"/>
                <w:sz w:val="24"/>
                <w:szCs w:val="24"/>
                <w:lang w:val="en-GB"/>
              </w:rPr>
              <w:t>(254.99)</w:t>
            </w:r>
          </w:p>
        </w:tc>
      </w:tr>
      <w:tr w:rsidR="00592331" w:rsidRPr="00395073" w14:paraId="7A4ABAB8" w14:textId="77777777" w:rsidTr="00020D59">
        <w:trPr>
          <w:trHeight w:val="270"/>
        </w:trPr>
        <w:tc>
          <w:tcPr>
            <w:tcW w:w="3109" w:type="dxa"/>
            <w:tcBorders>
              <w:top w:val="nil"/>
              <w:left w:val="single" w:sz="8" w:space="0" w:color="808080"/>
              <w:bottom w:val="single" w:sz="8" w:space="0" w:color="808080"/>
              <w:right w:val="single" w:sz="8" w:space="0" w:color="999999"/>
            </w:tcBorders>
            <w:shd w:val="clear" w:color="000000" w:fill="FFFFFF"/>
            <w:vAlign w:val="center"/>
            <w:hideMark/>
          </w:tcPr>
          <w:p w14:paraId="24D8D919" w14:textId="77777777" w:rsidR="00592331" w:rsidRPr="00395073" w:rsidRDefault="00592331" w:rsidP="00592331">
            <w:pPr>
              <w:spacing w:after="0" w:line="240" w:lineRule="auto"/>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Net interest income</w:t>
            </w:r>
          </w:p>
        </w:tc>
        <w:tc>
          <w:tcPr>
            <w:tcW w:w="2059" w:type="dxa"/>
            <w:tcBorders>
              <w:top w:val="nil"/>
              <w:left w:val="nil"/>
              <w:bottom w:val="single" w:sz="8" w:space="0" w:color="808080"/>
              <w:right w:val="single" w:sz="8" w:space="0" w:color="999999"/>
            </w:tcBorders>
            <w:shd w:val="clear" w:color="000000" w:fill="FFFFFF"/>
            <w:vAlign w:val="center"/>
          </w:tcPr>
          <w:p w14:paraId="2E0D6B86"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304.05</w:t>
            </w:r>
          </w:p>
        </w:tc>
        <w:tc>
          <w:tcPr>
            <w:tcW w:w="2095" w:type="dxa"/>
            <w:tcBorders>
              <w:top w:val="nil"/>
              <w:left w:val="nil"/>
              <w:bottom w:val="single" w:sz="8" w:space="0" w:color="808080"/>
              <w:right w:val="single" w:sz="8" w:space="0" w:color="999999"/>
            </w:tcBorders>
            <w:shd w:val="clear" w:color="000000" w:fill="FFFFFF"/>
            <w:vAlign w:val="center"/>
          </w:tcPr>
          <w:p w14:paraId="53E2CC8B"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eastAsia="Times New Roman" w:hAnsi="Calibri" w:cs="Times New Roman"/>
                <w:color w:val="000000"/>
                <w:sz w:val="24"/>
                <w:szCs w:val="24"/>
                <w:lang w:val="en-GB" w:eastAsia="hr-HR"/>
              </w:rPr>
              <w:t>359.74</w:t>
            </w:r>
          </w:p>
        </w:tc>
        <w:tc>
          <w:tcPr>
            <w:tcW w:w="1852" w:type="dxa"/>
            <w:tcBorders>
              <w:top w:val="single" w:sz="8" w:space="0" w:color="999999"/>
              <w:left w:val="single" w:sz="8" w:space="0" w:color="999999"/>
              <w:bottom w:val="single" w:sz="8" w:space="0" w:color="999999"/>
              <w:right w:val="single" w:sz="8" w:space="0" w:color="999999"/>
            </w:tcBorders>
            <w:shd w:val="clear" w:color="000000" w:fill="FFFFFF"/>
            <w:vAlign w:val="bottom"/>
          </w:tcPr>
          <w:p w14:paraId="3ECDDAAB" w14:textId="77777777" w:rsidR="00592331" w:rsidRPr="00395073" w:rsidRDefault="00592331" w:rsidP="00592331">
            <w:pPr>
              <w:spacing w:after="0" w:line="240" w:lineRule="auto"/>
              <w:jc w:val="right"/>
              <w:rPr>
                <w:rFonts w:ascii="Calibri" w:eastAsia="Times New Roman" w:hAnsi="Calibri" w:cs="Times New Roman"/>
                <w:color w:val="000000"/>
                <w:sz w:val="24"/>
                <w:szCs w:val="24"/>
                <w:lang w:val="en-GB" w:eastAsia="hr-HR"/>
              </w:rPr>
            </w:pPr>
            <w:r w:rsidRPr="00395073">
              <w:rPr>
                <w:rFonts w:ascii="Calibri" w:hAnsi="Calibri"/>
                <w:color w:val="000000"/>
                <w:sz w:val="24"/>
                <w:szCs w:val="24"/>
                <w:lang w:val="en-GB"/>
              </w:rPr>
              <w:t>308.15</w:t>
            </w:r>
          </w:p>
        </w:tc>
      </w:tr>
    </w:tbl>
    <w:p w14:paraId="1FEA1490" w14:textId="77777777" w:rsidR="00D845FC" w:rsidRPr="00395073" w:rsidRDefault="00D845FC" w:rsidP="001D2396">
      <w:pPr>
        <w:tabs>
          <w:tab w:val="left" w:pos="-720"/>
          <w:tab w:val="left" w:pos="426"/>
        </w:tabs>
        <w:suppressAutoHyphens/>
        <w:spacing w:after="0" w:line="240" w:lineRule="auto"/>
        <w:jc w:val="both"/>
        <w:rPr>
          <w:rFonts w:eastAsia="Times New Roman" w:cs="Calibri"/>
          <w:b/>
          <w:caps/>
          <w:spacing w:val="-3"/>
          <w:sz w:val="26"/>
          <w:szCs w:val="26"/>
          <w:lang w:val="en-GB" w:eastAsia="hr-HR"/>
        </w:rPr>
      </w:pPr>
    </w:p>
    <w:p w14:paraId="7223AB8E" w14:textId="77777777" w:rsidR="00696C5A" w:rsidRPr="00395073" w:rsidRDefault="00696C5A"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val="en-GB" w:eastAsia="hr-HR"/>
        </w:rPr>
      </w:pPr>
    </w:p>
    <w:p w14:paraId="5D795F38" w14:textId="77777777" w:rsidR="00F333A1" w:rsidRPr="00395073" w:rsidRDefault="009D13E1"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val="en-GB" w:eastAsia="hr-HR"/>
        </w:rPr>
      </w:pPr>
      <w:r w:rsidRPr="00395073">
        <w:rPr>
          <w:rFonts w:eastAsia="Times New Roman" w:cs="Calibri"/>
          <w:b/>
          <w:caps/>
          <w:noProof/>
          <w:spacing w:val="-3"/>
          <w:sz w:val="26"/>
          <w:szCs w:val="26"/>
          <w:lang w:val="en-GB" w:eastAsia="hr-HR"/>
        </w:rPr>
        <w:drawing>
          <wp:inline distT="0" distB="0" distL="0" distR="0" wp14:anchorId="773A4235" wp14:editId="110AE7B7">
            <wp:extent cx="3060634" cy="2232000"/>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0634" cy="2232000"/>
                    </a:xfrm>
                    <a:prstGeom prst="rect">
                      <a:avLst/>
                    </a:prstGeom>
                    <a:noFill/>
                  </pic:spPr>
                </pic:pic>
              </a:graphicData>
            </a:graphic>
          </wp:inline>
        </w:drawing>
      </w:r>
      <w:r w:rsidR="00F333A1" w:rsidRPr="00395073">
        <w:rPr>
          <w:rFonts w:eastAsia="Times New Roman" w:cs="Calibri"/>
          <w:b/>
          <w:caps/>
          <w:spacing w:val="-3"/>
          <w:sz w:val="26"/>
          <w:szCs w:val="26"/>
          <w:lang w:val="en-GB" w:eastAsia="hr-HR"/>
        </w:rPr>
        <w:t xml:space="preserve">   </w:t>
      </w:r>
      <w:r w:rsidRPr="00395073">
        <w:rPr>
          <w:rFonts w:eastAsia="Times New Roman" w:cs="Calibri"/>
          <w:b/>
          <w:caps/>
          <w:noProof/>
          <w:spacing w:val="-3"/>
          <w:sz w:val="26"/>
          <w:szCs w:val="26"/>
          <w:lang w:val="en-GB" w:eastAsia="hr-HR"/>
        </w:rPr>
        <w:drawing>
          <wp:inline distT="0" distB="0" distL="0" distR="0" wp14:anchorId="6A67FFB7" wp14:editId="32C9FE13">
            <wp:extent cx="3046837" cy="2232000"/>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6837" cy="2232000"/>
                    </a:xfrm>
                    <a:prstGeom prst="rect">
                      <a:avLst/>
                    </a:prstGeom>
                    <a:noFill/>
                  </pic:spPr>
                </pic:pic>
              </a:graphicData>
            </a:graphic>
          </wp:inline>
        </w:drawing>
      </w:r>
    </w:p>
    <w:p w14:paraId="1446D245" w14:textId="77777777" w:rsidR="000F04E1" w:rsidRPr="00395073" w:rsidRDefault="000F04E1"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val="en-GB" w:eastAsia="hr-HR"/>
        </w:rPr>
      </w:pPr>
    </w:p>
    <w:p w14:paraId="7BFD5C42" w14:textId="77777777" w:rsidR="00F333A1" w:rsidRPr="00395073" w:rsidRDefault="009D13E1"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val="en-GB" w:eastAsia="hr-HR"/>
        </w:rPr>
      </w:pPr>
      <w:r w:rsidRPr="00395073">
        <w:rPr>
          <w:rFonts w:eastAsia="Times New Roman" w:cs="Calibri"/>
          <w:b/>
          <w:caps/>
          <w:noProof/>
          <w:spacing w:val="-3"/>
          <w:sz w:val="26"/>
          <w:szCs w:val="26"/>
          <w:lang w:val="en-GB" w:eastAsia="hr-HR"/>
        </w:rPr>
        <w:t xml:space="preserve"> </w:t>
      </w:r>
      <w:r w:rsidR="00F333A1" w:rsidRPr="00395073">
        <w:rPr>
          <w:rFonts w:eastAsia="Times New Roman" w:cs="Calibri"/>
          <w:b/>
          <w:caps/>
          <w:noProof/>
          <w:spacing w:val="-3"/>
          <w:sz w:val="26"/>
          <w:szCs w:val="26"/>
          <w:lang w:val="en-GB" w:eastAsia="hr-HR"/>
        </w:rPr>
        <w:t xml:space="preserve"> </w:t>
      </w:r>
      <w:r w:rsidRPr="00395073">
        <w:rPr>
          <w:rFonts w:eastAsia="Times New Roman" w:cs="Calibri"/>
          <w:b/>
          <w:caps/>
          <w:noProof/>
          <w:spacing w:val="-3"/>
          <w:sz w:val="26"/>
          <w:szCs w:val="26"/>
          <w:lang w:val="en-GB" w:eastAsia="hr-HR"/>
        </w:rPr>
        <w:drawing>
          <wp:inline distT="0" distB="0" distL="0" distR="0" wp14:anchorId="0A24FCA4" wp14:editId="47FCDBF8">
            <wp:extent cx="3024545" cy="21600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4545" cy="2160000"/>
                    </a:xfrm>
                    <a:prstGeom prst="rect">
                      <a:avLst/>
                    </a:prstGeom>
                    <a:noFill/>
                  </pic:spPr>
                </pic:pic>
              </a:graphicData>
            </a:graphic>
          </wp:inline>
        </w:drawing>
      </w:r>
      <w:r w:rsidR="00F333A1" w:rsidRPr="00395073">
        <w:rPr>
          <w:rFonts w:eastAsia="Times New Roman" w:cs="Calibri"/>
          <w:b/>
          <w:caps/>
          <w:noProof/>
          <w:spacing w:val="-3"/>
          <w:sz w:val="26"/>
          <w:szCs w:val="26"/>
          <w:lang w:val="en-GB" w:eastAsia="hr-HR"/>
        </w:rPr>
        <w:t xml:space="preserve"> </w:t>
      </w:r>
      <w:r w:rsidRPr="00395073">
        <w:rPr>
          <w:rFonts w:eastAsia="Times New Roman" w:cs="Calibri"/>
          <w:b/>
          <w:caps/>
          <w:noProof/>
          <w:spacing w:val="-3"/>
          <w:sz w:val="26"/>
          <w:szCs w:val="26"/>
          <w:lang w:val="en-GB" w:eastAsia="hr-HR"/>
        </w:rPr>
        <w:t xml:space="preserve">  </w:t>
      </w:r>
      <w:r w:rsidR="00F333A1" w:rsidRPr="00395073">
        <w:rPr>
          <w:rFonts w:eastAsia="Times New Roman" w:cs="Calibri"/>
          <w:b/>
          <w:caps/>
          <w:noProof/>
          <w:spacing w:val="-3"/>
          <w:sz w:val="26"/>
          <w:szCs w:val="26"/>
          <w:lang w:val="en-GB" w:eastAsia="hr-HR"/>
        </w:rPr>
        <w:t xml:space="preserve"> </w:t>
      </w:r>
      <w:r w:rsidRPr="00395073">
        <w:rPr>
          <w:rFonts w:eastAsia="Times New Roman" w:cs="Calibri"/>
          <w:b/>
          <w:caps/>
          <w:noProof/>
          <w:spacing w:val="-3"/>
          <w:sz w:val="26"/>
          <w:szCs w:val="26"/>
          <w:lang w:val="en-GB" w:eastAsia="hr-HR"/>
        </w:rPr>
        <w:drawing>
          <wp:inline distT="0" distB="0" distL="0" distR="0" wp14:anchorId="4A8FA25E" wp14:editId="0354D1DC">
            <wp:extent cx="3030680" cy="2160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0680" cy="2160000"/>
                    </a:xfrm>
                    <a:prstGeom prst="rect">
                      <a:avLst/>
                    </a:prstGeom>
                    <a:noFill/>
                  </pic:spPr>
                </pic:pic>
              </a:graphicData>
            </a:graphic>
          </wp:inline>
        </w:drawing>
      </w:r>
    </w:p>
    <w:p w14:paraId="41C93CD9" w14:textId="77777777" w:rsidR="001C5366" w:rsidRPr="00395073" w:rsidRDefault="001C5366"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val="en-GB" w:eastAsia="hr-HR"/>
        </w:rPr>
      </w:pPr>
    </w:p>
    <w:p w14:paraId="603027D2" w14:textId="77777777" w:rsidR="001C5366" w:rsidRPr="00395073" w:rsidRDefault="001C5366" w:rsidP="001C5366">
      <w:pPr>
        <w:rPr>
          <w:rFonts w:eastAsia="Times New Roman" w:cs="Calibri"/>
          <w:sz w:val="26"/>
          <w:szCs w:val="26"/>
          <w:lang w:val="en-GB" w:eastAsia="hr-HR"/>
        </w:rPr>
      </w:pPr>
    </w:p>
    <w:p w14:paraId="32749F12" w14:textId="77777777" w:rsidR="00D7690E" w:rsidRPr="00395073" w:rsidRDefault="00D7690E" w:rsidP="001C5366">
      <w:pPr>
        <w:rPr>
          <w:rFonts w:eastAsia="Times New Roman" w:cs="Calibri"/>
          <w:sz w:val="26"/>
          <w:szCs w:val="26"/>
          <w:lang w:val="en-GB" w:eastAsia="hr-HR"/>
        </w:rPr>
        <w:sectPr w:rsidR="00D7690E" w:rsidRPr="00395073" w:rsidSect="00811935">
          <w:footerReference w:type="first" r:id="rId15"/>
          <w:pgSz w:w="11906" w:h="16838" w:code="9"/>
          <w:pgMar w:top="-383" w:right="1134" w:bottom="567" w:left="1418" w:header="709" w:footer="709" w:gutter="0"/>
          <w:pgNumType w:start="4"/>
          <w:cols w:space="708"/>
          <w:titlePg/>
          <w:docGrid w:linePitch="360"/>
        </w:sectPr>
      </w:pPr>
    </w:p>
    <w:p w14:paraId="3F075213" w14:textId="77777777" w:rsidR="00F333A1" w:rsidRPr="00395073" w:rsidRDefault="00F333A1"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val="en-GB" w:eastAsia="hr-HR"/>
        </w:rPr>
      </w:pPr>
    </w:p>
    <w:p w14:paraId="16E48942" w14:textId="77777777" w:rsidR="00F333A1" w:rsidRPr="00395073" w:rsidRDefault="00F333A1" w:rsidP="00AB1895">
      <w:pPr>
        <w:tabs>
          <w:tab w:val="left" w:pos="-720"/>
          <w:tab w:val="left" w:pos="426"/>
        </w:tabs>
        <w:suppressAutoHyphens/>
        <w:spacing w:after="0" w:line="240" w:lineRule="auto"/>
        <w:jc w:val="both"/>
        <w:rPr>
          <w:rFonts w:eastAsia="Times New Roman" w:cs="Calibri"/>
          <w:b/>
          <w:caps/>
          <w:spacing w:val="-3"/>
          <w:sz w:val="26"/>
          <w:szCs w:val="26"/>
          <w:lang w:val="en-GB" w:eastAsia="hr-HR"/>
        </w:rPr>
      </w:pPr>
    </w:p>
    <w:p w14:paraId="58726119" w14:textId="77777777" w:rsidR="00AB1895" w:rsidRPr="00395073" w:rsidRDefault="00AB1895" w:rsidP="00AB1895">
      <w:pPr>
        <w:tabs>
          <w:tab w:val="left" w:pos="-720"/>
          <w:tab w:val="left" w:pos="426"/>
        </w:tabs>
        <w:suppressAutoHyphens/>
        <w:spacing w:after="0" w:line="240" w:lineRule="auto"/>
        <w:jc w:val="both"/>
        <w:rPr>
          <w:rFonts w:eastAsia="Times New Roman" w:cs="Calibri"/>
          <w:b/>
          <w:spacing w:val="-3"/>
          <w:sz w:val="24"/>
          <w:szCs w:val="24"/>
          <w:lang w:val="en-GB" w:eastAsia="hr-HR"/>
        </w:rPr>
      </w:pPr>
      <w:r w:rsidRPr="00395073">
        <w:rPr>
          <w:rFonts w:eastAsia="Times New Roman" w:cs="Calibri"/>
          <w:b/>
          <w:spacing w:val="-3"/>
          <w:sz w:val="24"/>
          <w:szCs w:val="24"/>
          <w:lang w:val="en-GB" w:eastAsia="hr-HR"/>
        </w:rPr>
        <w:t xml:space="preserve">Results of the Group </w:t>
      </w:r>
    </w:p>
    <w:p w14:paraId="3703D7CC" w14:textId="77777777" w:rsidR="003E5F5C" w:rsidRPr="00395073" w:rsidRDefault="003E5F5C" w:rsidP="00794772">
      <w:pPr>
        <w:spacing w:after="0" w:line="240" w:lineRule="auto"/>
        <w:rPr>
          <w:rFonts w:eastAsia="Times New Roman" w:cs="Calibri"/>
          <w:b/>
          <w:spacing w:val="-3"/>
          <w:sz w:val="24"/>
          <w:szCs w:val="24"/>
          <w:u w:val="single"/>
          <w:lang w:val="en-GB" w:eastAsia="hr-HR"/>
        </w:rPr>
      </w:pPr>
    </w:p>
    <w:p w14:paraId="297A6D2D" w14:textId="77777777" w:rsidR="000562A8" w:rsidRPr="00395073" w:rsidRDefault="00AB1895" w:rsidP="00EA0FF5">
      <w:pPr>
        <w:jc w:val="both"/>
        <w:rPr>
          <w:rFonts w:cstheme="minorHAnsi"/>
          <w:color w:val="222222"/>
          <w:sz w:val="24"/>
          <w:szCs w:val="24"/>
          <w:lang w:val="en-GB"/>
        </w:rPr>
      </w:pPr>
      <w:r w:rsidRPr="00395073">
        <w:rPr>
          <w:rFonts w:cstheme="minorHAnsi"/>
          <w:color w:val="222222"/>
          <w:sz w:val="24"/>
          <w:szCs w:val="24"/>
          <w:lang w:val="en-GB"/>
        </w:rPr>
        <w:t>The effects of application of IFRS</w:t>
      </w:r>
      <w:r w:rsidR="000562A8" w:rsidRPr="00395073">
        <w:rPr>
          <w:rFonts w:cstheme="minorHAnsi"/>
          <w:color w:val="222222"/>
          <w:sz w:val="24"/>
          <w:szCs w:val="24"/>
          <w:lang w:val="en-GB"/>
        </w:rPr>
        <w:t xml:space="preserve"> 9 </w:t>
      </w:r>
      <w:r w:rsidRPr="00395073">
        <w:rPr>
          <w:rFonts w:cstheme="minorHAnsi"/>
          <w:color w:val="222222"/>
          <w:sz w:val="24"/>
          <w:szCs w:val="24"/>
          <w:lang w:val="en-GB"/>
        </w:rPr>
        <w:t xml:space="preserve">were recognised </w:t>
      </w:r>
      <w:r w:rsidR="00DF76C1" w:rsidRPr="00395073">
        <w:rPr>
          <w:rFonts w:cstheme="minorHAnsi"/>
          <w:color w:val="222222"/>
          <w:sz w:val="24"/>
          <w:szCs w:val="24"/>
          <w:lang w:val="en-GB"/>
        </w:rPr>
        <w:t xml:space="preserve">at the expense of </w:t>
      </w:r>
      <w:r w:rsidRPr="00395073">
        <w:rPr>
          <w:rFonts w:cstheme="minorHAnsi"/>
          <w:color w:val="222222"/>
          <w:sz w:val="24"/>
          <w:szCs w:val="24"/>
          <w:lang w:val="en-GB"/>
        </w:rPr>
        <w:t xml:space="preserve">retained earnings and reserves as </w:t>
      </w:r>
      <w:proofErr w:type="gramStart"/>
      <w:r w:rsidRPr="00395073">
        <w:rPr>
          <w:rFonts w:cstheme="minorHAnsi"/>
          <w:color w:val="222222"/>
          <w:sz w:val="24"/>
          <w:szCs w:val="24"/>
          <w:lang w:val="en-GB"/>
        </w:rPr>
        <w:t>at</w:t>
      </w:r>
      <w:proofErr w:type="gramEnd"/>
      <w:r w:rsidR="000562A8" w:rsidRPr="00395073">
        <w:rPr>
          <w:rFonts w:cstheme="minorHAnsi"/>
          <w:color w:val="222222"/>
          <w:sz w:val="24"/>
          <w:szCs w:val="24"/>
          <w:lang w:val="en-GB"/>
        </w:rPr>
        <w:t xml:space="preserve"> 1</w:t>
      </w:r>
      <w:r w:rsidRPr="00395073">
        <w:rPr>
          <w:rFonts w:cstheme="minorHAnsi"/>
          <w:color w:val="222222"/>
          <w:sz w:val="24"/>
          <w:szCs w:val="24"/>
          <w:lang w:val="en-GB"/>
        </w:rPr>
        <w:t xml:space="preserve"> January</w:t>
      </w:r>
      <w:r w:rsidR="000562A8" w:rsidRPr="00395073">
        <w:rPr>
          <w:rFonts w:cstheme="minorHAnsi"/>
          <w:color w:val="222222"/>
          <w:sz w:val="24"/>
          <w:szCs w:val="24"/>
          <w:lang w:val="en-GB"/>
        </w:rPr>
        <w:t xml:space="preserve"> 2018</w:t>
      </w:r>
      <w:r w:rsidR="00570CA5" w:rsidRPr="00395073">
        <w:rPr>
          <w:rFonts w:cstheme="minorHAnsi"/>
          <w:color w:val="222222"/>
          <w:sz w:val="24"/>
          <w:szCs w:val="24"/>
          <w:lang w:val="en-GB"/>
        </w:rPr>
        <w:t xml:space="preserve"> in the</w:t>
      </w:r>
      <w:r w:rsidRPr="00395073">
        <w:rPr>
          <w:rFonts w:cstheme="minorHAnsi"/>
          <w:color w:val="222222"/>
          <w:sz w:val="24"/>
          <w:szCs w:val="24"/>
          <w:lang w:val="en-GB"/>
        </w:rPr>
        <w:t xml:space="preserve"> amount</w:t>
      </w:r>
      <w:r w:rsidR="00570CA5" w:rsidRPr="00395073">
        <w:rPr>
          <w:rFonts w:cstheme="minorHAnsi"/>
          <w:color w:val="222222"/>
          <w:sz w:val="24"/>
          <w:szCs w:val="24"/>
          <w:lang w:val="en-GB"/>
        </w:rPr>
        <w:t xml:space="preserve"> of</w:t>
      </w:r>
      <w:r w:rsidRPr="00395073">
        <w:rPr>
          <w:rFonts w:cstheme="minorHAnsi"/>
          <w:color w:val="222222"/>
          <w:sz w:val="24"/>
          <w:szCs w:val="24"/>
          <w:lang w:val="en-GB"/>
        </w:rPr>
        <w:t xml:space="preserve"> HRK</w:t>
      </w:r>
      <w:r w:rsidR="000562A8" w:rsidRPr="00395073">
        <w:rPr>
          <w:rFonts w:cstheme="minorHAnsi"/>
          <w:color w:val="222222"/>
          <w:sz w:val="24"/>
          <w:szCs w:val="24"/>
          <w:lang w:val="en-GB"/>
        </w:rPr>
        <w:t xml:space="preserve"> 469</w:t>
      </w:r>
      <w:r w:rsidRPr="00395073">
        <w:rPr>
          <w:rFonts w:cstheme="minorHAnsi"/>
          <w:color w:val="222222"/>
          <w:sz w:val="24"/>
          <w:szCs w:val="24"/>
          <w:lang w:val="en-GB"/>
        </w:rPr>
        <w:t>.</w:t>
      </w:r>
      <w:r w:rsidR="000562A8" w:rsidRPr="00395073">
        <w:rPr>
          <w:rFonts w:cstheme="minorHAnsi"/>
          <w:color w:val="222222"/>
          <w:sz w:val="24"/>
          <w:szCs w:val="24"/>
          <w:lang w:val="en-GB"/>
        </w:rPr>
        <w:t>97 mil</w:t>
      </w:r>
      <w:r w:rsidRPr="00395073">
        <w:rPr>
          <w:rFonts w:cstheme="minorHAnsi"/>
          <w:color w:val="222222"/>
          <w:sz w:val="24"/>
          <w:szCs w:val="24"/>
          <w:lang w:val="en-GB"/>
        </w:rPr>
        <w:t>lion</w:t>
      </w:r>
      <w:r w:rsidR="000562A8" w:rsidRPr="00395073">
        <w:rPr>
          <w:rFonts w:cstheme="minorHAnsi"/>
          <w:color w:val="222222"/>
          <w:sz w:val="24"/>
          <w:szCs w:val="24"/>
          <w:lang w:val="en-GB"/>
        </w:rPr>
        <w:t>.</w:t>
      </w:r>
    </w:p>
    <w:p w14:paraId="58BB1670" w14:textId="77777777" w:rsidR="00794772" w:rsidRPr="00395073" w:rsidRDefault="0095717C" w:rsidP="00794772">
      <w:pPr>
        <w:spacing w:after="0" w:line="240" w:lineRule="auto"/>
        <w:jc w:val="both"/>
        <w:rPr>
          <w:rFonts w:cstheme="minorHAnsi"/>
          <w:sz w:val="24"/>
          <w:szCs w:val="24"/>
          <w:lang w:val="en-GB"/>
        </w:rPr>
      </w:pPr>
      <w:r w:rsidRPr="00395073">
        <w:rPr>
          <w:rFonts w:cstheme="minorHAnsi"/>
          <w:sz w:val="24"/>
          <w:szCs w:val="24"/>
          <w:lang w:val="en-GB"/>
        </w:rPr>
        <w:t xml:space="preserve">In the period 1 January – 30 </w:t>
      </w:r>
      <w:r w:rsidR="00E26555" w:rsidRPr="00395073">
        <w:rPr>
          <w:rFonts w:cstheme="minorHAnsi"/>
          <w:sz w:val="24"/>
          <w:szCs w:val="24"/>
          <w:lang w:val="en-GB"/>
        </w:rPr>
        <w:t xml:space="preserve">September </w:t>
      </w:r>
      <w:r w:rsidR="00F41FA4" w:rsidRPr="00395073">
        <w:rPr>
          <w:rFonts w:cstheme="minorHAnsi"/>
          <w:sz w:val="24"/>
          <w:szCs w:val="24"/>
          <w:lang w:val="en-GB"/>
        </w:rPr>
        <w:t>2018</w:t>
      </w:r>
      <w:r w:rsidRPr="00395073">
        <w:rPr>
          <w:rFonts w:cstheme="minorHAnsi"/>
          <w:sz w:val="24"/>
          <w:szCs w:val="24"/>
          <w:lang w:val="en-GB"/>
        </w:rPr>
        <w:t xml:space="preserve">, the HBOR Group generated profit after tax in the amount of HRK </w:t>
      </w:r>
      <w:r w:rsidR="00F41FA4" w:rsidRPr="00395073">
        <w:rPr>
          <w:rFonts w:cstheme="minorHAnsi"/>
          <w:sz w:val="24"/>
          <w:szCs w:val="24"/>
          <w:lang w:val="en-GB"/>
        </w:rPr>
        <w:t>9</w:t>
      </w:r>
      <w:r w:rsidR="00592331" w:rsidRPr="00395073">
        <w:rPr>
          <w:rFonts w:cstheme="minorHAnsi"/>
          <w:sz w:val="24"/>
          <w:szCs w:val="24"/>
          <w:lang w:val="en-GB"/>
        </w:rPr>
        <w:t>8</w:t>
      </w:r>
      <w:r w:rsidR="00F41FA4" w:rsidRPr="00395073">
        <w:rPr>
          <w:rFonts w:cstheme="minorHAnsi"/>
          <w:sz w:val="24"/>
          <w:szCs w:val="24"/>
          <w:lang w:val="en-GB"/>
        </w:rPr>
        <w:t>.</w:t>
      </w:r>
      <w:r w:rsidR="00592331" w:rsidRPr="00395073">
        <w:rPr>
          <w:rFonts w:cstheme="minorHAnsi"/>
          <w:sz w:val="24"/>
          <w:szCs w:val="24"/>
          <w:lang w:val="en-GB"/>
        </w:rPr>
        <w:t>68</w:t>
      </w:r>
      <w:r w:rsidRPr="00395073">
        <w:rPr>
          <w:rFonts w:cstheme="minorHAnsi"/>
          <w:sz w:val="24"/>
          <w:szCs w:val="24"/>
          <w:lang w:val="en-GB"/>
        </w:rPr>
        <w:t xml:space="preserve"> million</w:t>
      </w:r>
      <w:r w:rsidR="00794772" w:rsidRPr="00395073">
        <w:rPr>
          <w:rFonts w:cstheme="minorHAnsi"/>
          <w:sz w:val="24"/>
          <w:szCs w:val="24"/>
          <w:lang w:val="en-GB"/>
        </w:rPr>
        <w:t xml:space="preserve">. </w:t>
      </w:r>
    </w:p>
    <w:p w14:paraId="1C589E48" w14:textId="77777777" w:rsidR="00794772" w:rsidRPr="00395073" w:rsidRDefault="00794772" w:rsidP="00794772">
      <w:pPr>
        <w:spacing w:after="0" w:line="240" w:lineRule="auto"/>
        <w:jc w:val="both"/>
        <w:rPr>
          <w:rFonts w:cstheme="minorHAnsi"/>
          <w:sz w:val="24"/>
          <w:szCs w:val="24"/>
          <w:lang w:val="en-GB"/>
        </w:rPr>
      </w:pPr>
    </w:p>
    <w:p w14:paraId="0EBCF099" w14:textId="77777777" w:rsidR="00794772" w:rsidRPr="00395073" w:rsidRDefault="0095717C" w:rsidP="00794772">
      <w:pPr>
        <w:spacing w:after="0" w:line="240" w:lineRule="auto"/>
        <w:jc w:val="both"/>
        <w:rPr>
          <w:rFonts w:cstheme="minorHAnsi"/>
          <w:sz w:val="24"/>
          <w:szCs w:val="24"/>
          <w:lang w:val="en-GB"/>
        </w:rPr>
      </w:pPr>
      <w:r w:rsidRPr="00395073">
        <w:rPr>
          <w:rFonts w:cstheme="minorHAnsi"/>
          <w:sz w:val="24"/>
          <w:szCs w:val="24"/>
          <w:lang w:val="en-GB"/>
        </w:rPr>
        <w:t>Pursuant to the provisions of the Act on HBOR, the parent company is exempt from income tax and income tax liabilities arise exclusively from the activities of the other members of the Group</w:t>
      </w:r>
      <w:r w:rsidR="00794772" w:rsidRPr="00395073">
        <w:rPr>
          <w:rFonts w:cstheme="minorHAnsi"/>
          <w:sz w:val="24"/>
          <w:szCs w:val="24"/>
          <w:lang w:val="en-GB"/>
        </w:rPr>
        <w:t>.</w:t>
      </w:r>
    </w:p>
    <w:p w14:paraId="0166D927" w14:textId="77777777" w:rsidR="00794772" w:rsidRPr="00395073" w:rsidRDefault="00794772" w:rsidP="00794772">
      <w:pPr>
        <w:spacing w:after="0" w:line="240" w:lineRule="auto"/>
        <w:jc w:val="both"/>
        <w:rPr>
          <w:rFonts w:cstheme="minorHAnsi"/>
          <w:sz w:val="24"/>
          <w:szCs w:val="24"/>
          <w:lang w:val="en-GB"/>
        </w:rPr>
      </w:pPr>
    </w:p>
    <w:p w14:paraId="61A57027" w14:textId="77777777" w:rsidR="00794772" w:rsidRPr="00395073" w:rsidRDefault="0095717C" w:rsidP="00794772">
      <w:pPr>
        <w:spacing w:after="0" w:line="240" w:lineRule="auto"/>
        <w:jc w:val="both"/>
        <w:rPr>
          <w:rFonts w:cstheme="minorHAnsi"/>
          <w:sz w:val="24"/>
          <w:szCs w:val="24"/>
          <w:lang w:val="en-GB"/>
        </w:rPr>
      </w:pPr>
      <w:r w:rsidRPr="00395073">
        <w:rPr>
          <w:rFonts w:cstheme="minorHAnsi"/>
          <w:sz w:val="24"/>
          <w:szCs w:val="24"/>
          <w:lang w:val="en-GB"/>
        </w:rPr>
        <w:t xml:space="preserve">In the period 1 January – 30 </w:t>
      </w:r>
      <w:r w:rsidR="00E26555" w:rsidRPr="00395073">
        <w:rPr>
          <w:rFonts w:cstheme="minorHAnsi"/>
          <w:sz w:val="24"/>
          <w:szCs w:val="24"/>
          <w:lang w:val="en-GB"/>
        </w:rPr>
        <w:t>September</w:t>
      </w:r>
      <w:r w:rsidRPr="00395073">
        <w:rPr>
          <w:rFonts w:cstheme="minorHAnsi"/>
          <w:sz w:val="24"/>
          <w:szCs w:val="24"/>
          <w:lang w:val="en-GB"/>
        </w:rPr>
        <w:t xml:space="preserve"> </w:t>
      </w:r>
      <w:r w:rsidR="00F41FA4" w:rsidRPr="00395073">
        <w:rPr>
          <w:rFonts w:cstheme="minorHAnsi"/>
          <w:sz w:val="24"/>
          <w:szCs w:val="24"/>
          <w:lang w:val="en-GB"/>
        </w:rPr>
        <w:t>2018</w:t>
      </w:r>
      <w:r w:rsidRPr="00395073">
        <w:rPr>
          <w:rFonts w:cstheme="minorHAnsi"/>
          <w:sz w:val="24"/>
          <w:szCs w:val="24"/>
          <w:lang w:val="en-GB"/>
        </w:rPr>
        <w:t xml:space="preserve">, total income on consolidated basis amounted to HRK </w:t>
      </w:r>
      <w:r w:rsidR="00592331" w:rsidRPr="00395073">
        <w:rPr>
          <w:rFonts w:cstheme="minorHAnsi"/>
          <w:sz w:val="24"/>
          <w:szCs w:val="24"/>
          <w:lang w:val="en-GB"/>
        </w:rPr>
        <w:t>617</w:t>
      </w:r>
      <w:r w:rsidR="00F41FA4" w:rsidRPr="00395073">
        <w:rPr>
          <w:rFonts w:cstheme="minorHAnsi"/>
          <w:sz w:val="24"/>
          <w:szCs w:val="24"/>
          <w:lang w:val="en-GB"/>
        </w:rPr>
        <w:t>.</w:t>
      </w:r>
      <w:r w:rsidR="00592331" w:rsidRPr="00395073">
        <w:rPr>
          <w:rFonts w:cstheme="minorHAnsi"/>
          <w:sz w:val="24"/>
          <w:szCs w:val="24"/>
          <w:lang w:val="en-GB"/>
        </w:rPr>
        <w:t>35</w:t>
      </w:r>
      <w:r w:rsidRPr="00395073">
        <w:rPr>
          <w:rFonts w:cstheme="minorHAnsi"/>
          <w:sz w:val="24"/>
          <w:szCs w:val="24"/>
          <w:lang w:val="en-GB"/>
        </w:rPr>
        <w:t xml:space="preserve"> million, whereas total expenses amounted to HRK </w:t>
      </w:r>
      <w:r w:rsidR="00592331" w:rsidRPr="00395073">
        <w:rPr>
          <w:rFonts w:cstheme="minorHAnsi"/>
          <w:sz w:val="24"/>
          <w:szCs w:val="24"/>
          <w:lang w:val="en-GB"/>
        </w:rPr>
        <w:t>518</w:t>
      </w:r>
      <w:r w:rsidR="00F41FA4" w:rsidRPr="00395073">
        <w:rPr>
          <w:rFonts w:cstheme="minorHAnsi"/>
          <w:sz w:val="24"/>
          <w:szCs w:val="24"/>
          <w:lang w:val="en-GB"/>
        </w:rPr>
        <w:t>.</w:t>
      </w:r>
      <w:r w:rsidR="00592331" w:rsidRPr="00395073">
        <w:rPr>
          <w:rFonts w:cstheme="minorHAnsi"/>
          <w:sz w:val="24"/>
          <w:szCs w:val="24"/>
          <w:lang w:val="en-GB"/>
        </w:rPr>
        <w:t>67</w:t>
      </w:r>
      <w:r w:rsidRPr="00395073">
        <w:rPr>
          <w:rFonts w:cstheme="minorHAnsi"/>
          <w:sz w:val="24"/>
          <w:szCs w:val="24"/>
          <w:lang w:val="en-GB"/>
        </w:rPr>
        <w:t xml:space="preserve"> million</w:t>
      </w:r>
      <w:r w:rsidR="00794772" w:rsidRPr="00395073">
        <w:rPr>
          <w:rFonts w:cstheme="minorHAnsi"/>
          <w:sz w:val="24"/>
          <w:szCs w:val="24"/>
          <w:lang w:val="en-GB"/>
        </w:rPr>
        <w:t>.</w:t>
      </w:r>
    </w:p>
    <w:p w14:paraId="22CC70D9" w14:textId="77777777" w:rsidR="00794772" w:rsidRPr="00395073" w:rsidRDefault="00794772" w:rsidP="00794772">
      <w:pPr>
        <w:spacing w:after="0" w:line="240" w:lineRule="auto"/>
        <w:jc w:val="both"/>
        <w:rPr>
          <w:rFonts w:cstheme="minorHAnsi"/>
          <w:sz w:val="24"/>
          <w:szCs w:val="24"/>
          <w:lang w:val="en-GB"/>
        </w:rPr>
      </w:pPr>
    </w:p>
    <w:p w14:paraId="1811EA42" w14:textId="77777777" w:rsidR="00794772" w:rsidRPr="00395073" w:rsidRDefault="0095717C" w:rsidP="00794772">
      <w:pPr>
        <w:spacing w:after="0" w:line="240" w:lineRule="auto"/>
        <w:jc w:val="both"/>
        <w:rPr>
          <w:rFonts w:cstheme="minorHAnsi"/>
          <w:sz w:val="24"/>
          <w:szCs w:val="24"/>
          <w:lang w:val="en-GB"/>
        </w:rPr>
      </w:pPr>
      <w:r w:rsidRPr="00395073">
        <w:rPr>
          <w:rFonts w:cstheme="minorHAnsi"/>
          <w:sz w:val="24"/>
          <w:szCs w:val="24"/>
          <w:lang w:val="en-GB"/>
        </w:rPr>
        <w:t xml:space="preserve">The consolidated total income </w:t>
      </w:r>
      <w:r w:rsidR="00F41FA4" w:rsidRPr="00395073">
        <w:rPr>
          <w:rFonts w:cstheme="minorHAnsi"/>
          <w:sz w:val="24"/>
          <w:szCs w:val="24"/>
          <w:lang w:val="en-GB"/>
        </w:rPr>
        <w:t>decreased</w:t>
      </w:r>
      <w:r w:rsidRPr="00395073">
        <w:rPr>
          <w:rFonts w:cstheme="minorHAnsi"/>
          <w:sz w:val="24"/>
          <w:szCs w:val="24"/>
          <w:lang w:val="en-GB"/>
        </w:rPr>
        <w:t xml:space="preserve"> by </w:t>
      </w:r>
      <w:r w:rsidR="00592331" w:rsidRPr="00395073">
        <w:rPr>
          <w:rFonts w:cstheme="minorHAnsi"/>
          <w:sz w:val="24"/>
          <w:szCs w:val="24"/>
          <w:lang w:val="en-GB"/>
        </w:rPr>
        <w:t>12</w:t>
      </w:r>
      <w:r w:rsidR="00F41FA4" w:rsidRPr="00395073">
        <w:rPr>
          <w:rFonts w:cstheme="minorHAnsi"/>
          <w:sz w:val="24"/>
          <w:szCs w:val="24"/>
          <w:lang w:val="en-GB"/>
        </w:rPr>
        <w:t>.</w:t>
      </w:r>
      <w:r w:rsidR="00592331" w:rsidRPr="00395073">
        <w:rPr>
          <w:rFonts w:cstheme="minorHAnsi"/>
          <w:sz w:val="24"/>
          <w:szCs w:val="24"/>
          <w:lang w:val="en-GB"/>
        </w:rPr>
        <w:t>51</w:t>
      </w:r>
      <w:r w:rsidRPr="00395073">
        <w:rPr>
          <w:rFonts w:cstheme="minorHAnsi"/>
          <w:sz w:val="24"/>
          <w:szCs w:val="24"/>
          <w:lang w:val="en-GB"/>
        </w:rPr>
        <w:t xml:space="preserve"> percent, whereas total expenses </w:t>
      </w:r>
      <w:r w:rsidR="00F41FA4" w:rsidRPr="00395073">
        <w:rPr>
          <w:rFonts w:cstheme="minorHAnsi"/>
          <w:sz w:val="24"/>
          <w:szCs w:val="24"/>
          <w:lang w:val="en-GB"/>
        </w:rPr>
        <w:t xml:space="preserve">decreased </w:t>
      </w:r>
      <w:r w:rsidRPr="00395073">
        <w:rPr>
          <w:rFonts w:cstheme="minorHAnsi"/>
          <w:sz w:val="24"/>
          <w:szCs w:val="24"/>
          <w:lang w:val="en-GB"/>
        </w:rPr>
        <w:t xml:space="preserve">by </w:t>
      </w:r>
      <w:r w:rsidR="00592331" w:rsidRPr="00395073">
        <w:rPr>
          <w:rFonts w:cstheme="minorHAnsi"/>
          <w:sz w:val="24"/>
          <w:szCs w:val="24"/>
          <w:lang w:val="en-GB"/>
        </w:rPr>
        <w:t>1</w:t>
      </w:r>
      <w:r w:rsidR="00F41FA4" w:rsidRPr="00395073">
        <w:rPr>
          <w:rFonts w:cstheme="minorHAnsi"/>
          <w:sz w:val="24"/>
          <w:szCs w:val="24"/>
          <w:lang w:val="en-GB"/>
        </w:rPr>
        <w:t>.</w:t>
      </w:r>
      <w:r w:rsidR="00592331" w:rsidRPr="00395073">
        <w:rPr>
          <w:rFonts w:cstheme="minorHAnsi"/>
          <w:sz w:val="24"/>
          <w:szCs w:val="24"/>
          <w:lang w:val="en-GB"/>
        </w:rPr>
        <w:t>97</w:t>
      </w:r>
      <w:r w:rsidRPr="00395073">
        <w:rPr>
          <w:rFonts w:cstheme="minorHAnsi"/>
          <w:sz w:val="24"/>
          <w:szCs w:val="24"/>
          <w:lang w:val="en-GB"/>
        </w:rPr>
        <w:t xml:space="preserve"> percent compared to the same period previous year due to the developments in total income and expenses of the parent company</w:t>
      </w:r>
      <w:r w:rsidR="00794772" w:rsidRPr="00395073">
        <w:rPr>
          <w:rFonts w:cstheme="minorHAnsi"/>
          <w:sz w:val="24"/>
          <w:szCs w:val="24"/>
          <w:lang w:val="en-GB"/>
        </w:rPr>
        <w:t>.</w:t>
      </w:r>
    </w:p>
    <w:p w14:paraId="0254AD03" w14:textId="77777777" w:rsidR="00794772" w:rsidRPr="00395073" w:rsidRDefault="00794772" w:rsidP="00794772">
      <w:pPr>
        <w:spacing w:after="0" w:line="240" w:lineRule="auto"/>
        <w:jc w:val="both"/>
        <w:rPr>
          <w:rFonts w:cstheme="minorHAnsi"/>
          <w:sz w:val="24"/>
          <w:szCs w:val="24"/>
          <w:lang w:val="en-GB"/>
        </w:rPr>
      </w:pPr>
    </w:p>
    <w:p w14:paraId="057E0710" w14:textId="77777777" w:rsidR="00794772" w:rsidRPr="00395073" w:rsidRDefault="0095717C" w:rsidP="00794772">
      <w:pPr>
        <w:spacing w:after="0" w:line="240" w:lineRule="auto"/>
        <w:jc w:val="both"/>
        <w:rPr>
          <w:rFonts w:cstheme="minorHAnsi"/>
          <w:sz w:val="24"/>
          <w:szCs w:val="24"/>
          <w:lang w:val="en-GB"/>
        </w:rPr>
      </w:pPr>
      <w:r w:rsidRPr="00395073">
        <w:rPr>
          <w:rFonts w:cstheme="minorHAnsi"/>
          <w:sz w:val="24"/>
          <w:szCs w:val="24"/>
          <w:lang w:val="en-GB"/>
        </w:rPr>
        <w:t xml:space="preserve">In the structure of income of the Group, the largest portion, </w:t>
      </w:r>
      <w:proofErr w:type="gramStart"/>
      <w:r w:rsidRPr="00395073">
        <w:rPr>
          <w:rFonts w:cstheme="minorHAnsi"/>
          <w:sz w:val="24"/>
          <w:szCs w:val="24"/>
          <w:lang w:val="en-GB"/>
        </w:rPr>
        <w:t>i.e.</w:t>
      </w:r>
      <w:proofErr w:type="gramEnd"/>
      <w:r w:rsidRPr="00395073">
        <w:rPr>
          <w:rFonts w:cstheme="minorHAnsi"/>
          <w:sz w:val="24"/>
          <w:szCs w:val="24"/>
          <w:lang w:val="en-GB"/>
        </w:rPr>
        <w:t xml:space="preserve"> </w:t>
      </w:r>
      <w:r w:rsidR="00A303F0" w:rsidRPr="00395073">
        <w:rPr>
          <w:rFonts w:cstheme="minorHAnsi"/>
          <w:sz w:val="24"/>
          <w:szCs w:val="24"/>
          <w:lang w:val="en-GB"/>
        </w:rPr>
        <w:t>91</w:t>
      </w:r>
      <w:r w:rsidR="00F41FA4" w:rsidRPr="00395073">
        <w:rPr>
          <w:rFonts w:cstheme="minorHAnsi"/>
          <w:sz w:val="24"/>
          <w:szCs w:val="24"/>
          <w:lang w:val="en-GB"/>
        </w:rPr>
        <w:t>.</w:t>
      </w:r>
      <w:r w:rsidR="00A303F0" w:rsidRPr="00395073">
        <w:rPr>
          <w:rFonts w:cstheme="minorHAnsi"/>
          <w:sz w:val="24"/>
          <w:szCs w:val="24"/>
          <w:lang w:val="en-GB"/>
        </w:rPr>
        <w:t>22</w:t>
      </w:r>
      <w:r w:rsidRPr="00395073">
        <w:rPr>
          <w:rFonts w:cstheme="minorHAnsi"/>
          <w:sz w:val="24"/>
          <w:szCs w:val="24"/>
          <w:lang w:val="en-GB"/>
        </w:rPr>
        <w:t xml:space="preserve"> percent, relates to interest income as a result of operations of the parent company</w:t>
      </w:r>
      <w:r w:rsidR="00794772" w:rsidRPr="00395073">
        <w:rPr>
          <w:rFonts w:cstheme="minorHAnsi"/>
          <w:sz w:val="24"/>
          <w:szCs w:val="24"/>
          <w:lang w:val="en-GB"/>
        </w:rPr>
        <w:t>.</w:t>
      </w:r>
    </w:p>
    <w:p w14:paraId="4EE1A26B" w14:textId="77777777" w:rsidR="00794772" w:rsidRPr="00395073" w:rsidRDefault="00794772" w:rsidP="00794772">
      <w:pPr>
        <w:spacing w:after="0" w:line="240" w:lineRule="auto"/>
        <w:jc w:val="both"/>
        <w:rPr>
          <w:rFonts w:cstheme="minorHAnsi"/>
          <w:sz w:val="24"/>
          <w:szCs w:val="24"/>
          <w:lang w:val="en-GB"/>
        </w:rPr>
      </w:pPr>
    </w:p>
    <w:p w14:paraId="4120B6C8" w14:textId="77777777" w:rsidR="00794772" w:rsidRPr="00395073" w:rsidRDefault="0095717C" w:rsidP="00794772">
      <w:pPr>
        <w:spacing w:after="0" w:line="240" w:lineRule="auto"/>
        <w:jc w:val="both"/>
        <w:rPr>
          <w:rFonts w:cstheme="minorHAnsi"/>
          <w:sz w:val="24"/>
          <w:szCs w:val="24"/>
          <w:lang w:val="en-GB"/>
        </w:rPr>
      </w:pPr>
      <w:proofErr w:type="gramStart"/>
      <w:r w:rsidRPr="00395073">
        <w:rPr>
          <w:rFonts w:cstheme="minorHAnsi"/>
          <w:sz w:val="24"/>
          <w:szCs w:val="24"/>
          <w:lang w:val="en-GB"/>
        </w:rPr>
        <w:t>The</w:t>
      </w:r>
      <w:proofErr w:type="gramEnd"/>
      <w:r w:rsidRPr="00395073">
        <w:rPr>
          <w:rFonts w:cstheme="minorHAnsi"/>
          <w:sz w:val="24"/>
          <w:szCs w:val="24"/>
          <w:lang w:val="en-GB"/>
        </w:rPr>
        <w:t xml:space="preserve"> major part of total expenses, i.e. </w:t>
      </w:r>
      <w:r w:rsidR="00A303F0" w:rsidRPr="00395073">
        <w:rPr>
          <w:rFonts w:cstheme="minorHAnsi"/>
          <w:sz w:val="24"/>
          <w:szCs w:val="24"/>
          <w:lang w:val="en-GB"/>
        </w:rPr>
        <w:t>4</w:t>
      </w:r>
      <w:r w:rsidR="00887555" w:rsidRPr="00395073">
        <w:rPr>
          <w:rFonts w:cstheme="minorHAnsi"/>
          <w:sz w:val="24"/>
          <w:szCs w:val="24"/>
          <w:lang w:val="en-GB"/>
        </w:rPr>
        <w:t>9</w:t>
      </w:r>
      <w:r w:rsidR="00F41FA4" w:rsidRPr="00395073">
        <w:rPr>
          <w:rFonts w:cstheme="minorHAnsi"/>
          <w:sz w:val="24"/>
          <w:szCs w:val="24"/>
          <w:lang w:val="en-GB"/>
        </w:rPr>
        <w:t>.</w:t>
      </w:r>
      <w:r w:rsidR="00A303F0" w:rsidRPr="00395073">
        <w:rPr>
          <w:rFonts w:cstheme="minorHAnsi"/>
          <w:sz w:val="24"/>
          <w:szCs w:val="24"/>
          <w:lang w:val="en-GB"/>
        </w:rPr>
        <w:t>16</w:t>
      </w:r>
      <w:r w:rsidRPr="00395073">
        <w:rPr>
          <w:rFonts w:cstheme="minorHAnsi"/>
          <w:sz w:val="24"/>
          <w:szCs w:val="24"/>
          <w:lang w:val="en-GB"/>
        </w:rPr>
        <w:t xml:space="preserve"> percent, relates to interest expenses arising from the operations of the parent company</w:t>
      </w:r>
      <w:r w:rsidR="00794772" w:rsidRPr="00395073">
        <w:rPr>
          <w:rFonts w:cstheme="minorHAnsi"/>
          <w:sz w:val="24"/>
          <w:szCs w:val="24"/>
          <w:lang w:val="en-GB"/>
        </w:rPr>
        <w:t>.</w:t>
      </w:r>
    </w:p>
    <w:p w14:paraId="1F10F1FF" w14:textId="77777777" w:rsidR="00794772" w:rsidRPr="00395073" w:rsidRDefault="00794772" w:rsidP="00794772">
      <w:pPr>
        <w:spacing w:after="0" w:line="240" w:lineRule="auto"/>
        <w:jc w:val="both"/>
        <w:rPr>
          <w:rFonts w:cstheme="minorHAnsi"/>
          <w:sz w:val="24"/>
          <w:szCs w:val="24"/>
          <w:lang w:val="en-GB"/>
        </w:rPr>
      </w:pPr>
    </w:p>
    <w:p w14:paraId="68208738" w14:textId="77777777" w:rsidR="00794772" w:rsidRPr="00395073" w:rsidRDefault="0095717C" w:rsidP="00794772">
      <w:pPr>
        <w:spacing w:after="0" w:line="240" w:lineRule="auto"/>
        <w:jc w:val="both"/>
        <w:rPr>
          <w:rFonts w:cstheme="minorHAnsi"/>
          <w:sz w:val="24"/>
          <w:szCs w:val="24"/>
          <w:lang w:val="en-GB"/>
        </w:rPr>
      </w:pPr>
      <w:r w:rsidRPr="00395073">
        <w:rPr>
          <w:rFonts w:cstheme="minorHAnsi"/>
          <w:sz w:val="24"/>
          <w:szCs w:val="24"/>
          <w:lang w:val="en-GB"/>
        </w:rPr>
        <w:t xml:space="preserve">The consolidated operating expenses in the period 1 January – 30 </w:t>
      </w:r>
      <w:r w:rsidR="00E26555" w:rsidRPr="00395073">
        <w:rPr>
          <w:rFonts w:cstheme="minorHAnsi"/>
          <w:sz w:val="24"/>
          <w:szCs w:val="24"/>
          <w:lang w:val="en-GB"/>
        </w:rPr>
        <w:t>September</w:t>
      </w:r>
      <w:r w:rsidRPr="00395073">
        <w:rPr>
          <w:rFonts w:cstheme="minorHAnsi"/>
          <w:sz w:val="24"/>
          <w:szCs w:val="24"/>
          <w:lang w:val="en-GB"/>
        </w:rPr>
        <w:t xml:space="preserve"> </w:t>
      </w:r>
      <w:r w:rsidR="00F41FA4" w:rsidRPr="00395073">
        <w:rPr>
          <w:rFonts w:cstheme="minorHAnsi"/>
          <w:sz w:val="24"/>
          <w:szCs w:val="24"/>
          <w:lang w:val="en-GB"/>
        </w:rPr>
        <w:t xml:space="preserve">2018 </w:t>
      </w:r>
      <w:r w:rsidRPr="00395073">
        <w:rPr>
          <w:rFonts w:cstheme="minorHAnsi"/>
          <w:sz w:val="24"/>
          <w:szCs w:val="24"/>
          <w:lang w:val="en-GB"/>
        </w:rPr>
        <w:t xml:space="preserve">amounted to HRK </w:t>
      </w:r>
      <w:r w:rsidR="00A303F0" w:rsidRPr="00395073">
        <w:rPr>
          <w:rFonts w:cstheme="minorHAnsi"/>
          <w:sz w:val="24"/>
          <w:szCs w:val="24"/>
          <w:lang w:val="en-GB"/>
        </w:rPr>
        <w:t>12</w:t>
      </w:r>
      <w:r w:rsidR="00F41FA4" w:rsidRPr="00395073">
        <w:rPr>
          <w:rFonts w:cstheme="minorHAnsi"/>
          <w:sz w:val="24"/>
          <w:szCs w:val="24"/>
          <w:lang w:val="en-GB"/>
        </w:rPr>
        <w:t>5.</w:t>
      </w:r>
      <w:r w:rsidR="00A303F0" w:rsidRPr="00395073">
        <w:rPr>
          <w:rFonts w:cstheme="minorHAnsi"/>
          <w:sz w:val="24"/>
          <w:szCs w:val="24"/>
          <w:lang w:val="en-GB"/>
        </w:rPr>
        <w:t>88</w:t>
      </w:r>
      <w:r w:rsidRPr="00395073">
        <w:rPr>
          <w:rFonts w:cstheme="minorHAnsi"/>
          <w:sz w:val="24"/>
          <w:szCs w:val="24"/>
          <w:lang w:val="en-GB"/>
        </w:rPr>
        <w:t xml:space="preserve"> million and consisted of general and administrative expenses and other operating expenses</w:t>
      </w:r>
      <w:r w:rsidR="00794772" w:rsidRPr="00395073">
        <w:rPr>
          <w:rFonts w:cstheme="minorHAnsi"/>
          <w:sz w:val="24"/>
          <w:szCs w:val="24"/>
          <w:lang w:val="en-GB"/>
        </w:rPr>
        <w:t>.</w:t>
      </w:r>
    </w:p>
    <w:p w14:paraId="42F06967" w14:textId="77777777" w:rsidR="00794772" w:rsidRPr="00395073" w:rsidRDefault="00794772" w:rsidP="00794772">
      <w:pPr>
        <w:spacing w:after="0" w:line="240" w:lineRule="auto"/>
        <w:jc w:val="both"/>
        <w:rPr>
          <w:rFonts w:cstheme="minorHAnsi"/>
          <w:sz w:val="24"/>
          <w:szCs w:val="24"/>
          <w:lang w:val="en-GB"/>
        </w:rPr>
      </w:pPr>
    </w:p>
    <w:p w14:paraId="1C086A23" w14:textId="77777777" w:rsidR="00794772" w:rsidRPr="00395073" w:rsidRDefault="007343B3" w:rsidP="001C1C44">
      <w:pPr>
        <w:spacing w:after="0" w:line="240" w:lineRule="auto"/>
        <w:jc w:val="both"/>
        <w:rPr>
          <w:rFonts w:eastAsia="Times New Roman" w:cs="Calibri"/>
          <w:b/>
          <w:spacing w:val="-3"/>
          <w:sz w:val="24"/>
          <w:szCs w:val="24"/>
          <w:u w:val="single"/>
          <w:lang w:val="en-GB" w:eastAsia="hr-HR"/>
        </w:rPr>
      </w:pPr>
      <w:r w:rsidRPr="00395073">
        <w:rPr>
          <w:rFonts w:cstheme="minorHAnsi"/>
          <w:sz w:val="24"/>
          <w:szCs w:val="24"/>
          <w:lang w:val="en-GB"/>
        </w:rPr>
        <w:t xml:space="preserve">As of 30 </w:t>
      </w:r>
      <w:r w:rsidR="00E26555" w:rsidRPr="00395073">
        <w:rPr>
          <w:rFonts w:cstheme="minorHAnsi"/>
          <w:sz w:val="24"/>
          <w:szCs w:val="24"/>
          <w:lang w:val="en-GB"/>
        </w:rPr>
        <w:t>September</w:t>
      </w:r>
      <w:r w:rsidRPr="00395073">
        <w:rPr>
          <w:rFonts w:cstheme="minorHAnsi"/>
          <w:sz w:val="24"/>
          <w:szCs w:val="24"/>
          <w:lang w:val="en-GB"/>
        </w:rPr>
        <w:t xml:space="preserve"> 2018, the Group had 39</w:t>
      </w:r>
      <w:r w:rsidR="00A303F0" w:rsidRPr="00395073">
        <w:rPr>
          <w:rFonts w:cstheme="minorHAnsi"/>
          <w:sz w:val="24"/>
          <w:szCs w:val="24"/>
          <w:lang w:val="en-GB"/>
        </w:rPr>
        <w:t>0</w:t>
      </w:r>
      <w:r w:rsidRPr="00395073">
        <w:rPr>
          <w:rFonts w:cstheme="minorHAnsi"/>
          <w:sz w:val="24"/>
          <w:szCs w:val="24"/>
          <w:lang w:val="en-GB"/>
        </w:rPr>
        <w:t xml:space="preserve"> employees (as of 30 </w:t>
      </w:r>
      <w:r w:rsidR="00E26555" w:rsidRPr="00395073">
        <w:rPr>
          <w:rFonts w:cstheme="minorHAnsi"/>
          <w:sz w:val="24"/>
          <w:szCs w:val="24"/>
          <w:lang w:val="en-GB"/>
        </w:rPr>
        <w:t>September</w:t>
      </w:r>
      <w:r w:rsidRPr="00395073">
        <w:rPr>
          <w:rFonts w:cstheme="minorHAnsi"/>
          <w:sz w:val="24"/>
          <w:szCs w:val="24"/>
          <w:lang w:val="en-GB"/>
        </w:rPr>
        <w:t xml:space="preserve"> 2017: </w:t>
      </w:r>
      <w:r w:rsidR="001E59E3" w:rsidRPr="00395073">
        <w:rPr>
          <w:rFonts w:cstheme="minorHAnsi"/>
          <w:sz w:val="24"/>
          <w:szCs w:val="24"/>
          <w:lang w:val="en-GB"/>
        </w:rPr>
        <w:t>383</w:t>
      </w:r>
      <w:r w:rsidR="001723C1" w:rsidRPr="00395073">
        <w:rPr>
          <w:rFonts w:cstheme="minorHAnsi"/>
          <w:sz w:val="24"/>
          <w:szCs w:val="24"/>
          <w:lang w:val="en-GB"/>
        </w:rPr>
        <w:t xml:space="preserve"> </w:t>
      </w:r>
      <w:r w:rsidRPr="00395073">
        <w:rPr>
          <w:rFonts w:cstheme="minorHAnsi"/>
          <w:sz w:val="24"/>
          <w:szCs w:val="24"/>
          <w:lang w:val="en-GB"/>
        </w:rPr>
        <w:t xml:space="preserve">employees), of which </w:t>
      </w:r>
      <w:r w:rsidR="00A303F0" w:rsidRPr="00395073">
        <w:rPr>
          <w:rFonts w:cstheme="minorHAnsi"/>
          <w:sz w:val="24"/>
          <w:szCs w:val="24"/>
          <w:lang w:val="en-GB"/>
        </w:rPr>
        <w:t>2</w:t>
      </w:r>
      <w:r w:rsidRPr="00395073">
        <w:rPr>
          <w:rFonts w:cstheme="minorHAnsi"/>
          <w:sz w:val="24"/>
          <w:szCs w:val="24"/>
          <w:lang w:val="en-GB"/>
        </w:rPr>
        <w:t xml:space="preserve"> are new employees and </w:t>
      </w:r>
      <w:r w:rsidR="00A303F0" w:rsidRPr="00395073">
        <w:rPr>
          <w:rFonts w:cstheme="minorHAnsi"/>
          <w:sz w:val="24"/>
          <w:szCs w:val="24"/>
          <w:lang w:val="en-GB"/>
        </w:rPr>
        <w:t>5</w:t>
      </w:r>
      <w:r w:rsidRPr="00395073">
        <w:rPr>
          <w:rFonts w:cstheme="minorHAnsi"/>
          <w:sz w:val="24"/>
          <w:szCs w:val="24"/>
          <w:lang w:val="en-GB"/>
        </w:rPr>
        <w:t xml:space="preserve"> employees are in substitution for maternity leave, long-term sick leave and return from unpaid leave.</w:t>
      </w:r>
    </w:p>
    <w:p w14:paraId="09DC92C4" w14:textId="77777777" w:rsidR="00BF17D9" w:rsidRPr="00395073" w:rsidRDefault="00BF17D9" w:rsidP="00794772">
      <w:pPr>
        <w:spacing w:after="0" w:line="240" w:lineRule="auto"/>
        <w:rPr>
          <w:rFonts w:eastAsia="Times New Roman" w:cs="Calibri"/>
          <w:b/>
          <w:spacing w:val="-3"/>
          <w:sz w:val="24"/>
          <w:szCs w:val="24"/>
          <w:u w:val="single"/>
          <w:lang w:val="en-GB" w:eastAsia="hr-HR"/>
        </w:rPr>
      </w:pPr>
    </w:p>
    <w:p w14:paraId="6DF718B5" w14:textId="77777777" w:rsidR="0095717C" w:rsidRPr="00395073" w:rsidRDefault="0095717C" w:rsidP="0095717C">
      <w:pPr>
        <w:spacing w:after="0" w:line="240" w:lineRule="auto"/>
        <w:rPr>
          <w:rFonts w:ascii="Calibri" w:hAnsi="Calibri" w:cs="Calibri"/>
          <w:b/>
          <w:sz w:val="24"/>
          <w:szCs w:val="24"/>
          <w:lang w:val="en-GB"/>
        </w:rPr>
      </w:pPr>
      <w:r w:rsidRPr="00395073">
        <w:rPr>
          <w:rFonts w:ascii="Calibri" w:hAnsi="Calibri" w:cs="Calibri"/>
          <w:b/>
          <w:sz w:val="24"/>
          <w:szCs w:val="24"/>
          <w:lang w:val="en-GB"/>
        </w:rPr>
        <w:t>Assets and liabilities of the Group</w:t>
      </w:r>
    </w:p>
    <w:p w14:paraId="3B7BB7BD" w14:textId="77777777" w:rsidR="003E5F5C" w:rsidRPr="00395073" w:rsidRDefault="003E5F5C" w:rsidP="00C23C95">
      <w:pPr>
        <w:spacing w:after="0" w:line="240" w:lineRule="auto"/>
        <w:rPr>
          <w:rFonts w:ascii="Calibri" w:hAnsi="Calibri" w:cs="Calibri"/>
          <w:sz w:val="24"/>
          <w:szCs w:val="24"/>
          <w:lang w:val="en-GB"/>
        </w:rPr>
      </w:pPr>
    </w:p>
    <w:p w14:paraId="14449B5D" w14:textId="77777777" w:rsidR="00934BFE" w:rsidRPr="00395073" w:rsidRDefault="0095717C" w:rsidP="00934BFE">
      <w:pPr>
        <w:spacing w:after="0" w:line="240" w:lineRule="auto"/>
        <w:jc w:val="both"/>
        <w:rPr>
          <w:rFonts w:cstheme="minorHAnsi"/>
          <w:sz w:val="24"/>
          <w:szCs w:val="24"/>
          <w:lang w:val="en-GB"/>
        </w:rPr>
      </w:pPr>
      <w:r w:rsidRPr="00395073">
        <w:rPr>
          <w:rFonts w:cstheme="minorHAnsi"/>
          <w:sz w:val="24"/>
          <w:szCs w:val="24"/>
          <w:lang w:val="en-GB"/>
        </w:rPr>
        <w:t xml:space="preserve">Total assets of the Group on consolidated basis amount to HRK </w:t>
      </w:r>
      <w:r w:rsidR="00597D4B" w:rsidRPr="00395073">
        <w:rPr>
          <w:rFonts w:cstheme="minorHAnsi"/>
          <w:sz w:val="24"/>
          <w:szCs w:val="24"/>
          <w:lang w:val="en-GB"/>
        </w:rPr>
        <w:t>2</w:t>
      </w:r>
      <w:r w:rsidR="00A303F0" w:rsidRPr="00395073">
        <w:rPr>
          <w:rFonts w:cstheme="minorHAnsi"/>
          <w:sz w:val="24"/>
          <w:szCs w:val="24"/>
          <w:lang w:val="en-GB"/>
        </w:rPr>
        <w:t>7</w:t>
      </w:r>
      <w:r w:rsidRPr="00395073">
        <w:rPr>
          <w:rFonts w:cstheme="minorHAnsi"/>
          <w:sz w:val="24"/>
          <w:szCs w:val="24"/>
          <w:lang w:val="en-GB"/>
        </w:rPr>
        <w:t>,</w:t>
      </w:r>
      <w:r w:rsidR="00A303F0" w:rsidRPr="00395073">
        <w:rPr>
          <w:rFonts w:cstheme="minorHAnsi"/>
          <w:sz w:val="24"/>
          <w:szCs w:val="24"/>
          <w:lang w:val="en-GB"/>
        </w:rPr>
        <w:t>091</w:t>
      </w:r>
      <w:r w:rsidR="00597D4B" w:rsidRPr="00395073">
        <w:rPr>
          <w:rFonts w:cstheme="minorHAnsi"/>
          <w:sz w:val="24"/>
          <w:szCs w:val="24"/>
          <w:lang w:val="en-GB"/>
        </w:rPr>
        <w:t>.</w:t>
      </w:r>
      <w:r w:rsidR="00A303F0" w:rsidRPr="00395073">
        <w:rPr>
          <w:rFonts w:cstheme="minorHAnsi"/>
          <w:sz w:val="24"/>
          <w:szCs w:val="24"/>
          <w:lang w:val="en-GB"/>
        </w:rPr>
        <w:t>02</w:t>
      </w:r>
      <w:r w:rsidRPr="00395073">
        <w:rPr>
          <w:rFonts w:cstheme="minorHAnsi"/>
          <w:sz w:val="24"/>
          <w:szCs w:val="24"/>
          <w:lang w:val="en-GB"/>
        </w:rPr>
        <w:t xml:space="preserve"> million, a </w:t>
      </w:r>
      <w:r w:rsidR="00597D4B" w:rsidRPr="00395073">
        <w:rPr>
          <w:rFonts w:cstheme="minorHAnsi"/>
          <w:sz w:val="24"/>
          <w:szCs w:val="24"/>
          <w:lang w:val="en-GB"/>
        </w:rPr>
        <w:t>de</w:t>
      </w:r>
      <w:r w:rsidRPr="00395073">
        <w:rPr>
          <w:rFonts w:cstheme="minorHAnsi"/>
          <w:sz w:val="24"/>
          <w:szCs w:val="24"/>
          <w:lang w:val="en-GB"/>
        </w:rPr>
        <w:t xml:space="preserve">crease of </w:t>
      </w:r>
      <w:r w:rsidR="00597D4B" w:rsidRPr="00395073">
        <w:rPr>
          <w:rFonts w:cstheme="minorHAnsi"/>
          <w:sz w:val="24"/>
          <w:szCs w:val="24"/>
          <w:lang w:val="en-GB"/>
        </w:rPr>
        <w:t>3.</w:t>
      </w:r>
      <w:r w:rsidR="00A303F0" w:rsidRPr="00395073">
        <w:rPr>
          <w:rFonts w:cstheme="minorHAnsi"/>
          <w:sz w:val="24"/>
          <w:szCs w:val="24"/>
          <w:lang w:val="en-GB"/>
        </w:rPr>
        <w:t>51</w:t>
      </w:r>
      <w:r w:rsidR="00597D4B" w:rsidRPr="00395073">
        <w:rPr>
          <w:rFonts w:cstheme="minorHAnsi"/>
          <w:sz w:val="24"/>
          <w:szCs w:val="24"/>
          <w:lang w:val="en-GB"/>
        </w:rPr>
        <w:t xml:space="preserve"> </w:t>
      </w:r>
      <w:r w:rsidRPr="00395073">
        <w:rPr>
          <w:rFonts w:cstheme="minorHAnsi"/>
          <w:sz w:val="24"/>
          <w:szCs w:val="24"/>
          <w:lang w:val="en-GB"/>
        </w:rPr>
        <w:t>percent compared with the beginning of the year. The reasons for such tendency are stated in the description of HBOR’s financial performance</w:t>
      </w:r>
      <w:r w:rsidR="007F3D20" w:rsidRPr="00395073">
        <w:rPr>
          <w:rFonts w:cstheme="minorHAnsi"/>
          <w:sz w:val="24"/>
          <w:szCs w:val="24"/>
          <w:lang w:val="en-GB"/>
        </w:rPr>
        <w:t>.</w:t>
      </w:r>
    </w:p>
    <w:p w14:paraId="27090020" w14:textId="77777777" w:rsidR="007162FD" w:rsidRPr="00395073" w:rsidRDefault="007162FD" w:rsidP="00934BFE">
      <w:pPr>
        <w:spacing w:after="0" w:line="240" w:lineRule="auto"/>
        <w:jc w:val="both"/>
        <w:rPr>
          <w:rFonts w:cstheme="minorHAnsi"/>
          <w:sz w:val="24"/>
          <w:szCs w:val="24"/>
          <w:lang w:val="en-GB"/>
        </w:rPr>
      </w:pPr>
    </w:p>
    <w:p w14:paraId="1F568E17" w14:textId="77777777" w:rsidR="00934BFE" w:rsidRPr="00395073" w:rsidRDefault="0095717C" w:rsidP="00934BFE">
      <w:pPr>
        <w:spacing w:after="0" w:line="240" w:lineRule="auto"/>
        <w:jc w:val="both"/>
        <w:rPr>
          <w:rFonts w:cstheme="minorHAnsi"/>
          <w:sz w:val="24"/>
          <w:szCs w:val="24"/>
          <w:lang w:val="en-GB"/>
        </w:rPr>
      </w:pPr>
      <w:r w:rsidRPr="00395073">
        <w:rPr>
          <w:rFonts w:cstheme="minorHAnsi"/>
          <w:sz w:val="24"/>
          <w:szCs w:val="24"/>
          <w:lang w:val="en-GB"/>
        </w:rPr>
        <w:t xml:space="preserve">In the structure of assets, the major portion relates to the lending activities of the parent company, </w:t>
      </w:r>
      <w:proofErr w:type="gramStart"/>
      <w:r w:rsidRPr="00395073">
        <w:rPr>
          <w:rFonts w:cstheme="minorHAnsi"/>
          <w:sz w:val="24"/>
          <w:szCs w:val="24"/>
          <w:lang w:val="en-GB"/>
        </w:rPr>
        <w:t>i.e.</w:t>
      </w:r>
      <w:proofErr w:type="gramEnd"/>
      <w:r w:rsidRPr="00395073">
        <w:rPr>
          <w:rFonts w:cstheme="minorHAnsi"/>
          <w:sz w:val="24"/>
          <w:szCs w:val="24"/>
          <w:lang w:val="en-GB"/>
        </w:rPr>
        <w:t xml:space="preserve"> net loans account for 82.</w:t>
      </w:r>
      <w:r w:rsidR="004013B3" w:rsidRPr="00395073">
        <w:rPr>
          <w:rFonts w:cstheme="minorHAnsi"/>
          <w:sz w:val="24"/>
          <w:szCs w:val="24"/>
          <w:lang w:val="en-GB"/>
        </w:rPr>
        <w:t>02</w:t>
      </w:r>
      <w:r w:rsidR="00597D4B" w:rsidRPr="00395073">
        <w:rPr>
          <w:rFonts w:cstheme="minorHAnsi"/>
          <w:sz w:val="24"/>
          <w:szCs w:val="24"/>
          <w:lang w:val="en-GB"/>
        </w:rPr>
        <w:t xml:space="preserve"> </w:t>
      </w:r>
      <w:r w:rsidRPr="00395073">
        <w:rPr>
          <w:rFonts w:cstheme="minorHAnsi"/>
          <w:sz w:val="24"/>
          <w:szCs w:val="24"/>
          <w:lang w:val="en-GB"/>
        </w:rPr>
        <w:t>percent of total assets</w:t>
      </w:r>
      <w:r w:rsidR="00934BFE" w:rsidRPr="00395073">
        <w:rPr>
          <w:rFonts w:cstheme="minorHAnsi"/>
          <w:sz w:val="24"/>
          <w:szCs w:val="24"/>
          <w:lang w:val="en-GB"/>
        </w:rPr>
        <w:t>.</w:t>
      </w:r>
    </w:p>
    <w:p w14:paraId="5695C040" w14:textId="77777777" w:rsidR="00934BFE" w:rsidRPr="00395073" w:rsidRDefault="00934BFE" w:rsidP="00934BFE">
      <w:pPr>
        <w:spacing w:after="0" w:line="240" w:lineRule="auto"/>
        <w:jc w:val="both"/>
        <w:rPr>
          <w:rFonts w:cstheme="minorHAnsi"/>
          <w:sz w:val="24"/>
          <w:szCs w:val="24"/>
          <w:lang w:val="en-GB"/>
        </w:rPr>
      </w:pPr>
    </w:p>
    <w:p w14:paraId="49FD446C" w14:textId="6ACECD2F" w:rsidR="00934BFE" w:rsidRPr="00395073" w:rsidRDefault="0095717C" w:rsidP="001C6D63">
      <w:pPr>
        <w:spacing w:after="0" w:line="240" w:lineRule="auto"/>
        <w:jc w:val="both"/>
        <w:rPr>
          <w:rFonts w:eastAsia="Times New Roman" w:cs="Calibri"/>
          <w:spacing w:val="-3"/>
          <w:sz w:val="24"/>
          <w:szCs w:val="24"/>
          <w:lang w:val="en-GB" w:eastAsia="hr-HR"/>
        </w:rPr>
      </w:pPr>
      <w:r w:rsidRPr="00395073">
        <w:rPr>
          <w:rFonts w:eastAsia="Times New Roman" w:cs="Calibri"/>
          <w:spacing w:val="-3"/>
          <w:sz w:val="24"/>
          <w:szCs w:val="24"/>
          <w:lang w:val="en-GB" w:eastAsia="hr-HR"/>
        </w:rPr>
        <w:t xml:space="preserve">Total liabilities and </w:t>
      </w:r>
      <w:bookmarkStart w:id="1" w:name="_Hlk530746213"/>
      <w:r w:rsidR="006148F7">
        <w:rPr>
          <w:rFonts w:eastAsia="Times New Roman" w:cs="Calibri"/>
          <w:spacing w:val="-3"/>
          <w:sz w:val="24"/>
          <w:szCs w:val="24"/>
          <w:lang w:val="en-GB" w:eastAsia="hr-HR"/>
        </w:rPr>
        <w:t xml:space="preserve">total </w:t>
      </w:r>
      <w:proofErr w:type="gramStart"/>
      <w:r w:rsidR="006148F7">
        <w:rPr>
          <w:rFonts w:eastAsia="Times New Roman" w:cs="Calibri"/>
          <w:spacing w:val="-3"/>
          <w:sz w:val="24"/>
          <w:szCs w:val="24"/>
          <w:lang w:val="en-GB" w:eastAsia="hr-HR"/>
        </w:rPr>
        <w:t>equity</w:t>
      </w:r>
      <w:bookmarkEnd w:id="1"/>
      <w:r w:rsidR="006148F7">
        <w:rPr>
          <w:rFonts w:eastAsia="Times New Roman" w:cs="Calibri"/>
          <w:spacing w:val="-3"/>
          <w:sz w:val="24"/>
          <w:szCs w:val="24"/>
          <w:lang w:val="en-GB" w:eastAsia="hr-HR"/>
        </w:rPr>
        <w:t xml:space="preserve"> </w:t>
      </w:r>
      <w:r w:rsidRPr="00395073">
        <w:rPr>
          <w:rFonts w:eastAsia="Times New Roman" w:cs="Calibri"/>
          <w:spacing w:val="-3"/>
          <w:sz w:val="24"/>
          <w:szCs w:val="24"/>
          <w:lang w:val="en-GB" w:eastAsia="hr-HR"/>
        </w:rPr>
        <w:t xml:space="preserve"> as</w:t>
      </w:r>
      <w:proofErr w:type="gramEnd"/>
      <w:r w:rsidRPr="00395073">
        <w:rPr>
          <w:rFonts w:eastAsia="Times New Roman" w:cs="Calibri"/>
          <w:spacing w:val="-3"/>
          <w:sz w:val="24"/>
          <w:szCs w:val="24"/>
          <w:lang w:val="en-GB" w:eastAsia="hr-HR"/>
        </w:rPr>
        <w:t xml:space="preserve"> at 30 </w:t>
      </w:r>
      <w:r w:rsidR="00E26555" w:rsidRPr="00395073">
        <w:rPr>
          <w:rFonts w:eastAsia="Times New Roman" w:cs="Calibri"/>
          <w:spacing w:val="-3"/>
          <w:sz w:val="24"/>
          <w:szCs w:val="24"/>
          <w:lang w:val="en-GB" w:eastAsia="hr-HR"/>
        </w:rPr>
        <w:t>September</w:t>
      </w:r>
      <w:r w:rsidRPr="00395073">
        <w:rPr>
          <w:rFonts w:eastAsia="Times New Roman" w:cs="Calibri"/>
          <w:spacing w:val="-3"/>
          <w:sz w:val="24"/>
          <w:szCs w:val="24"/>
          <w:lang w:val="en-GB" w:eastAsia="hr-HR"/>
        </w:rPr>
        <w:t xml:space="preserve"> </w:t>
      </w:r>
      <w:r w:rsidR="001F2E75" w:rsidRPr="00395073">
        <w:rPr>
          <w:rFonts w:eastAsia="Times New Roman" w:cs="Calibri"/>
          <w:spacing w:val="-3"/>
          <w:sz w:val="24"/>
          <w:szCs w:val="24"/>
          <w:lang w:val="en-GB" w:eastAsia="hr-HR"/>
        </w:rPr>
        <w:t xml:space="preserve">2018 </w:t>
      </w:r>
      <w:r w:rsidRPr="00395073">
        <w:rPr>
          <w:rFonts w:eastAsia="Times New Roman" w:cs="Calibri"/>
          <w:spacing w:val="-3"/>
          <w:sz w:val="24"/>
          <w:szCs w:val="24"/>
          <w:lang w:val="en-GB" w:eastAsia="hr-HR"/>
        </w:rPr>
        <w:t xml:space="preserve">amount to HRK </w:t>
      </w:r>
      <w:r w:rsidR="00597D4B" w:rsidRPr="00395073">
        <w:rPr>
          <w:rFonts w:eastAsia="Times New Roman" w:cs="Calibri"/>
          <w:spacing w:val="-3"/>
          <w:sz w:val="24"/>
          <w:szCs w:val="24"/>
          <w:lang w:val="en-GB" w:eastAsia="hr-HR"/>
        </w:rPr>
        <w:t>2</w:t>
      </w:r>
      <w:r w:rsidR="004013B3" w:rsidRPr="00395073">
        <w:rPr>
          <w:rFonts w:eastAsia="Times New Roman" w:cs="Calibri"/>
          <w:spacing w:val="-3"/>
          <w:sz w:val="24"/>
          <w:szCs w:val="24"/>
          <w:lang w:val="en-GB" w:eastAsia="hr-HR"/>
        </w:rPr>
        <w:t>7</w:t>
      </w:r>
      <w:r w:rsidRPr="00395073">
        <w:rPr>
          <w:rFonts w:eastAsia="Times New Roman" w:cs="Calibri"/>
          <w:spacing w:val="-3"/>
          <w:sz w:val="24"/>
          <w:szCs w:val="24"/>
          <w:lang w:val="en-GB" w:eastAsia="hr-HR"/>
        </w:rPr>
        <w:t>,</w:t>
      </w:r>
      <w:r w:rsidR="004013B3" w:rsidRPr="00395073">
        <w:rPr>
          <w:rFonts w:eastAsia="Times New Roman" w:cs="Calibri"/>
          <w:spacing w:val="-3"/>
          <w:sz w:val="24"/>
          <w:szCs w:val="24"/>
          <w:lang w:val="en-GB" w:eastAsia="hr-HR"/>
        </w:rPr>
        <w:t>091</w:t>
      </w:r>
      <w:r w:rsidR="00597D4B" w:rsidRPr="00395073">
        <w:rPr>
          <w:rFonts w:eastAsia="Times New Roman" w:cs="Calibri"/>
          <w:spacing w:val="-3"/>
          <w:sz w:val="24"/>
          <w:szCs w:val="24"/>
          <w:lang w:val="en-GB" w:eastAsia="hr-HR"/>
        </w:rPr>
        <w:t>.</w:t>
      </w:r>
      <w:r w:rsidR="004013B3" w:rsidRPr="00395073">
        <w:rPr>
          <w:rFonts w:eastAsia="Times New Roman" w:cs="Calibri"/>
          <w:spacing w:val="-3"/>
          <w:sz w:val="24"/>
          <w:szCs w:val="24"/>
          <w:lang w:val="en-GB" w:eastAsia="hr-HR"/>
        </w:rPr>
        <w:t>02</w:t>
      </w:r>
      <w:r w:rsidRPr="00395073">
        <w:rPr>
          <w:rFonts w:eastAsia="Times New Roman" w:cs="Calibri"/>
          <w:spacing w:val="-3"/>
          <w:sz w:val="24"/>
          <w:szCs w:val="24"/>
          <w:lang w:val="en-GB" w:eastAsia="hr-HR"/>
        </w:rPr>
        <w:t xml:space="preserve"> million, of which total liabilities equal HRK </w:t>
      </w:r>
      <w:r w:rsidR="00597D4B" w:rsidRPr="00395073">
        <w:rPr>
          <w:rFonts w:eastAsia="Times New Roman" w:cs="Calibri"/>
          <w:spacing w:val="-3"/>
          <w:sz w:val="24"/>
          <w:szCs w:val="24"/>
          <w:lang w:val="en-GB" w:eastAsia="hr-HR"/>
        </w:rPr>
        <w:t>1</w:t>
      </w:r>
      <w:r w:rsidR="004013B3" w:rsidRPr="00395073">
        <w:rPr>
          <w:rFonts w:eastAsia="Times New Roman" w:cs="Calibri"/>
          <w:spacing w:val="-3"/>
          <w:sz w:val="24"/>
          <w:szCs w:val="24"/>
          <w:lang w:val="en-GB" w:eastAsia="hr-HR"/>
        </w:rPr>
        <w:t>7</w:t>
      </w:r>
      <w:r w:rsidRPr="00395073">
        <w:rPr>
          <w:rFonts w:eastAsia="Times New Roman" w:cs="Calibri"/>
          <w:spacing w:val="-3"/>
          <w:sz w:val="24"/>
          <w:szCs w:val="24"/>
          <w:lang w:val="en-GB" w:eastAsia="hr-HR"/>
        </w:rPr>
        <w:t>,</w:t>
      </w:r>
      <w:r w:rsidR="004013B3" w:rsidRPr="00395073">
        <w:rPr>
          <w:rFonts w:eastAsia="Times New Roman" w:cs="Calibri"/>
          <w:spacing w:val="-3"/>
          <w:sz w:val="24"/>
          <w:szCs w:val="24"/>
          <w:lang w:val="en-GB" w:eastAsia="hr-HR"/>
        </w:rPr>
        <w:t>131</w:t>
      </w:r>
      <w:r w:rsidR="00597D4B" w:rsidRPr="00395073">
        <w:rPr>
          <w:rFonts w:eastAsia="Times New Roman" w:cs="Calibri"/>
          <w:spacing w:val="-3"/>
          <w:sz w:val="24"/>
          <w:szCs w:val="24"/>
          <w:lang w:val="en-GB" w:eastAsia="hr-HR"/>
        </w:rPr>
        <w:t>.</w:t>
      </w:r>
      <w:r w:rsidR="004013B3" w:rsidRPr="00395073">
        <w:rPr>
          <w:rFonts w:eastAsia="Times New Roman" w:cs="Calibri"/>
          <w:spacing w:val="-3"/>
          <w:sz w:val="24"/>
          <w:szCs w:val="24"/>
          <w:lang w:val="en-GB" w:eastAsia="hr-HR"/>
        </w:rPr>
        <w:t>27</w:t>
      </w:r>
      <w:r w:rsidRPr="00395073">
        <w:rPr>
          <w:rFonts w:eastAsia="Times New Roman" w:cs="Calibri"/>
          <w:spacing w:val="-3"/>
          <w:sz w:val="24"/>
          <w:szCs w:val="24"/>
          <w:lang w:val="en-GB" w:eastAsia="hr-HR"/>
        </w:rPr>
        <w:t xml:space="preserve"> </w:t>
      </w:r>
      <w:r w:rsidRPr="00395073">
        <w:rPr>
          <w:rFonts w:ascii="Calibri" w:eastAsia="Times New Roman" w:hAnsi="Calibri" w:cs="Arial"/>
          <w:bCs/>
          <w:color w:val="000000"/>
          <w:sz w:val="24"/>
          <w:szCs w:val="24"/>
          <w:lang w:val="en-GB" w:eastAsia="hr-HR"/>
        </w:rPr>
        <w:t xml:space="preserve">million, i.e. </w:t>
      </w:r>
      <w:r w:rsidR="00597D4B" w:rsidRPr="00395073">
        <w:rPr>
          <w:rFonts w:eastAsia="Times New Roman" w:cs="Calibri"/>
          <w:spacing w:val="-3"/>
          <w:sz w:val="24"/>
          <w:szCs w:val="24"/>
          <w:lang w:val="en-GB" w:eastAsia="hr-HR"/>
        </w:rPr>
        <w:t>6</w:t>
      </w:r>
      <w:r w:rsidR="004013B3" w:rsidRPr="00395073">
        <w:rPr>
          <w:rFonts w:eastAsia="Times New Roman" w:cs="Calibri"/>
          <w:spacing w:val="-3"/>
          <w:sz w:val="24"/>
          <w:szCs w:val="24"/>
          <w:lang w:val="en-GB" w:eastAsia="hr-HR"/>
        </w:rPr>
        <w:t>3</w:t>
      </w:r>
      <w:r w:rsidRPr="00395073">
        <w:rPr>
          <w:rFonts w:eastAsia="Times New Roman" w:cs="Calibri"/>
          <w:spacing w:val="-3"/>
          <w:sz w:val="24"/>
          <w:szCs w:val="24"/>
          <w:lang w:val="en-GB" w:eastAsia="hr-HR"/>
        </w:rPr>
        <w:t>.</w:t>
      </w:r>
      <w:r w:rsidR="004013B3" w:rsidRPr="00395073">
        <w:rPr>
          <w:rFonts w:eastAsia="Times New Roman" w:cs="Calibri"/>
          <w:spacing w:val="-3"/>
          <w:sz w:val="24"/>
          <w:szCs w:val="24"/>
          <w:lang w:val="en-GB" w:eastAsia="hr-HR"/>
        </w:rPr>
        <w:t>24</w:t>
      </w:r>
      <w:r w:rsidRPr="00395073">
        <w:rPr>
          <w:rFonts w:eastAsia="Times New Roman" w:cs="Calibri"/>
          <w:spacing w:val="-3"/>
          <w:sz w:val="24"/>
          <w:szCs w:val="24"/>
          <w:lang w:val="en-GB" w:eastAsia="hr-HR"/>
        </w:rPr>
        <w:t xml:space="preserve"> percent</w:t>
      </w:r>
      <w:r w:rsidR="00934BFE" w:rsidRPr="00395073">
        <w:rPr>
          <w:rFonts w:eastAsia="Times New Roman" w:cs="Calibri"/>
          <w:spacing w:val="-3"/>
          <w:sz w:val="24"/>
          <w:szCs w:val="24"/>
          <w:lang w:val="en-GB" w:eastAsia="hr-HR"/>
        </w:rPr>
        <w:t>.</w:t>
      </w:r>
    </w:p>
    <w:p w14:paraId="1436AFAA" w14:textId="77777777" w:rsidR="007162FD" w:rsidRPr="00395073" w:rsidRDefault="007162FD" w:rsidP="001C6D63">
      <w:pPr>
        <w:spacing w:after="0" w:line="240" w:lineRule="auto"/>
        <w:jc w:val="both"/>
        <w:rPr>
          <w:rFonts w:eastAsia="Times New Roman" w:cs="Calibri"/>
          <w:spacing w:val="-3"/>
          <w:sz w:val="24"/>
          <w:szCs w:val="24"/>
          <w:lang w:val="en-GB" w:eastAsia="hr-HR"/>
        </w:rPr>
      </w:pPr>
    </w:p>
    <w:p w14:paraId="10FDCABA" w14:textId="6B4A86A5" w:rsidR="00934BFE" w:rsidRPr="00395073" w:rsidRDefault="0095717C" w:rsidP="00934BFE">
      <w:pPr>
        <w:spacing w:after="0" w:line="240" w:lineRule="auto"/>
        <w:jc w:val="both"/>
        <w:rPr>
          <w:rFonts w:cstheme="minorHAnsi"/>
          <w:sz w:val="24"/>
          <w:szCs w:val="24"/>
          <w:lang w:val="en-GB"/>
        </w:rPr>
      </w:pPr>
      <w:r w:rsidRPr="00395073">
        <w:rPr>
          <w:rFonts w:cstheme="minorHAnsi"/>
          <w:sz w:val="24"/>
          <w:szCs w:val="24"/>
          <w:lang w:val="en-GB"/>
        </w:rPr>
        <w:t xml:space="preserve">In total liabilities and </w:t>
      </w:r>
      <w:r w:rsidR="006148F7" w:rsidRPr="006148F7">
        <w:rPr>
          <w:rFonts w:cstheme="minorHAnsi"/>
          <w:sz w:val="24"/>
          <w:szCs w:val="24"/>
          <w:lang w:val="en-GB"/>
        </w:rPr>
        <w:t xml:space="preserve">total </w:t>
      </w:r>
      <w:proofErr w:type="gramStart"/>
      <w:r w:rsidR="006148F7" w:rsidRPr="006148F7">
        <w:rPr>
          <w:rFonts w:cstheme="minorHAnsi"/>
          <w:sz w:val="24"/>
          <w:szCs w:val="24"/>
          <w:lang w:val="en-GB"/>
        </w:rPr>
        <w:t xml:space="preserve">equity </w:t>
      </w:r>
      <w:r w:rsidRPr="00395073">
        <w:rPr>
          <w:rFonts w:cstheme="minorHAnsi"/>
          <w:sz w:val="24"/>
          <w:szCs w:val="24"/>
          <w:lang w:val="en-GB"/>
        </w:rPr>
        <w:t xml:space="preserve"> of</w:t>
      </w:r>
      <w:proofErr w:type="gramEnd"/>
      <w:r w:rsidRPr="00395073">
        <w:rPr>
          <w:rFonts w:cstheme="minorHAnsi"/>
          <w:sz w:val="24"/>
          <w:szCs w:val="24"/>
          <w:lang w:val="en-GB"/>
        </w:rPr>
        <w:t xml:space="preserve"> the Group, the major portion, i.e. 59.</w:t>
      </w:r>
      <w:r w:rsidR="005F1497" w:rsidRPr="00395073">
        <w:rPr>
          <w:rFonts w:cstheme="minorHAnsi"/>
          <w:sz w:val="24"/>
          <w:szCs w:val="24"/>
          <w:lang w:val="en-GB"/>
        </w:rPr>
        <w:t>85</w:t>
      </w:r>
      <w:r w:rsidR="00597D4B" w:rsidRPr="00395073">
        <w:rPr>
          <w:rFonts w:cstheme="minorHAnsi"/>
          <w:sz w:val="24"/>
          <w:szCs w:val="24"/>
          <w:lang w:val="en-GB"/>
        </w:rPr>
        <w:t xml:space="preserve"> </w:t>
      </w:r>
      <w:r w:rsidRPr="00395073">
        <w:rPr>
          <w:rFonts w:cstheme="minorHAnsi"/>
          <w:sz w:val="24"/>
          <w:szCs w:val="24"/>
          <w:lang w:val="en-GB"/>
        </w:rPr>
        <w:t>percent, consists of borrowings and bonds payable of the parent company</w:t>
      </w:r>
      <w:r w:rsidR="00934BFE" w:rsidRPr="00395073">
        <w:rPr>
          <w:rFonts w:cstheme="minorHAnsi"/>
          <w:sz w:val="24"/>
          <w:szCs w:val="24"/>
          <w:lang w:val="en-GB"/>
        </w:rPr>
        <w:t>.</w:t>
      </w:r>
    </w:p>
    <w:p w14:paraId="7356FD5C" w14:textId="77777777" w:rsidR="00934BFE" w:rsidRPr="00395073" w:rsidRDefault="00934BFE" w:rsidP="00934BFE">
      <w:pPr>
        <w:spacing w:after="0" w:line="240" w:lineRule="auto"/>
        <w:jc w:val="both"/>
        <w:rPr>
          <w:rFonts w:cstheme="minorHAnsi"/>
          <w:sz w:val="24"/>
          <w:szCs w:val="24"/>
          <w:lang w:val="en-GB"/>
        </w:rPr>
      </w:pPr>
    </w:p>
    <w:p w14:paraId="6B42B0AC" w14:textId="48F49D51" w:rsidR="003358AA" w:rsidRPr="00395073" w:rsidRDefault="0095717C" w:rsidP="0065688C">
      <w:pPr>
        <w:tabs>
          <w:tab w:val="left" w:pos="1204"/>
        </w:tabs>
        <w:jc w:val="both"/>
        <w:rPr>
          <w:rFonts w:cstheme="minorHAnsi"/>
          <w:sz w:val="24"/>
          <w:szCs w:val="24"/>
          <w:lang w:val="en-GB"/>
        </w:rPr>
        <w:sectPr w:rsidR="003358AA" w:rsidRPr="00395073" w:rsidSect="00811935">
          <w:footerReference w:type="first" r:id="rId16"/>
          <w:pgSz w:w="11906" w:h="16838" w:code="9"/>
          <w:pgMar w:top="-383" w:right="1134" w:bottom="567" w:left="1418" w:header="709" w:footer="709" w:gutter="0"/>
          <w:pgNumType w:start="4"/>
          <w:cols w:space="708"/>
          <w:titlePg/>
          <w:docGrid w:linePitch="360"/>
        </w:sectPr>
      </w:pPr>
      <w:r w:rsidRPr="00395073">
        <w:rPr>
          <w:rFonts w:cstheme="minorHAnsi"/>
          <w:sz w:val="24"/>
          <w:szCs w:val="24"/>
          <w:lang w:val="en-GB"/>
        </w:rPr>
        <w:t xml:space="preserve">At the end of the reporting period, total </w:t>
      </w:r>
      <w:r w:rsidR="006148F7">
        <w:rPr>
          <w:rFonts w:cstheme="minorHAnsi"/>
          <w:sz w:val="24"/>
          <w:szCs w:val="24"/>
          <w:lang w:val="en-GB"/>
        </w:rPr>
        <w:t xml:space="preserve">equity </w:t>
      </w:r>
      <w:r w:rsidRPr="00395073">
        <w:rPr>
          <w:rFonts w:cstheme="minorHAnsi"/>
          <w:sz w:val="24"/>
          <w:szCs w:val="24"/>
          <w:lang w:val="en-GB"/>
        </w:rPr>
        <w:t xml:space="preserve">on consolidated basis amounted to HRK </w:t>
      </w:r>
      <w:r w:rsidR="005F1497" w:rsidRPr="00395073">
        <w:rPr>
          <w:rFonts w:cstheme="minorHAnsi"/>
          <w:sz w:val="24"/>
          <w:szCs w:val="24"/>
          <w:lang w:val="en-GB"/>
        </w:rPr>
        <w:t>9</w:t>
      </w:r>
      <w:r w:rsidRPr="00395073">
        <w:rPr>
          <w:rFonts w:eastAsia="Times New Roman" w:cs="Calibri"/>
          <w:spacing w:val="-3"/>
          <w:sz w:val="24"/>
          <w:szCs w:val="24"/>
          <w:lang w:val="en-GB" w:eastAsia="hr-HR"/>
        </w:rPr>
        <w:t>,</w:t>
      </w:r>
      <w:r w:rsidR="005F1497" w:rsidRPr="00395073">
        <w:rPr>
          <w:rFonts w:eastAsia="Times New Roman" w:cs="Calibri"/>
          <w:spacing w:val="-3"/>
          <w:sz w:val="24"/>
          <w:szCs w:val="24"/>
          <w:lang w:val="en-GB" w:eastAsia="hr-HR"/>
        </w:rPr>
        <w:t>959</w:t>
      </w:r>
      <w:r w:rsidR="00597D4B" w:rsidRPr="00395073">
        <w:rPr>
          <w:rFonts w:eastAsia="Times New Roman" w:cs="Calibri"/>
          <w:spacing w:val="-3"/>
          <w:sz w:val="24"/>
          <w:szCs w:val="24"/>
          <w:lang w:val="en-GB" w:eastAsia="hr-HR"/>
        </w:rPr>
        <w:t>.</w:t>
      </w:r>
      <w:r w:rsidR="005F1497" w:rsidRPr="00395073">
        <w:rPr>
          <w:rFonts w:eastAsia="Times New Roman" w:cs="Calibri"/>
          <w:spacing w:val="-3"/>
          <w:sz w:val="24"/>
          <w:szCs w:val="24"/>
          <w:lang w:val="en-GB" w:eastAsia="hr-HR"/>
        </w:rPr>
        <w:t>75</w:t>
      </w:r>
      <w:r w:rsidRPr="00395073">
        <w:rPr>
          <w:rFonts w:cstheme="minorHAnsi"/>
          <w:sz w:val="24"/>
          <w:szCs w:val="24"/>
          <w:lang w:val="en-GB"/>
        </w:rPr>
        <w:t xml:space="preserve"> million and accounted for </w:t>
      </w:r>
      <w:r w:rsidR="00597D4B" w:rsidRPr="00395073">
        <w:rPr>
          <w:rFonts w:cstheme="minorHAnsi"/>
          <w:sz w:val="24"/>
          <w:szCs w:val="24"/>
          <w:lang w:val="en-GB"/>
        </w:rPr>
        <w:t>3</w:t>
      </w:r>
      <w:r w:rsidR="005F1497" w:rsidRPr="00395073">
        <w:rPr>
          <w:rFonts w:cstheme="minorHAnsi"/>
          <w:sz w:val="24"/>
          <w:szCs w:val="24"/>
          <w:lang w:val="en-GB"/>
        </w:rPr>
        <w:t>6</w:t>
      </w:r>
      <w:r w:rsidRPr="00395073">
        <w:rPr>
          <w:rFonts w:cstheme="minorHAnsi"/>
          <w:sz w:val="24"/>
          <w:szCs w:val="24"/>
          <w:lang w:val="en-GB"/>
        </w:rPr>
        <w:t>.</w:t>
      </w:r>
      <w:r w:rsidR="005F1497" w:rsidRPr="00395073">
        <w:rPr>
          <w:rFonts w:cstheme="minorHAnsi"/>
          <w:sz w:val="24"/>
          <w:szCs w:val="24"/>
          <w:lang w:val="en-GB"/>
        </w:rPr>
        <w:t>76</w:t>
      </w:r>
      <w:r w:rsidR="00597D4B" w:rsidRPr="00395073">
        <w:rPr>
          <w:rFonts w:cstheme="minorHAnsi"/>
          <w:sz w:val="24"/>
          <w:szCs w:val="24"/>
          <w:lang w:val="en-GB"/>
        </w:rPr>
        <w:t xml:space="preserve"> </w:t>
      </w:r>
      <w:r w:rsidRPr="00395073">
        <w:rPr>
          <w:rFonts w:cstheme="minorHAnsi"/>
          <w:sz w:val="24"/>
          <w:szCs w:val="24"/>
          <w:lang w:val="en-GB"/>
        </w:rPr>
        <w:t>percent of total liabilities and total equity of the Group</w:t>
      </w:r>
      <w:r w:rsidR="00934BFE" w:rsidRPr="00395073">
        <w:rPr>
          <w:rFonts w:cstheme="minorHAnsi"/>
          <w:sz w:val="24"/>
          <w:szCs w:val="24"/>
          <w:lang w:val="en-GB"/>
        </w:rPr>
        <w:t>.</w:t>
      </w:r>
      <w:r w:rsidR="002A599E" w:rsidRPr="00395073">
        <w:rPr>
          <w:rFonts w:cstheme="minorHAnsi"/>
          <w:sz w:val="24"/>
          <w:szCs w:val="24"/>
          <w:lang w:val="en-GB"/>
        </w:rPr>
        <w:t xml:space="preserve"> </w:t>
      </w:r>
    </w:p>
    <w:p w14:paraId="7880B93B" w14:textId="77777777" w:rsidR="00F449AE" w:rsidRPr="00395073" w:rsidRDefault="00F449AE" w:rsidP="00C23C95">
      <w:pPr>
        <w:tabs>
          <w:tab w:val="left" w:pos="1204"/>
        </w:tabs>
        <w:rPr>
          <w:rFonts w:cstheme="minorHAnsi"/>
          <w:sz w:val="24"/>
          <w:szCs w:val="24"/>
          <w:lang w:val="en-GB"/>
        </w:rPr>
      </w:pPr>
    </w:p>
    <w:p w14:paraId="7D4F0B49" w14:textId="77777777" w:rsidR="00C11727" w:rsidRPr="00395073" w:rsidRDefault="00156B31" w:rsidP="001C6D63">
      <w:pPr>
        <w:spacing w:after="0" w:line="240" w:lineRule="auto"/>
        <w:ind w:left="-284" w:right="-425"/>
        <w:rPr>
          <w:rFonts w:cstheme="minorHAnsi"/>
          <w:sz w:val="24"/>
          <w:szCs w:val="24"/>
          <w:lang w:val="en-GB"/>
        </w:rPr>
      </w:pPr>
      <w:r w:rsidRPr="00395073">
        <w:rPr>
          <w:rFonts w:cstheme="minorHAnsi"/>
          <w:sz w:val="24"/>
          <w:szCs w:val="24"/>
          <w:lang w:val="en-GB"/>
        </w:rPr>
        <w:t xml:space="preserve">  </w:t>
      </w:r>
      <w:r w:rsidR="0063123C" w:rsidRPr="00395073">
        <w:rPr>
          <w:rFonts w:cstheme="minorHAnsi"/>
          <w:sz w:val="24"/>
          <w:szCs w:val="24"/>
          <w:lang w:val="en-GB"/>
        </w:rPr>
        <w:t xml:space="preserve"> </w:t>
      </w:r>
      <w:r w:rsidRPr="00395073">
        <w:rPr>
          <w:rFonts w:cstheme="minorHAnsi"/>
          <w:noProof/>
          <w:sz w:val="24"/>
          <w:szCs w:val="24"/>
          <w:lang w:val="en-GB"/>
        </w:rPr>
        <w:drawing>
          <wp:inline distT="0" distB="0" distL="0" distR="0" wp14:anchorId="68039300" wp14:editId="6C2B5C0A">
            <wp:extent cx="2902676" cy="3276000"/>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2676" cy="3276000"/>
                    </a:xfrm>
                    <a:prstGeom prst="rect">
                      <a:avLst/>
                    </a:prstGeom>
                    <a:noFill/>
                  </pic:spPr>
                </pic:pic>
              </a:graphicData>
            </a:graphic>
          </wp:inline>
        </w:drawing>
      </w:r>
      <w:r w:rsidR="0063123C" w:rsidRPr="00395073">
        <w:rPr>
          <w:rFonts w:cstheme="minorHAnsi"/>
          <w:sz w:val="24"/>
          <w:szCs w:val="24"/>
          <w:lang w:val="en-GB"/>
        </w:rPr>
        <w:t xml:space="preserve">   </w:t>
      </w:r>
      <w:r w:rsidRPr="00395073">
        <w:rPr>
          <w:rFonts w:cstheme="minorHAnsi"/>
          <w:noProof/>
          <w:sz w:val="24"/>
          <w:szCs w:val="24"/>
          <w:lang w:val="en-GB"/>
        </w:rPr>
        <w:drawing>
          <wp:inline distT="0" distB="0" distL="0" distR="0" wp14:anchorId="5676D1D5" wp14:editId="275CCF4B">
            <wp:extent cx="2902676" cy="3276000"/>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2676" cy="3276000"/>
                    </a:xfrm>
                    <a:prstGeom prst="rect">
                      <a:avLst/>
                    </a:prstGeom>
                    <a:noFill/>
                  </pic:spPr>
                </pic:pic>
              </a:graphicData>
            </a:graphic>
          </wp:inline>
        </w:drawing>
      </w:r>
    </w:p>
    <w:p w14:paraId="5C70DD4A" w14:textId="77777777" w:rsidR="0063123C" w:rsidRPr="00395073" w:rsidRDefault="0063123C" w:rsidP="001C6D63">
      <w:pPr>
        <w:spacing w:after="0" w:line="240" w:lineRule="auto"/>
        <w:ind w:left="-284" w:right="-425"/>
        <w:rPr>
          <w:rFonts w:cstheme="minorHAnsi"/>
          <w:sz w:val="24"/>
          <w:szCs w:val="24"/>
          <w:lang w:val="en-GB"/>
        </w:rPr>
      </w:pPr>
    </w:p>
    <w:p w14:paraId="70E63DC4" w14:textId="77777777" w:rsidR="0063123C" w:rsidRPr="00395073" w:rsidRDefault="0063123C" w:rsidP="001C6D63">
      <w:pPr>
        <w:spacing w:after="0" w:line="240" w:lineRule="auto"/>
        <w:ind w:left="-284" w:right="-425"/>
        <w:rPr>
          <w:rFonts w:cstheme="minorHAnsi"/>
          <w:sz w:val="24"/>
          <w:szCs w:val="24"/>
          <w:lang w:val="en-GB"/>
        </w:rPr>
      </w:pPr>
    </w:p>
    <w:p w14:paraId="4BDC78E5" w14:textId="77777777" w:rsidR="0063123C" w:rsidRPr="00395073" w:rsidRDefault="0063123C" w:rsidP="001C6D63">
      <w:pPr>
        <w:spacing w:after="0" w:line="240" w:lineRule="auto"/>
        <w:ind w:left="-284" w:right="-425"/>
        <w:rPr>
          <w:rFonts w:cstheme="minorHAnsi"/>
          <w:sz w:val="24"/>
          <w:szCs w:val="24"/>
          <w:lang w:val="en-GB"/>
        </w:rPr>
      </w:pPr>
      <w:r w:rsidRPr="00395073">
        <w:rPr>
          <w:rFonts w:cstheme="minorHAnsi"/>
          <w:sz w:val="24"/>
          <w:szCs w:val="24"/>
          <w:lang w:val="en-GB"/>
        </w:rPr>
        <w:t xml:space="preserve">  </w:t>
      </w:r>
      <w:r w:rsidR="00156B31" w:rsidRPr="00395073">
        <w:rPr>
          <w:rFonts w:cstheme="minorHAnsi"/>
          <w:sz w:val="24"/>
          <w:szCs w:val="24"/>
          <w:lang w:val="en-GB"/>
        </w:rPr>
        <w:t xml:space="preserve">  </w:t>
      </w:r>
      <w:r w:rsidRPr="00395073">
        <w:rPr>
          <w:rFonts w:cstheme="minorHAnsi"/>
          <w:sz w:val="24"/>
          <w:szCs w:val="24"/>
          <w:lang w:val="en-GB"/>
        </w:rPr>
        <w:t xml:space="preserve"> </w:t>
      </w:r>
      <w:r w:rsidR="00156B31" w:rsidRPr="00395073">
        <w:rPr>
          <w:rFonts w:cstheme="minorHAnsi"/>
          <w:noProof/>
          <w:sz w:val="24"/>
          <w:szCs w:val="24"/>
          <w:lang w:val="en-GB"/>
        </w:rPr>
        <w:drawing>
          <wp:inline distT="0" distB="0" distL="0" distR="0" wp14:anchorId="2E892DD7" wp14:editId="5FB0506B">
            <wp:extent cx="2902676" cy="3276000"/>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02676" cy="3276000"/>
                    </a:xfrm>
                    <a:prstGeom prst="rect">
                      <a:avLst/>
                    </a:prstGeom>
                    <a:noFill/>
                  </pic:spPr>
                </pic:pic>
              </a:graphicData>
            </a:graphic>
          </wp:inline>
        </w:drawing>
      </w:r>
      <w:r w:rsidRPr="00395073">
        <w:rPr>
          <w:rFonts w:cstheme="minorHAnsi"/>
          <w:sz w:val="24"/>
          <w:szCs w:val="24"/>
          <w:lang w:val="en-GB"/>
        </w:rPr>
        <w:t xml:space="preserve"> </w:t>
      </w:r>
      <w:r w:rsidR="00156B31" w:rsidRPr="00395073">
        <w:rPr>
          <w:rFonts w:cstheme="minorHAnsi"/>
          <w:sz w:val="24"/>
          <w:szCs w:val="24"/>
          <w:lang w:val="en-GB"/>
        </w:rPr>
        <w:t xml:space="preserve"> </w:t>
      </w:r>
      <w:r w:rsidR="00156B31" w:rsidRPr="00395073">
        <w:rPr>
          <w:rFonts w:cstheme="minorHAnsi"/>
          <w:noProof/>
          <w:sz w:val="24"/>
          <w:szCs w:val="24"/>
          <w:lang w:val="en-GB"/>
        </w:rPr>
        <w:drawing>
          <wp:inline distT="0" distB="0" distL="0" distR="0" wp14:anchorId="0A0A055F" wp14:editId="3D7CC196">
            <wp:extent cx="2902676" cy="3276000"/>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2676" cy="3276000"/>
                    </a:xfrm>
                    <a:prstGeom prst="rect">
                      <a:avLst/>
                    </a:prstGeom>
                    <a:noFill/>
                  </pic:spPr>
                </pic:pic>
              </a:graphicData>
            </a:graphic>
          </wp:inline>
        </w:drawing>
      </w:r>
    </w:p>
    <w:p w14:paraId="6416CA39" w14:textId="77777777" w:rsidR="0063123C" w:rsidRPr="00395073" w:rsidRDefault="0063123C" w:rsidP="001C6D63">
      <w:pPr>
        <w:spacing w:after="0" w:line="240" w:lineRule="auto"/>
        <w:ind w:left="-284" w:right="-425"/>
        <w:rPr>
          <w:rFonts w:eastAsia="Times New Roman" w:cs="Calibri"/>
          <w:b/>
          <w:noProof/>
          <w:spacing w:val="-3"/>
          <w:sz w:val="24"/>
          <w:szCs w:val="24"/>
          <w:lang w:val="en-GB" w:eastAsia="hr-HR"/>
        </w:rPr>
      </w:pPr>
    </w:p>
    <w:p w14:paraId="5958CF29" w14:textId="77777777" w:rsidR="0063123C" w:rsidRPr="00395073" w:rsidRDefault="0095717C" w:rsidP="00A66E01">
      <w:pPr>
        <w:spacing w:before="240" w:after="0" w:line="240" w:lineRule="auto"/>
        <w:jc w:val="both"/>
        <w:rPr>
          <w:rFonts w:eastAsia="Times New Roman" w:cs="Calibri"/>
          <w:color w:val="7F7F7F" w:themeColor="text1" w:themeTint="80"/>
          <w:spacing w:val="-3"/>
          <w:sz w:val="20"/>
          <w:szCs w:val="20"/>
          <w:lang w:val="en-GB" w:eastAsia="hr-HR"/>
        </w:rPr>
      </w:pPr>
      <w:r w:rsidRPr="00395073">
        <w:rPr>
          <w:rFonts w:eastAsia="Times New Roman" w:cs="Calibri"/>
          <w:color w:val="7F7F7F" w:themeColor="text1" w:themeTint="80"/>
          <w:spacing w:val="-3"/>
          <w:sz w:val="20"/>
          <w:szCs w:val="20"/>
          <w:lang w:val="en-GB" w:eastAsia="hr-HR"/>
        </w:rPr>
        <w:t xml:space="preserve">*Financial assets at fair value through profit or loss, Assets held to maturity, Property, plant and equipment and intangible assets, </w:t>
      </w:r>
      <w:proofErr w:type="gramStart"/>
      <w:r w:rsidRPr="00395073">
        <w:rPr>
          <w:rFonts w:eastAsia="Times New Roman" w:cs="Calibri"/>
          <w:color w:val="7F7F7F" w:themeColor="text1" w:themeTint="80"/>
          <w:spacing w:val="-3"/>
          <w:sz w:val="20"/>
          <w:szCs w:val="20"/>
          <w:lang w:val="en-GB" w:eastAsia="hr-HR"/>
        </w:rPr>
        <w:t>Non-current</w:t>
      </w:r>
      <w:proofErr w:type="gramEnd"/>
      <w:r w:rsidRPr="00395073">
        <w:rPr>
          <w:rFonts w:eastAsia="Times New Roman" w:cs="Calibri"/>
          <w:color w:val="7F7F7F" w:themeColor="text1" w:themeTint="80"/>
          <w:spacing w:val="-3"/>
          <w:sz w:val="20"/>
          <w:szCs w:val="20"/>
          <w:lang w:val="en-GB" w:eastAsia="hr-HR"/>
        </w:rPr>
        <w:t xml:space="preserve"> assets held for sale and Other assets</w:t>
      </w:r>
      <w:r w:rsidR="00A66E01" w:rsidRPr="00395073">
        <w:rPr>
          <w:rFonts w:eastAsia="Times New Roman" w:cs="Calibri"/>
          <w:color w:val="7F7F7F" w:themeColor="text1" w:themeTint="80"/>
          <w:spacing w:val="-3"/>
          <w:sz w:val="20"/>
          <w:szCs w:val="20"/>
          <w:lang w:val="en-GB" w:eastAsia="hr-HR"/>
        </w:rPr>
        <w:t>.</w:t>
      </w:r>
    </w:p>
    <w:p w14:paraId="3F104BA9" w14:textId="77777777" w:rsidR="0063123C" w:rsidRPr="00395073" w:rsidRDefault="0063123C" w:rsidP="0063123C">
      <w:pPr>
        <w:spacing w:before="240" w:after="0" w:line="240" w:lineRule="auto"/>
        <w:jc w:val="both"/>
        <w:rPr>
          <w:rFonts w:eastAsia="Times New Roman" w:cs="Calibri"/>
          <w:color w:val="7F7F7F" w:themeColor="text1" w:themeTint="80"/>
          <w:spacing w:val="-3"/>
          <w:sz w:val="20"/>
          <w:szCs w:val="20"/>
          <w:lang w:val="en-GB" w:eastAsia="hr-HR"/>
        </w:rPr>
      </w:pPr>
      <w:r w:rsidRPr="00395073">
        <w:rPr>
          <w:rFonts w:eastAsia="Times New Roman" w:cs="Calibri"/>
          <w:color w:val="7F7F7F" w:themeColor="text1" w:themeTint="80"/>
          <w:spacing w:val="-3"/>
          <w:sz w:val="20"/>
          <w:szCs w:val="20"/>
          <w:lang w:val="en-GB" w:eastAsia="hr-HR"/>
        </w:rPr>
        <w:t xml:space="preserve">**Property, plant and equipment and intangible assets, </w:t>
      </w:r>
      <w:proofErr w:type="gramStart"/>
      <w:r w:rsidRPr="00395073">
        <w:rPr>
          <w:rFonts w:eastAsia="Times New Roman" w:cs="Calibri"/>
          <w:color w:val="7F7F7F" w:themeColor="text1" w:themeTint="80"/>
          <w:spacing w:val="-3"/>
          <w:sz w:val="20"/>
          <w:szCs w:val="20"/>
          <w:lang w:val="en-GB" w:eastAsia="hr-HR"/>
        </w:rPr>
        <w:t>Non-current</w:t>
      </w:r>
      <w:proofErr w:type="gramEnd"/>
      <w:r w:rsidRPr="00395073">
        <w:rPr>
          <w:rFonts w:eastAsia="Times New Roman" w:cs="Calibri"/>
          <w:color w:val="7F7F7F" w:themeColor="text1" w:themeTint="80"/>
          <w:spacing w:val="-3"/>
          <w:sz w:val="20"/>
          <w:szCs w:val="20"/>
          <w:lang w:val="en-GB" w:eastAsia="hr-HR"/>
        </w:rPr>
        <w:t xml:space="preserve"> assets held for sale and Other assets.</w:t>
      </w:r>
    </w:p>
    <w:p w14:paraId="6F335E38" w14:textId="77777777" w:rsidR="0063123C" w:rsidRPr="00395073" w:rsidRDefault="0063123C" w:rsidP="00A66E01">
      <w:pPr>
        <w:spacing w:before="240" w:after="0" w:line="240" w:lineRule="auto"/>
        <w:jc w:val="both"/>
        <w:rPr>
          <w:rFonts w:eastAsia="Times New Roman" w:cs="Calibri"/>
          <w:color w:val="7F7F7F" w:themeColor="text1" w:themeTint="80"/>
          <w:spacing w:val="-3"/>
          <w:sz w:val="20"/>
          <w:szCs w:val="20"/>
          <w:lang w:val="en-GB" w:eastAsia="hr-HR"/>
        </w:rPr>
      </w:pPr>
    </w:p>
    <w:p w14:paraId="20B283A8" w14:textId="77777777" w:rsidR="0063123C" w:rsidRPr="00395073" w:rsidRDefault="0063123C" w:rsidP="00A66E01">
      <w:pPr>
        <w:spacing w:before="240" w:after="0" w:line="240" w:lineRule="auto"/>
        <w:jc w:val="both"/>
        <w:rPr>
          <w:rFonts w:eastAsia="Times New Roman" w:cs="Calibri"/>
          <w:color w:val="7F7F7F" w:themeColor="text1" w:themeTint="80"/>
          <w:spacing w:val="-3"/>
          <w:sz w:val="20"/>
          <w:szCs w:val="20"/>
          <w:lang w:val="en-GB" w:eastAsia="hr-HR"/>
        </w:rPr>
        <w:sectPr w:rsidR="0063123C" w:rsidRPr="00395073" w:rsidSect="000241D5">
          <w:footerReference w:type="first" r:id="rId21"/>
          <w:pgSz w:w="11906" w:h="16838" w:code="9"/>
          <w:pgMar w:top="596" w:right="1133" w:bottom="1417" w:left="1417" w:header="709" w:footer="709" w:gutter="0"/>
          <w:cols w:space="708"/>
          <w:titlePg/>
          <w:docGrid w:linePitch="360"/>
        </w:sectPr>
      </w:pPr>
    </w:p>
    <w:p w14:paraId="7B717A80" w14:textId="77777777" w:rsidR="00A66E01" w:rsidRPr="00395073" w:rsidRDefault="00A66E01" w:rsidP="00A66E01">
      <w:pPr>
        <w:spacing w:before="240" w:after="0" w:line="240" w:lineRule="auto"/>
        <w:jc w:val="both"/>
        <w:rPr>
          <w:rFonts w:eastAsia="Times New Roman" w:cs="Calibri"/>
          <w:color w:val="7F7F7F" w:themeColor="text1" w:themeTint="80"/>
          <w:spacing w:val="-3"/>
          <w:sz w:val="20"/>
          <w:szCs w:val="20"/>
          <w:lang w:val="en-GB" w:eastAsia="hr-HR"/>
        </w:rPr>
      </w:pPr>
    </w:p>
    <w:p w14:paraId="4B7582BA" w14:textId="77777777" w:rsidR="00FF02C3" w:rsidRPr="00395073" w:rsidRDefault="00FF02C3" w:rsidP="00801EB8">
      <w:pPr>
        <w:spacing w:after="0" w:line="240" w:lineRule="auto"/>
        <w:rPr>
          <w:rFonts w:eastAsia="Times New Roman" w:cs="Calibri"/>
          <w:color w:val="7F7F7F" w:themeColor="text1" w:themeTint="80"/>
          <w:spacing w:val="-3"/>
          <w:sz w:val="20"/>
          <w:szCs w:val="20"/>
          <w:lang w:val="en-GB" w:eastAsia="hr-HR"/>
        </w:rPr>
      </w:pPr>
    </w:p>
    <w:p w14:paraId="7624E7B8"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0DA68FF" w14:textId="77777777" w:rsidR="0088304A" w:rsidRPr="00395073" w:rsidRDefault="0088304A">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5FAA885" w14:textId="77777777" w:rsidR="0088304A" w:rsidRPr="00395073" w:rsidRDefault="0088304A">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C1FE4C4"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E97E81A"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B0106C"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172FD6A"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370A0DA"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2D7A0C3"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53F4350"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706322C"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3BFA138"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998B604"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28B74AB"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B07AD51"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090FD86"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55AFCB0"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E9C9AEC" w14:textId="2A5A464A" w:rsidR="001D2396"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473E0D" w14:textId="1C246944" w:rsidR="00395700" w:rsidRDefault="00395700">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BE728CD" w14:textId="2E1504CF" w:rsidR="00395700" w:rsidRDefault="00395700">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76645D9" w14:textId="77777777" w:rsidR="00395700" w:rsidRPr="00395073" w:rsidRDefault="00395700">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8EFFEF1" w14:textId="77777777" w:rsidR="0095717C" w:rsidRPr="00395073" w:rsidRDefault="0095717C" w:rsidP="0095717C">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395073">
        <w:rPr>
          <w:rFonts w:ascii="Calibri" w:eastAsia="Times New Roman" w:hAnsi="Calibri" w:cs="Arial"/>
          <w:b/>
          <w:sz w:val="32"/>
          <w:szCs w:val="32"/>
          <w:lang w:val="en-GB"/>
        </w:rPr>
        <w:t>RESULTS OF HBOR</w:t>
      </w:r>
    </w:p>
    <w:p w14:paraId="1A1427AA"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2425C82"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6E3A01A"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581B3C1"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BD9B054"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94E6FB6"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1209A38"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AC92EFB"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31C4ED1"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00876AD"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FBDA104"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8D6EBF2"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826866C"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FF991A"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0A1594E"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8EBDD87"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B9E55DD"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450E69D" w14:textId="77777777" w:rsidR="001D2396" w:rsidRPr="00395073"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395073" w:rsidSect="000241D5">
          <w:footerReference w:type="first" r:id="rId22"/>
          <w:pgSz w:w="11906" w:h="16838" w:code="9"/>
          <w:pgMar w:top="596" w:right="1133" w:bottom="1417" w:left="1417" w:header="709" w:footer="709" w:gutter="0"/>
          <w:cols w:space="708"/>
          <w:titlePg/>
          <w:docGrid w:linePitch="360"/>
        </w:sectPr>
      </w:pPr>
    </w:p>
    <w:p w14:paraId="7EABDB04" w14:textId="77777777" w:rsidR="00A0186A" w:rsidRPr="00395073" w:rsidRDefault="00A0186A" w:rsidP="00A0186A">
      <w:pPr>
        <w:keepNext/>
        <w:spacing w:after="0" w:line="240" w:lineRule="auto"/>
        <w:jc w:val="center"/>
        <w:outlineLvl w:val="1"/>
        <w:rPr>
          <w:rFonts w:ascii="Calibri" w:hAnsi="Calibri" w:cs="Calibri"/>
          <w:b/>
          <w:bCs/>
          <w:sz w:val="24"/>
          <w:szCs w:val="24"/>
          <w:lang w:val="en-GB" w:eastAsia="x-none"/>
        </w:rPr>
      </w:pPr>
      <w:bookmarkStart w:id="2" w:name="_Toc477261950"/>
      <w:r w:rsidRPr="00395073">
        <w:rPr>
          <w:rFonts w:ascii="Calibri" w:hAnsi="Calibri" w:cs="Calibri"/>
          <w:b/>
          <w:bCs/>
          <w:sz w:val="24"/>
          <w:szCs w:val="24"/>
          <w:lang w:val="en-GB" w:eastAsia="x-none"/>
        </w:rPr>
        <w:lastRenderedPageBreak/>
        <w:t>OVERVIEW OF FINANCIAL PERFORMANCE OF HBOR</w:t>
      </w:r>
      <w:bookmarkEnd w:id="2"/>
    </w:p>
    <w:p w14:paraId="21FE1B52" w14:textId="77777777" w:rsidR="003E5F5C" w:rsidRPr="00395073" w:rsidRDefault="003E5F5C" w:rsidP="00C23C95">
      <w:pPr>
        <w:keepNext/>
        <w:spacing w:after="0" w:line="240" w:lineRule="auto"/>
        <w:jc w:val="center"/>
        <w:outlineLvl w:val="1"/>
        <w:rPr>
          <w:rFonts w:ascii="Calibri" w:hAnsi="Calibri" w:cs="Calibri"/>
          <w:b/>
          <w:bCs/>
          <w:sz w:val="24"/>
          <w:szCs w:val="24"/>
          <w:lang w:val="en-GB" w:eastAsia="x-none"/>
        </w:rPr>
      </w:pPr>
    </w:p>
    <w:p w14:paraId="2C6ADDCD" w14:textId="77777777" w:rsidR="00BF17D9" w:rsidRPr="00395073" w:rsidRDefault="00A0186A" w:rsidP="00C23C95">
      <w:pPr>
        <w:spacing w:after="0" w:line="240" w:lineRule="auto"/>
        <w:jc w:val="both"/>
        <w:rPr>
          <w:rFonts w:ascii="Calibri" w:hAnsi="Calibri" w:cs="Calibri"/>
          <w:sz w:val="24"/>
          <w:szCs w:val="24"/>
          <w:lang w:val="en-GB"/>
        </w:rPr>
      </w:pPr>
      <w:r w:rsidRPr="00395073">
        <w:rPr>
          <w:rFonts w:ascii="Calibri" w:hAnsi="Calibri" w:cs="Calibri"/>
          <w:sz w:val="24"/>
          <w:szCs w:val="24"/>
          <w:lang w:val="en-GB"/>
        </w:rPr>
        <w:t>The following text gives an overview and explanation of the significant changes in financial position and operating performance in the reporting period</w:t>
      </w:r>
      <w:r w:rsidR="00BF17D9" w:rsidRPr="00395073">
        <w:rPr>
          <w:rFonts w:ascii="Calibri" w:hAnsi="Calibri" w:cs="Calibri"/>
          <w:sz w:val="24"/>
          <w:szCs w:val="24"/>
          <w:lang w:val="en-GB"/>
        </w:rPr>
        <w:t>.</w:t>
      </w:r>
    </w:p>
    <w:p w14:paraId="1ACBC01E" w14:textId="77777777" w:rsidR="00BB0300" w:rsidRPr="00395073" w:rsidRDefault="00BB0300" w:rsidP="00C23C95">
      <w:pPr>
        <w:spacing w:after="0" w:line="240" w:lineRule="auto"/>
        <w:jc w:val="both"/>
        <w:rPr>
          <w:rFonts w:ascii="Calibri" w:hAnsi="Calibri" w:cs="Calibri"/>
          <w:sz w:val="24"/>
          <w:szCs w:val="24"/>
          <w:lang w:val="en-GB"/>
        </w:rPr>
      </w:pPr>
    </w:p>
    <w:p w14:paraId="1595ECAF" w14:textId="77777777" w:rsidR="00BB0300" w:rsidRPr="00395073" w:rsidRDefault="00A0186A" w:rsidP="00E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222222"/>
          <w:sz w:val="24"/>
          <w:szCs w:val="24"/>
          <w:lang w:val="en-GB"/>
        </w:rPr>
      </w:pPr>
      <w:r w:rsidRPr="00395073">
        <w:rPr>
          <w:rFonts w:cstheme="minorHAnsi"/>
          <w:color w:val="222222"/>
          <w:sz w:val="24"/>
          <w:szCs w:val="24"/>
          <w:lang w:val="en-GB"/>
        </w:rPr>
        <w:t>It must be emphasised once again that since 1 January 2018, the Bank has applied the International Financial Reporting Standard (IFRS) 9 Financial Instruments and has not reversed comparative data for 2017, as allowed by the standard</w:t>
      </w:r>
      <w:r w:rsidR="00BB0300" w:rsidRPr="00395073">
        <w:rPr>
          <w:rFonts w:cstheme="minorHAnsi"/>
          <w:color w:val="222222"/>
          <w:sz w:val="24"/>
          <w:szCs w:val="24"/>
          <w:lang w:val="en-GB"/>
        </w:rPr>
        <w:t xml:space="preserve">. </w:t>
      </w:r>
      <w:r w:rsidRPr="00395073">
        <w:rPr>
          <w:rFonts w:cstheme="minorHAnsi"/>
          <w:color w:val="222222"/>
          <w:sz w:val="24"/>
          <w:szCs w:val="24"/>
          <w:lang w:val="en-GB"/>
        </w:rPr>
        <w:t xml:space="preserve">Pursuant to the mentioned, the current period from 1 January to 30 </w:t>
      </w:r>
      <w:r w:rsidR="00E26555" w:rsidRPr="00395073">
        <w:rPr>
          <w:rFonts w:cstheme="minorHAnsi"/>
          <w:color w:val="222222"/>
          <w:sz w:val="24"/>
          <w:szCs w:val="24"/>
          <w:lang w:val="en-GB"/>
        </w:rPr>
        <w:t>September</w:t>
      </w:r>
      <w:r w:rsidRPr="00395073">
        <w:rPr>
          <w:rFonts w:cstheme="minorHAnsi"/>
          <w:color w:val="222222"/>
          <w:sz w:val="24"/>
          <w:szCs w:val="24"/>
          <w:lang w:val="en-GB"/>
        </w:rPr>
        <w:t xml:space="preserve"> 2018 is based on IFRS 9, whereas the results for 2017 and for the period from 1 January to 30 </w:t>
      </w:r>
      <w:r w:rsidR="00E26555" w:rsidRPr="00395073">
        <w:rPr>
          <w:rFonts w:cstheme="minorHAnsi"/>
          <w:color w:val="222222"/>
          <w:sz w:val="24"/>
          <w:szCs w:val="24"/>
          <w:lang w:val="en-GB"/>
        </w:rPr>
        <w:t>September</w:t>
      </w:r>
      <w:r w:rsidRPr="00395073">
        <w:rPr>
          <w:rFonts w:cstheme="minorHAnsi"/>
          <w:color w:val="222222"/>
          <w:sz w:val="24"/>
          <w:szCs w:val="24"/>
          <w:lang w:val="en-GB"/>
        </w:rPr>
        <w:t xml:space="preserve"> 2017 are based on the International Accounting Standard (IAS) 39, Financial Instruments: Recognition and Measurement, and comparative data for 2017 are not comparable with the information presented in 2018</w:t>
      </w:r>
      <w:r w:rsidRPr="00395073">
        <w:rPr>
          <w:rFonts w:cstheme="minorHAnsi"/>
          <w:color w:val="222222"/>
          <w:szCs w:val="24"/>
          <w:lang w:val="en-GB"/>
        </w:rPr>
        <w:t xml:space="preserve">. </w:t>
      </w:r>
      <w:r w:rsidR="00BB0300" w:rsidRPr="00395073">
        <w:rPr>
          <w:rFonts w:cstheme="minorHAnsi"/>
          <w:color w:val="222222"/>
          <w:sz w:val="24"/>
          <w:szCs w:val="24"/>
          <w:lang w:val="en-GB"/>
        </w:rPr>
        <w:t xml:space="preserve"> </w:t>
      </w:r>
    </w:p>
    <w:p w14:paraId="33A5A860" w14:textId="77777777" w:rsidR="00BF17D9" w:rsidRPr="00395073" w:rsidRDefault="00BF17D9" w:rsidP="00C23C95">
      <w:pPr>
        <w:tabs>
          <w:tab w:val="left" w:pos="-720"/>
        </w:tabs>
        <w:spacing w:after="0" w:line="240" w:lineRule="auto"/>
        <w:jc w:val="both"/>
        <w:rPr>
          <w:rFonts w:ascii="Calibri" w:hAnsi="Calibri" w:cs="Calibri"/>
          <w:b/>
          <w:spacing w:val="-3"/>
          <w:sz w:val="24"/>
          <w:szCs w:val="24"/>
          <w:lang w:val="en-GB"/>
        </w:rPr>
      </w:pPr>
    </w:p>
    <w:p w14:paraId="75394A8E" w14:textId="77777777" w:rsidR="00A0186A" w:rsidRPr="00395073" w:rsidRDefault="00A0186A" w:rsidP="00A0186A">
      <w:pPr>
        <w:tabs>
          <w:tab w:val="left" w:pos="-720"/>
        </w:tabs>
        <w:spacing w:after="0" w:line="240" w:lineRule="auto"/>
        <w:jc w:val="both"/>
        <w:rPr>
          <w:rFonts w:ascii="Calibri" w:hAnsi="Calibri" w:cs="Calibri"/>
          <w:b/>
          <w:spacing w:val="-3"/>
          <w:sz w:val="24"/>
          <w:szCs w:val="24"/>
          <w:lang w:val="en-GB"/>
        </w:rPr>
      </w:pPr>
      <w:r w:rsidRPr="00395073">
        <w:rPr>
          <w:rFonts w:ascii="Calibri" w:hAnsi="Calibri" w:cs="Calibri"/>
          <w:b/>
          <w:spacing w:val="-3"/>
          <w:sz w:val="24"/>
          <w:szCs w:val="24"/>
          <w:lang w:val="en-GB"/>
        </w:rPr>
        <w:t xml:space="preserve">Financial performance  </w:t>
      </w:r>
    </w:p>
    <w:p w14:paraId="31EE2811" w14:textId="77777777" w:rsidR="003E5F5C" w:rsidRPr="00395073" w:rsidRDefault="003E5F5C" w:rsidP="00C23C95">
      <w:pPr>
        <w:tabs>
          <w:tab w:val="left" w:pos="-720"/>
        </w:tabs>
        <w:spacing w:after="0" w:line="240" w:lineRule="auto"/>
        <w:jc w:val="both"/>
        <w:rPr>
          <w:rFonts w:ascii="Calibri" w:hAnsi="Calibri" w:cs="Calibri"/>
          <w:b/>
          <w:spacing w:val="-3"/>
          <w:sz w:val="24"/>
          <w:szCs w:val="24"/>
          <w:lang w:val="en-GB"/>
        </w:rPr>
      </w:pPr>
    </w:p>
    <w:p w14:paraId="1883DF08" w14:textId="77777777" w:rsidR="00570CA5" w:rsidRPr="00395073" w:rsidRDefault="00570CA5" w:rsidP="00570CA5">
      <w:pPr>
        <w:jc w:val="both"/>
        <w:rPr>
          <w:rFonts w:cstheme="minorHAnsi"/>
          <w:color w:val="222222"/>
          <w:sz w:val="24"/>
          <w:szCs w:val="24"/>
          <w:lang w:val="en-GB"/>
        </w:rPr>
      </w:pPr>
      <w:r w:rsidRPr="00395073">
        <w:rPr>
          <w:rFonts w:cstheme="minorHAnsi"/>
          <w:color w:val="222222"/>
          <w:sz w:val="24"/>
          <w:szCs w:val="24"/>
          <w:lang w:val="en-GB"/>
        </w:rPr>
        <w:t xml:space="preserve">The effects of application of IFRS 9 were recognised </w:t>
      </w:r>
      <w:r w:rsidR="00D618EB" w:rsidRPr="00395073">
        <w:rPr>
          <w:rFonts w:cstheme="minorHAnsi"/>
          <w:color w:val="222222"/>
          <w:sz w:val="24"/>
          <w:szCs w:val="24"/>
          <w:lang w:val="en-GB"/>
        </w:rPr>
        <w:t xml:space="preserve">at the expense of </w:t>
      </w:r>
      <w:r w:rsidRPr="00395073">
        <w:rPr>
          <w:rFonts w:cstheme="minorHAnsi"/>
          <w:color w:val="222222"/>
          <w:sz w:val="24"/>
          <w:szCs w:val="24"/>
          <w:lang w:val="en-GB"/>
        </w:rPr>
        <w:t xml:space="preserve">retained earnings and reserves as </w:t>
      </w:r>
      <w:proofErr w:type="gramStart"/>
      <w:r w:rsidRPr="00395073">
        <w:rPr>
          <w:rFonts w:cstheme="minorHAnsi"/>
          <w:color w:val="222222"/>
          <w:sz w:val="24"/>
          <w:szCs w:val="24"/>
          <w:lang w:val="en-GB"/>
        </w:rPr>
        <w:t>at</w:t>
      </w:r>
      <w:proofErr w:type="gramEnd"/>
      <w:r w:rsidRPr="00395073">
        <w:rPr>
          <w:rFonts w:cstheme="minorHAnsi"/>
          <w:color w:val="222222"/>
          <w:sz w:val="24"/>
          <w:szCs w:val="24"/>
          <w:lang w:val="en-GB"/>
        </w:rPr>
        <w:t xml:space="preserve"> 1 January 2018 in the amount of HRK 469.66 million.</w:t>
      </w:r>
    </w:p>
    <w:p w14:paraId="160FFAFE" w14:textId="77777777" w:rsidR="00BF17D9" w:rsidRPr="00395073" w:rsidRDefault="00570CA5"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In the period from 1 January to 30 </w:t>
      </w:r>
      <w:r w:rsidR="00E26555" w:rsidRPr="00395073">
        <w:rPr>
          <w:rFonts w:cstheme="minorHAnsi"/>
          <w:spacing w:val="-3"/>
          <w:sz w:val="24"/>
          <w:szCs w:val="24"/>
          <w:lang w:val="en-GB"/>
        </w:rPr>
        <w:t>September</w:t>
      </w:r>
      <w:r w:rsidRPr="00395073">
        <w:rPr>
          <w:rFonts w:cstheme="minorHAnsi"/>
          <w:spacing w:val="-3"/>
          <w:sz w:val="24"/>
          <w:szCs w:val="24"/>
          <w:lang w:val="en-GB"/>
        </w:rPr>
        <w:t xml:space="preserve"> </w:t>
      </w:r>
      <w:r w:rsidR="00BF17D9" w:rsidRPr="00395073">
        <w:rPr>
          <w:rFonts w:cstheme="minorHAnsi"/>
          <w:spacing w:val="-3"/>
          <w:sz w:val="24"/>
          <w:szCs w:val="24"/>
          <w:lang w:val="en-GB"/>
        </w:rPr>
        <w:t>201</w:t>
      </w:r>
      <w:r w:rsidR="00212DE6" w:rsidRPr="00395073">
        <w:rPr>
          <w:rFonts w:cstheme="minorHAnsi"/>
          <w:spacing w:val="-3"/>
          <w:sz w:val="24"/>
          <w:szCs w:val="24"/>
          <w:lang w:val="en-GB"/>
        </w:rPr>
        <w:t>8</w:t>
      </w:r>
      <w:r w:rsidRPr="00395073">
        <w:rPr>
          <w:rFonts w:cstheme="minorHAnsi"/>
          <w:spacing w:val="-3"/>
          <w:sz w:val="24"/>
          <w:szCs w:val="24"/>
          <w:lang w:val="en-GB"/>
        </w:rPr>
        <w:t>,</w:t>
      </w:r>
      <w:r w:rsidR="00BF17D9" w:rsidRPr="00395073">
        <w:rPr>
          <w:rFonts w:cstheme="minorHAnsi"/>
          <w:spacing w:val="-3"/>
          <w:sz w:val="24"/>
          <w:szCs w:val="24"/>
          <w:lang w:val="en-GB"/>
        </w:rPr>
        <w:t xml:space="preserve"> </w:t>
      </w:r>
      <w:r w:rsidRPr="00395073">
        <w:rPr>
          <w:rFonts w:cstheme="minorHAnsi"/>
          <w:spacing w:val="-3"/>
          <w:sz w:val="24"/>
          <w:szCs w:val="24"/>
          <w:lang w:val="en-GB"/>
        </w:rPr>
        <w:t xml:space="preserve">HBOR generated total income of HRK </w:t>
      </w:r>
      <w:r w:rsidR="00E84613" w:rsidRPr="00395073">
        <w:rPr>
          <w:rFonts w:cstheme="minorHAnsi"/>
          <w:spacing w:val="-3"/>
          <w:sz w:val="24"/>
          <w:szCs w:val="24"/>
          <w:lang w:val="en-GB"/>
        </w:rPr>
        <w:t>609</w:t>
      </w:r>
      <w:r w:rsidRPr="00395073">
        <w:rPr>
          <w:rFonts w:cstheme="minorHAnsi"/>
          <w:spacing w:val="-3"/>
          <w:sz w:val="24"/>
          <w:szCs w:val="24"/>
          <w:lang w:val="en-GB"/>
        </w:rPr>
        <w:t>.</w:t>
      </w:r>
      <w:r w:rsidR="00E84613" w:rsidRPr="00395073">
        <w:rPr>
          <w:rFonts w:cstheme="minorHAnsi"/>
          <w:spacing w:val="-3"/>
          <w:sz w:val="24"/>
          <w:szCs w:val="24"/>
          <w:lang w:val="en-GB"/>
        </w:rPr>
        <w:t>92</w:t>
      </w:r>
      <w:r w:rsidR="00BF17D9" w:rsidRPr="00395073">
        <w:rPr>
          <w:rFonts w:cstheme="minorHAnsi"/>
          <w:spacing w:val="-3"/>
          <w:sz w:val="24"/>
          <w:szCs w:val="24"/>
          <w:lang w:val="en-GB"/>
        </w:rPr>
        <w:t xml:space="preserve"> mil</w:t>
      </w:r>
      <w:r w:rsidRPr="00395073">
        <w:rPr>
          <w:rFonts w:cstheme="minorHAnsi"/>
          <w:spacing w:val="-3"/>
          <w:sz w:val="24"/>
          <w:szCs w:val="24"/>
          <w:lang w:val="en-GB"/>
        </w:rPr>
        <w:t>lion, expenses of HRK</w:t>
      </w:r>
      <w:r w:rsidR="00BF17D9" w:rsidRPr="00395073">
        <w:rPr>
          <w:rFonts w:cstheme="minorHAnsi"/>
          <w:spacing w:val="-3"/>
          <w:sz w:val="24"/>
          <w:szCs w:val="24"/>
          <w:lang w:val="en-GB"/>
        </w:rPr>
        <w:t xml:space="preserve"> </w:t>
      </w:r>
      <w:r w:rsidR="00E84613" w:rsidRPr="00395073">
        <w:rPr>
          <w:rFonts w:cstheme="minorHAnsi"/>
          <w:spacing w:val="-3"/>
          <w:sz w:val="24"/>
          <w:szCs w:val="24"/>
          <w:lang w:val="en-GB"/>
        </w:rPr>
        <w:t>512</w:t>
      </w:r>
      <w:r w:rsidRPr="00395073">
        <w:rPr>
          <w:rFonts w:cstheme="minorHAnsi"/>
          <w:spacing w:val="-3"/>
          <w:sz w:val="24"/>
          <w:szCs w:val="24"/>
          <w:lang w:val="en-GB"/>
        </w:rPr>
        <w:t>.</w:t>
      </w:r>
      <w:r w:rsidR="00E84613" w:rsidRPr="00395073">
        <w:rPr>
          <w:rFonts w:cstheme="minorHAnsi"/>
          <w:spacing w:val="-3"/>
          <w:sz w:val="24"/>
          <w:szCs w:val="24"/>
          <w:lang w:val="en-GB"/>
        </w:rPr>
        <w:t>21</w:t>
      </w:r>
      <w:r w:rsidR="00FE06F1" w:rsidRPr="00395073">
        <w:rPr>
          <w:rFonts w:cstheme="minorHAnsi"/>
          <w:spacing w:val="-3"/>
          <w:sz w:val="24"/>
          <w:szCs w:val="24"/>
          <w:lang w:val="en-GB"/>
        </w:rPr>
        <w:t xml:space="preserve"> </w:t>
      </w:r>
      <w:r w:rsidR="00BF17D9" w:rsidRPr="00395073">
        <w:rPr>
          <w:rFonts w:cstheme="minorHAnsi"/>
          <w:spacing w:val="-3"/>
          <w:sz w:val="24"/>
          <w:szCs w:val="24"/>
          <w:lang w:val="en-GB"/>
        </w:rPr>
        <w:t>mil</w:t>
      </w:r>
      <w:r w:rsidRPr="00395073">
        <w:rPr>
          <w:rFonts w:cstheme="minorHAnsi"/>
          <w:spacing w:val="-3"/>
          <w:sz w:val="24"/>
          <w:szCs w:val="24"/>
          <w:lang w:val="en-GB"/>
        </w:rPr>
        <w:t>lion and profit in the amount of HRK</w:t>
      </w:r>
      <w:r w:rsidR="00BF17D9" w:rsidRPr="00395073">
        <w:rPr>
          <w:rFonts w:cstheme="minorHAnsi"/>
          <w:spacing w:val="-3"/>
          <w:sz w:val="24"/>
          <w:szCs w:val="24"/>
          <w:lang w:val="en-GB"/>
        </w:rPr>
        <w:t xml:space="preserve"> </w:t>
      </w:r>
      <w:r w:rsidR="00E84613" w:rsidRPr="00395073">
        <w:rPr>
          <w:rFonts w:cstheme="minorHAnsi"/>
          <w:spacing w:val="-3"/>
          <w:sz w:val="24"/>
          <w:szCs w:val="24"/>
          <w:lang w:val="en-GB"/>
        </w:rPr>
        <w:t>97</w:t>
      </w:r>
      <w:r w:rsidRPr="00395073">
        <w:rPr>
          <w:rFonts w:cstheme="minorHAnsi"/>
          <w:spacing w:val="-3"/>
          <w:sz w:val="24"/>
          <w:szCs w:val="24"/>
          <w:lang w:val="en-GB"/>
        </w:rPr>
        <w:t>.</w:t>
      </w:r>
      <w:r w:rsidR="00E84613" w:rsidRPr="00395073">
        <w:rPr>
          <w:rFonts w:cstheme="minorHAnsi"/>
          <w:spacing w:val="-3"/>
          <w:sz w:val="24"/>
          <w:szCs w:val="24"/>
          <w:lang w:val="en-GB"/>
        </w:rPr>
        <w:t>71</w:t>
      </w:r>
      <w:r w:rsidR="00BF17D9" w:rsidRPr="00395073">
        <w:rPr>
          <w:rFonts w:cstheme="minorHAnsi"/>
          <w:spacing w:val="-3"/>
          <w:sz w:val="24"/>
          <w:szCs w:val="24"/>
          <w:lang w:val="en-GB"/>
        </w:rPr>
        <w:t xml:space="preserve"> mil</w:t>
      </w:r>
      <w:r w:rsidRPr="00395073">
        <w:rPr>
          <w:rFonts w:cstheme="minorHAnsi"/>
          <w:spacing w:val="-3"/>
          <w:sz w:val="24"/>
          <w:szCs w:val="24"/>
          <w:lang w:val="en-GB"/>
        </w:rPr>
        <w:t>lion</w:t>
      </w:r>
      <w:r w:rsidR="00BF17D9" w:rsidRPr="00395073">
        <w:rPr>
          <w:rFonts w:cstheme="minorHAnsi"/>
          <w:spacing w:val="-3"/>
          <w:sz w:val="24"/>
          <w:szCs w:val="24"/>
          <w:lang w:val="en-GB"/>
        </w:rPr>
        <w:t xml:space="preserve">. </w:t>
      </w:r>
      <w:r w:rsidR="00BE100C" w:rsidRPr="00395073">
        <w:rPr>
          <w:rFonts w:cstheme="minorHAnsi"/>
          <w:spacing w:val="-3"/>
          <w:sz w:val="24"/>
          <w:szCs w:val="24"/>
          <w:lang w:val="en-GB"/>
        </w:rPr>
        <w:t xml:space="preserve">HBOR’s profit generated in the reporting period </w:t>
      </w:r>
      <w:r w:rsidR="00E84613" w:rsidRPr="00395073">
        <w:rPr>
          <w:rFonts w:cstheme="minorHAnsi"/>
          <w:spacing w:val="-3"/>
          <w:sz w:val="24"/>
          <w:szCs w:val="24"/>
          <w:lang w:val="en-GB"/>
        </w:rPr>
        <w:t>dec</w:t>
      </w:r>
      <w:r w:rsidR="00BE100C" w:rsidRPr="00395073">
        <w:rPr>
          <w:rFonts w:cstheme="minorHAnsi"/>
          <w:spacing w:val="-3"/>
          <w:sz w:val="24"/>
          <w:szCs w:val="24"/>
          <w:lang w:val="en-GB"/>
        </w:rPr>
        <w:t>reased by HRK</w:t>
      </w:r>
      <w:r w:rsidR="00BF17D9" w:rsidRPr="00395073">
        <w:rPr>
          <w:rFonts w:cstheme="minorHAnsi"/>
          <w:spacing w:val="-3"/>
          <w:sz w:val="24"/>
          <w:szCs w:val="24"/>
          <w:lang w:val="en-GB"/>
        </w:rPr>
        <w:t xml:space="preserve"> </w:t>
      </w:r>
      <w:r w:rsidR="00E84613" w:rsidRPr="00395073">
        <w:rPr>
          <w:rFonts w:cstheme="minorHAnsi"/>
          <w:spacing w:val="-3"/>
          <w:sz w:val="24"/>
          <w:szCs w:val="24"/>
          <w:lang w:val="en-GB"/>
        </w:rPr>
        <w:t>77</w:t>
      </w:r>
      <w:r w:rsidR="00BE100C" w:rsidRPr="00395073">
        <w:rPr>
          <w:rFonts w:cstheme="minorHAnsi"/>
          <w:spacing w:val="-3"/>
          <w:sz w:val="24"/>
          <w:szCs w:val="24"/>
          <w:lang w:val="en-GB"/>
        </w:rPr>
        <w:t>.</w:t>
      </w:r>
      <w:r w:rsidR="00E84613" w:rsidRPr="00395073">
        <w:rPr>
          <w:rFonts w:cstheme="minorHAnsi"/>
          <w:spacing w:val="-3"/>
          <w:sz w:val="24"/>
          <w:szCs w:val="24"/>
          <w:lang w:val="en-GB"/>
        </w:rPr>
        <w:t>80</w:t>
      </w:r>
      <w:r w:rsidR="009E3641" w:rsidRPr="00395073">
        <w:rPr>
          <w:rFonts w:cstheme="minorHAnsi"/>
          <w:spacing w:val="-3"/>
          <w:sz w:val="24"/>
          <w:szCs w:val="24"/>
          <w:lang w:val="en-GB"/>
        </w:rPr>
        <w:t xml:space="preserve"> </w:t>
      </w:r>
      <w:r w:rsidR="00BF17D9" w:rsidRPr="00395073">
        <w:rPr>
          <w:rFonts w:cstheme="minorHAnsi"/>
          <w:spacing w:val="-3"/>
          <w:sz w:val="24"/>
          <w:szCs w:val="24"/>
          <w:lang w:val="en-GB"/>
        </w:rPr>
        <w:t>mil</w:t>
      </w:r>
      <w:r w:rsidR="00BE100C" w:rsidRPr="00395073">
        <w:rPr>
          <w:rFonts w:cstheme="minorHAnsi"/>
          <w:spacing w:val="-3"/>
          <w:sz w:val="24"/>
          <w:szCs w:val="24"/>
          <w:lang w:val="en-GB"/>
        </w:rPr>
        <w:t xml:space="preserve">lion compared with the profit generated in the same period last year, </w:t>
      </w:r>
      <w:proofErr w:type="gramStart"/>
      <w:r w:rsidR="00BE100C" w:rsidRPr="00395073">
        <w:rPr>
          <w:rFonts w:cstheme="minorHAnsi"/>
          <w:spacing w:val="-3"/>
          <w:sz w:val="24"/>
          <w:szCs w:val="24"/>
          <w:lang w:val="en-GB"/>
        </w:rPr>
        <w:t>i.e.</w:t>
      </w:r>
      <w:proofErr w:type="gramEnd"/>
      <w:r w:rsidR="00BE100C" w:rsidRPr="00395073">
        <w:rPr>
          <w:rFonts w:cstheme="minorHAnsi"/>
          <w:spacing w:val="-3"/>
          <w:sz w:val="24"/>
          <w:szCs w:val="24"/>
          <w:lang w:val="en-GB"/>
        </w:rPr>
        <w:t xml:space="preserve"> by</w:t>
      </w:r>
      <w:r w:rsidR="00BF17D9" w:rsidRPr="00395073">
        <w:rPr>
          <w:rFonts w:cstheme="minorHAnsi"/>
          <w:spacing w:val="-3"/>
          <w:sz w:val="24"/>
          <w:szCs w:val="24"/>
          <w:lang w:val="en-GB"/>
        </w:rPr>
        <w:t xml:space="preserve"> </w:t>
      </w:r>
      <w:r w:rsidR="00E84613" w:rsidRPr="00395073">
        <w:rPr>
          <w:rFonts w:cstheme="minorHAnsi"/>
          <w:spacing w:val="-3"/>
          <w:sz w:val="24"/>
          <w:szCs w:val="24"/>
          <w:lang w:val="en-GB"/>
        </w:rPr>
        <w:t>44</w:t>
      </w:r>
      <w:r w:rsidR="00BE100C" w:rsidRPr="00395073">
        <w:rPr>
          <w:rFonts w:cstheme="minorHAnsi"/>
          <w:spacing w:val="-3"/>
          <w:sz w:val="24"/>
          <w:szCs w:val="24"/>
          <w:lang w:val="en-GB"/>
        </w:rPr>
        <w:t>.</w:t>
      </w:r>
      <w:r w:rsidR="00E84613" w:rsidRPr="00395073">
        <w:rPr>
          <w:rFonts w:cstheme="minorHAnsi"/>
          <w:spacing w:val="-3"/>
          <w:sz w:val="24"/>
          <w:szCs w:val="24"/>
          <w:lang w:val="en-GB"/>
        </w:rPr>
        <w:t>33</w:t>
      </w:r>
      <w:r w:rsidR="00FE06F1" w:rsidRPr="00395073">
        <w:rPr>
          <w:rFonts w:cstheme="minorHAnsi"/>
          <w:spacing w:val="-3"/>
          <w:sz w:val="24"/>
          <w:szCs w:val="24"/>
          <w:lang w:val="en-GB"/>
        </w:rPr>
        <w:t xml:space="preserve"> </w:t>
      </w:r>
      <w:r w:rsidR="009E3641" w:rsidRPr="00395073">
        <w:rPr>
          <w:rFonts w:cstheme="minorHAnsi"/>
          <w:spacing w:val="-3"/>
          <w:sz w:val="24"/>
          <w:szCs w:val="24"/>
          <w:lang w:val="en-GB"/>
        </w:rPr>
        <w:t>p</w:t>
      </w:r>
      <w:r w:rsidR="00BE100C" w:rsidRPr="00395073">
        <w:rPr>
          <w:rFonts w:cstheme="minorHAnsi"/>
          <w:spacing w:val="-3"/>
          <w:sz w:val="24"/>
          <w:szCs w:val="24"/>
          <w:lang w:val="en-GB"/>
        </w:rPr>
        <w:t>ercent</w:t>
      </w:r>
      <w:r w:rsidR="00BF17D9" w:rsidRPr="00395073">
        <w:rPr>
          <w:rFonts w:cstheme="minorHAnsi"/>
          <w:spacing w:val="-3"/>
          <w:sz w:val="24"/>
          <w:szCs w:val="24"/>
          <w:lang w:val="en-GB"/>
        </w:rPr>
        <w:t>.</w:t>
      </w:r>
    </w:p>
    <w:p w14:paraId="7E1CA7E1" w14:textId="77777777" w:rsidR="00BF17D9" w:rsidRPr="00395073" w:rsidRDefault="00BF17D9" w:rsidP="00BF17D9">
      <w:pPr>
        <w:tabs>
          <w:tab w:val="left" w:pos="-720"/>
        </w:tabs>
        <w:suppressAutoHyphens/>
        <w:spacing w:after="0" w:line="240" w:lineRule="auto"/>
        <w:jc w:val="both"/>
        <w:rPr>
          <w:rFonts w:cstheme="minorHAnsi"/>
          <w:spacing w:val="-3"/>
          <w:sz w:val="24"/>
          <w:szCs w:val="24"/>
          <w:lang w:val="en-GB"/>
        </w:rPr>
      </w:pPr>
    </w:p>
    <w:p w14:paraId="2C615920" w14:textId="6B43FE3F" w:rsidR="00BF17D9" w:rsidRPr="00395073" w:rsidRDefault="00BE100C"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Significantly </w:t>
      </w:r>
      <w:r w:rsidR="00EE5E91" w:rsidRPr="00395073">
        <w:rPr>
          <w:rFonts w:cstheme="minorHAnsi"/>
          <w:spacing w:val="-3"/>
          <w:sz w:val="24"/>
          <w:szCs w:val="24"/>
          <w:lang w:val="en-GB"/>
        </w:rPr>
        <w:t>lower</w:t>
      </w:r>
      <w:r w:rsidRPr="00395073">
        <w:rPr>
          <w:rFonts w:cstheme="minorHAnsi"/>
          <w:spacing w:val="-3"/>
          <w:sz w:val="24"/>
          <w:szCs w:val="24"/>
          <w:lang w:val="en-GB"/>
        </w:rPr>
        <w:t xml:space="preserve"> profit in the reporting period compared with the same period last year is a result of a higher decrease in </w:t>
      </w:r>
      <w:r w:rsidR="00773CDB" w:rsidRPr="00395073">
        <w:rPr>
          <w:rFonts w:cstheme="minorHAnsi"/>
          <w:spacing w:val="-3"/>
          <w:sz w:val="24"/>
          <w:szCs w:val="24"/>
          <w:lang w:val="en-GB"/>
        </w:rPr>
        <w:t>income</w:t>
      </w:r>
      <w:r w:rsidRPr="00395073">
        <w:rPr>
          <w:rFonts w:cstheme="minorHAnsi"/>
          <w:spacing w:val="-3"/>
          <w:sz w:val="24"/>
          <w:szCs w:val="24"/>
          <w:lang w:val="en-GB"/>
        </w:rPr>
        <w:t>, by HRK</w:t>
      </w:r>
      <w:r w:rsidR="00B81116" w:rsidRPr="00395073">
        <w:rPr>
          <w:rFonts w:cstheme="minorHAnsi"/>
          <w:spacing w:val="-3"/>
          <w:sz w:val="24"/>
          <w:szCs w:val="24"/>
          <w:lang w:val="en-GB"/>
        </w:rPr>
        <w:t xml:space="preserve"> </w:t>
      </w:r>
      <w:r w:rsidR="00773CDB" w:rsidRPr="00395073">
        <w:rPr>
          <w:rFonts w:cstheme="minorHAnsi"/>
          <w:spacing w:val="-3"/>
          <w:sz w:val="24"/>
          <w:szCs w:val="24"/>
          <w:lang w:val="en-GB"/>
        </w:rPr>
        <w:t>87</w:t>
      </w:r>
      <w:r w:rsidRPr="00395073">
        <w:rPr>
          <w:rFonts w:cstheme="minorHAnsi"/>
          <w:spacing w:val="-3"/>
          <w:sz w:val="24"/>
          <w:szCs w:val="24"/>
          <w:lang w:val="en-GB"/>
        </w:rPr>
        <w:t>.</w:t>
      </w:r>
      <w:r w:rsidR="00773CDB" w:rsidRPr="00395073">
        <w:rPr>
          <w:rFonts w:cstheme="minorHAnsi"/>
          <w:spacing w:val="-3"/>
          <w:sz w:val="24"/>
          <w:szCs w:val="24"/>
          <w:lang w:val="en-GB"/>
        </w:rPr>
        <w:t>69</w:t>
      </w:r>
      <w:r w:rsidR="00BF17D9" w:rsidRPr="00395073">
        <w:rPr>
          <w:rFonts w:cstheme="minorHAnsi"/>
          <w:spacing w:val="-3"/>
          <w:sz w:val="24"/>
          <w:szCs w:val="24"/>
          <w:lang w:val="en-GB"/>
        </w:rPr>
        <w:t xml:space="preserve"> mil</w:t>
      </w:r>
      <w:r w:rsidRPr="00395073">
        <w:rPr>
          <w:rFonts w:cstheme="minorHAnsi"/>
          <w:spacing w:val="-3"/>
          <w:sz w:val="24"/>
          <w:szCs w:val="24"/>
          <w:lang w:val="en-GB"/>
        </w:rPr>
        <w:t xml:space="preserve">lion as against </w:t>
      </w:r>
      <w:r w:rsidR="00773CDB" w:rsidRPr="00395073">
        <w:rPr>
          <w:rFonts w:cstheme="minorHAnsi"/>
          <w:spacing w:val="-3"/>
          <w:sz w:val="24"/>
          <w:szCs w:val="24"/>
          <w:lang w:val="en-GB"/>
        </w:rPr>
        <w:t xml:space="preserve">expenses </w:t>
      </w:r>
      <w:r w:rsidRPr="00395073">
        <w:rPr>
          <w:rFonts w:cstheme="minorHAnsi"/>
          <w:spacing w:val="-3"/>
          <w:sz w:val="24"/>
          <w:szCs w:val="24"/>
          <w:lang w:val="en-GB"/>
        </w:rPr>
        <w:t>decreasing by HRK</w:t>
      </w:r>
      <w:r w:rsidR="004405CD" w:rsidRPr="00395073">
        <w:rPr>
          <w:rFonts w:cstheme="minorHAnsi"/>
          <w:spacing w:val="-3"/>
          <w:sz w:val="24"/>
          <w:szCs w:val="24"/>
          <w:lang w:val="en-GB"/>
        </w:rPr>
        <w:t xml:space="preserve"> </w:t>
      </w:r>
      <w:r w:rsidR="00773CDB" w:rsidRPr="00395073">
        <w:rPr>
          <w:rFonts w:cstheme="minorHAnsi"/>
          <w:spacing w:val="-3"/>
          <w:sz w:val="24"/>
          <w:szCs w:val="24"/>
          <w:lang w:val="en-GB"/>
        </w:rPr>
        <w:t>9</w:t>
      </w:r>
      <w:r w:rsidRPr="00395073">
        <w:rPr>
          <w:rFonts w:cstheme="minorHAnsi"/>
          <w:spacing w:val="-3"/>
          <w:sz w:val="24"/>
          <w:szCs w:val="24"/>
          <w:lang w:val="en-GB"/>
        </w:rPr>
        <w:t>.</w:t>
      </w:r>
      <w:r w:rsidR="00773CDB" w:rsidRPr="00395073">
        <w:rPr>
          <w:rFonts w:cstheme="minorHAnsi"/>
          <w:spacing w:val="-3"/>
          <w:sz w:val="24"/>
          <w:szCs w:val="24"/>
          <w:lang w:val="en-GB"/>
        </w:rPr>
        <w:t>89</w:t>
      </w:r>
      <w:r w:rsidRPr="00395073">
        <w:rPr>
          <w:rFonts w:cstheme="minorHAnsi"/>
          <w:spacing w:val="-3"/>
          <w:sz w:val="24"/>
          <w:szCs w:val="24"/>
          <w:lang w:val="en-GB"/>
        </w:rPr>
        <w:t xml:space="preserve"> million. The circumstances that affected the financial result achieved in the </w:t>
      </w:r>
      <w:r w:rsidR="00773CDB" w:rsidRPr="00395073">
        <w:rPr>
          <w:rFonts w:cstheme="minorHAnsi"/>
          <w:spacing w:val="-3"/>
          <w:sz w:val="24"/>
          <w:szCs w:val="24"/>
          <w:lang w:val="en-GB"/>
        </w:rPr>
        <w:t>nine</w:t>
      </w:r>
      <w:r w:rsidR="00C96A5B">
        <w:rPr>
          <w:rFonts w:cstheme="minorHAnsi"/>
          <w:spacing w:val="-3"/>
          <w:sz w:val="24"/>
          <w:szCs w:val="24"/>
          <w:lang w:val="en-GB"/>
        </w:rPr>
        <w:t>-</w:t>
      </w:r>
      <w:r w:rsidR="00773CDB" w:rsidRPr="00395073">
        <w:rPr>
          <w:rFonts w:cstheme="minorHAnsi"/>
          <w:spacing w:val="-3"/>
          <w:sz w:val="24"/>
          <w:szCs w:val="24"/>
          <w:lang w:val="en-GB"/>
        </w:rPr>
        <w:t>month</w:t>
      </w:r>
      <w:r w:rsidRPr="00395073">
        <w:rPr>
          <w:rFonts w:cstheme="minorHAnsi"/>
          <w:spacing w:val="-3"/>
          <w:sz w:val="24"/>
          <w:szCs w:val="24"/>
          <w:lang w:val="en-GB"/>
        </w:rPr>
        <w:t xml:space="preserve"> reporting period</w:t>
      </w:r>
      <w:r w:rsidR="00BF17D9" w:rsidRPr="00395073">
        <w:rPr>
          <w:rFonts w:cstheme="minorHAnsi"/>
          <w:spacing w:val="-3"/>
          <w:sz w:val="24"/>
          <w:szCs w:val="24"/>
          <w:lang w:val="en-GB"/>
        </w:rPr>
        <w:t xml:space="preserve"> 201</w:t>
      </w:r>
      <w:r w:rsidR="00B81116" w:rsidRPr="00395073">
        <w:rPr>
          <w:rFonts w:cstheme="minorHAnsi"/>
          <w:spacing w:val="-3"/>
          <w:sz w:val="24"/>
          <w:szCs w:val="24"/>
          <w:lang w:val="en-GB"/>
        </w:rPr>
        <w:t>8</w:t>
      </w:r>
      <w:r w:rsidRPr="00395073">
        <w:rPr>
          <w:rFonts w:cstheme="minorHAnsi"/>
          <w:spacing w:val="-3"/>
          <w:sz w:val="24"/>
          <w:szCs w:val="24"/>
          <w:lang w:val="en-GB"/>
        </w:rPr>
        <w:t xml:space="preserve"> compared to the results generated in the same period in</w:t>
      </w:r>
      <w:r w:rsidR="00BF17D9" w:rsidRPr="00395073">
        <w:rPr>
          <w:rFonts w:cstheme="minorHAnsi"/>
          <w:spacing w:val="-3"/>
          <w:sz w:val="24"/>
          <w:szCs w:val="24"/>
          <w:lang w:val="en-GB"/>
        </w:rPr>
        <w:t xml:space="preserve"> 201</w:t>
      </w:r>
      <w:r w:rsidR="00B81116" w:rsidRPr="00395073">
        <w:rPr>
          <w:rFonts w:cstheme="minorHAnsi"/>
          <w:spacing w:val="-3"/>
          <w:sz w:val="24"/>
          <w:szCs w:val="24"/>
          <w:lang w:val="en-GB"/>
        </w:rPr>
        <w:t>7</w:t>
      </w:r>
      <w:r w:rsidRPr="00395073">
        <w:rPr>
          <w:rFonts w:cstheme="minorHAnsi"/>
          <w:spacing w:val="-3"/>
          <w:sz w:val="24"/>
          <w:szCs w:val="24"/>
          <w:lang w:val="en-GB"/>
        </w:rPr>
        <w:t xml:space="preserve"> are</w:t>
      </w:r>
      <w:r w:rsidR="00BF17D9" w:rsidRPr="00395073">
        <w:rPr>
          <w:rFonts w:cstheme="minorHAnsi"/>
          <w:spacing w:val="-3"/>
          <w:sz w:val="24"/>
          <w:szCs w:val="24"/>
          <w:lang w:val="en-GB"/>
        </w:rPr>
        <w:t>:</w:t>
      </w:r>
    </w:p>
    <w:p w14:paraId="2DA4FA2A" w14:textId="77777777" w:rsidR="0059334C" w:rsidRPr="00395073" w:rsidRDefault="00AF7CDC" w:rsidP="00BF17D9">
      <w:pPr>
        <w:pStyle w:val="ListParagraph"/>
        <w:numPr>
          <w:ilvl w:val="0"/>
          <w:numId w:val="13"/>
        </w:numPr>
        <w:tabs>
          <w:tab w:val="left" w:pos="-720"/>
          <w:tab w:val="left" w:pos="709"/>
        </w:tabs>
        <w:suppressAutoHyphens/>
        <w:ind w:left="709" w:hanging="283"/>
        <w:jc w:val="both"/>
        <w:rPr>
          <w:rFonts w:cstheme="minorHAnsi"/>
          <w:spacing w:val="-3"/>
          <w:lang w:val="en-GB"/>
        </w:rPr>
      </w:pPr>
      <w:r w:rsidRPr="00395073">
        <w:rPr>
          <w:rFonts w:asciiTheme="minorHAnsi" w:hAnsiTheme="minorHAnsi" w:cstheme="minorHAnsi"/>
          <w:bCs/>
          <w:spacing w:val="-3"/>
          <w:lang w:val="en-GB"/>
        </w:rPr>
        <w:t>d</w:t>
      </w:r>
      <w:r w:rsidR="00D974F4" w:rsidRPr="00395073">
        <w:rPr>
          <w:rFonts w:asciiTheme="minorHAnsi" w:hAnsiTheme="minorHAnsi" w:cstheme="minorHAnsi"/>
          <w:bCs/>
          <w:spacing w:val="-3"/>
          <w:lang w:val="en-GB"/>
        </w:rPr>
        <w:t>ecrease in</w:t>
      </w:r>
      <w:r w:rsidR="00B81116" w:rsidRPr="00395073">
        <w:rPr>
          <w:rFonts w:asciiTheme="minorHAnsi" w:hAnsiTheme="minorHAnsi" w:cstheme="minorHAnsi"/>
          <w:bCs/>
          <w:spacing w:val="-3"/>
          <w:lang w:val="en-GB"/>
        </w:rPr>
        <w:t xml:space="preserve"> </w:t>
      </w:r>
      <w:r w:rsidR="00D974F4" w:rsidRPr="00395073">
        <w:rPr>
          <w:rFonts w:asciiTheme="minorHAnsi" w:hAnsiTheme="minorHAnsi" w:cstheme="minorHAnsi"/>
          <w:bCs/>
          <w:spacing w:val="-3"/>
          <w:lang w:val="en-GB"/>
        </w:rPr>
        <w:t xml:space="preserve">interest income of HRK </w:t>
      </w:r>
      <w:r w:rsidR="00773CDB" w:rsidRPr="00395073">
        <w:rPr>
          <w:rFonts w:asciiTheme="minorHAnsi" w:hAnsiTheme="minorHAnsi" w:cstheme="minorHAnsi"/>
          <w:bCs/>
          <w:spacing w:val="-3"/>
          <w:lang w:val="en-GB"/>
        </w:rPr>
        <w:t>97</w:t>
      </w:r>
      <w:r w:rsidRPr="00395073">
        <w:rPr>
          <w:rFonts w:asciiTheme="minorHAnsi" w:hAnsiTheme="minorHAnsi" w:cstheme="minorHAnsi"/>
          <w:bCs/>
          <w:spacing w:val="-3"/>
          <w:lang w:val="en-GB"/>
        </w:rPr>
        <w:t>.</w:t>
      </w:r>
      <w:r w:rsidR="00773CDB" w:rsidRPr="00395073">
        <w:rPr>
          <w:rFonts w:asciiTheme="minorHAnsi" w:hAnsiTheme="minorHAnsi" w:cstheme="minorHAnsi"/>
          <w:bCs/>
          <w:spacing w:val="-3"/>
          <w:lang w:val="en-GB"/>
        </w:rPr>
        <w:t>87</w:t>
      </w:r>
      <w:r w:rsidR="0059334C" w:rsidRPr="00395073">
        <w:rPr>
          <w:rFonts w:asciiTheme="minorHAnsi" w:hAnsiTheme="minorHAnsi" w:cstheme="minorHAnsi"/>
          <w:bCs/>
          <w:spacing w:val="-3"/>
          <w:lang w:val="en-GB"/>
        </w:rPr>
        <w:t xml:space="preserve"> mil</w:t>
      </w:r>
      <w:r w:rsidRPr="00395073">
        <w:rPr>
          <w:rFonts w:asciiTheme="minorHAnsi" w:hAnsiTheme="minorHAnsi" w:cstheme="minorHAnsi"/>
          <w:bCs/>
          <w:spacing w:val="-3"/>
          <w:lang w:val="en-GB"/>
        </w:rPr>
        <w:t>lion</w:t>
      </w:r>
      <w:r w:rsidR="0059334C" w:rsidRPr="00395073">
        <w:rPr>
          <w:rFonts w:asciiTheme="minorHAnsi" w:hAnsiTheme="minorHAnsi" w:cstheme="minorHAnsi"/>
          <w:bCs/>
          <w:spacing w:val="-3"/>
          <w:lang w:val="en-GB"/>
        </w:rPr>
        <w:t>,</w:t>
      </w:r>
      <w:r w:rsidR="00B81116" w:rsidRPr="00395073">
        <w:rPr>
          <w:rFonts w:asciiTheme="minorHAnsi" w:hAnsiTheme="minorHAnsi" w:cstheme="minorHAnsi"/>
          <w:bCs/>
          <w:spacing w:val="-3"/>
          <w:lang w:val="en-GB"/>
        </w:rPr>
        <w:t xml:space="preserve"> </w:t>
      </w:r>
      <w:proofErr w:type="gramStart"/>
      <w:r w:rsidRPr="00395073">
        <w:rPr>
          <w:rFonts w:asciiTheme="minorHAnsi" w:hAnsiTheme="minorHAnsi" w:cstheme="minorHAnsi"/>
          <w:bCs/>
          <w:spacing w:val="-3"/>
          <w:lang w:val="en-GB"/>
        </w:rPr>
        <w:t>i.e.</w:t>
      </w:r>
      <w:proofErr w:type="gramEnd"/>
      <w:r w:rsidRPr="00395073">
        <w:rPr>
          <w:rFonts w:asciiTheme="minorHAnsi" w:hAnsiTheme="minorHAnsi" w:cstheme="minorHAnsi"/>
          <w:bCs/>
          <w:spacing w:val="-3"/>
          <w:lang w:val="en-GB"/>
        </w:rPr>
        <w:t xml:space="preserve"> by</w:t>
      </w:r>
      <w:r w:rsidR="00B81116" w:rsidRPr="00395073">
        <w:rPr>
          <w:rFonts w:asciiTheme="minorHAnsi" w:hAnsiTheme="minorHAnsi" w:cstheme="minorHAnsi"/>
          <w:bCs/>
          <w:spacing w:val="-3"/>
          <w:lang w:val="en-GB"/>
        </w:rPr>
        <w:t xml:space="preserve"> 1</w:t>
      </w:r>
      <w:r w:rsidR="00773CDB" w:rsidRPr="00395073">
        <w:rPr>
          <w:rFonts w:asciiTheme="minorHAnsi" w:hAnsiTheme="minorHAnsi" w:cstheme="minorHAnsi"/>
          <w:bCs/>
          <w:spacing w:val="-3"/>
          <w:lang w:val="en-GB"/>
        </w:rPr>
        <w:t>4</w:t>
      </w:r>
      <w:r w:rsidRPr="00395073">
        <w:rPr>
          <w:rFonts w:asciiTheme="minorHAnsi" w:hAnsiTheme="minorHAnsi" w:cstheme="minorHAnsi"/>
          <w:bCs/>
          <w:spacing w:val="-3"/>
          <w:lang w:val="en-GB"/>
        </w:rPr>
        <w:t>.</w:t>
      </w:r>
      <w:r w:rsidR="00773CDB" w:rsidRPr="00395073">
        <w:rPr>
          <w:rFonts w:asciiTheme="minorHAnsi" w:hAnsiTheme="minorHAnsi" w:cstheme="minorHAnsi"/>
          <w:bCs/>
          <w:spacing w:val="-3"/>
          <w:lang w:val="en-GB"/>
        </w:rPr>
        <w:t>83</w:t>
      </w:r>
      <w:r w:rsidR="00B81116" w:rsidRPr="00395073">
        <w:rPr>
          <w:rFonts w:asciiTheme="minorHAnsi" w:hAnsiTheme="minorHAnsi" w:cstheme="minorHAnsi"/>
          <w:bCs/>
          <w:spacing w:val="-3"/>
          <w:lang w:val="en-GB"/>
        </w:rPr>
        <w:t xml:space="preserve"> p</w:t>
      </w:r>
      <w:r w:rsidRPr="00395073">
        <w:rPr>
          <w:rFonts w:asciiTheme="minorHAnsi" w:hAnsiTheme="minorHAnsi" w:cstheme="minorHAnsi"/>
          <w:bCs/>
          <w:spacing w:val="-3"/>
          <w:lang w:val="en-GB"/>
        </w:rPr>
        <w:t>ercent</w:t>
      </w:r>
      <w:r w:rsidR="00B81116" w:rsidRPr="00395073">
        <w:rPr>
          <w:rFonts w:asciiTheme="minorHAnsi" w:hAnsiTheme="minorHAnsi" w:cstheme="minorHAnsi"/>
          <w:bCs/>
          <w:spacing w:val="-3"/>
          <w:lang w:val="en-GB"/>
        </w:rPr>
        <w:t>,</w:t>
      </w:r>
    </w:p>
    <w:p w14:paraId="2D1DF96C" w14:textId="302B6A0A" w:rsidR="00773CDB" w:rsidRPr="00395073" w:rsidRDefault="00773CDB" w:rsidP="00773CDB">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395073">
        <w:rPr>
          <w:rFonts w:asciiTheme="minorHAnsi" w:hAnsiTheme="minorHAnsi" w:cstheme="minorHAnsi"/>
          <w:spacing w:val="-3"/>
          <w:lang w:val="en-GB"/>
        </w:rPr>
        <w:t xml:space="preserve">decrease in interest expenses </w:t>
      </w:r>
      <w:r w:rsidR="006F1B0E">
        <w:rPr>
          <w:rFonts w:asciiTheme="minorHAnsi" w:hAnsiTheme="minorHAnsi" w:cstheme="minorHAnsi"/>
          <w:spacing w:val="-3"/>
          <w:lang w:val="en-GB"/>
        </w:rPr>
        <w:t>of</w:t>
      </w:r>
      <w:r w:rsidRPr="00395073">
        <w:rPr>
          <w:rFonts w:asciiTheme="minorHAnsi" w:hAnsiTheme="minorHAnsi" w:cstheme="minorHAnsi"/>
          <w:spacing w:val="-3"/>
          <w:lang w:val="en-GB"/>
        </w:rPr>
        <w:t xml:space="preserve"> HRK 46.47 million</w:t>
      </w:r>
      <w:r w:rsidR="006F1B0E">
        <w:rPr>
          <w:rFonts w:asciiTheme="minorHAnsi" w:hAnsiTheme="minorHAnsi" w:cstheme="minorHAnsi"/>
          <w:spacing w:val="-3"/>
          <w:lang w:val="en-GB"/>
        </w:rPr>
        <w:t xml:space="preserve">, </w:t>
      </w:r>
      <w:proofErr w:type="gramStart"/>
      <w:r w:rsidR="006F1B0E">
        <w:rPr>
          <w:rFonts w:asciiTheme="minorHAnsi" w:hAnsiTheme="minorHAnsi" w:cstheme="minorHAnsi"/>
          <w:spacing w:val="-3"/>
          <w:lang w:val="en-GB"/>
        </w:rPr>
        <w:t>i.e.</w:t>
      </w:r>
      <w:proofErr w:type="gramEnd"/>
      <w:r w:rsidRPr="00395073">
        <w:rPr>
          <w:rFonts w:asciiTheme="minorHAnsi" w:hAnsiTheme="minorHAnsi" w:cstheme="minorHAnsi"/>
          <w:spacing w:val="-3"/>
          <w:lang w:val="en-GB"/>
        </w:rPr>
        <w:t xml:space="preserve"> by 15.41 percent compared with the same period last year,</w:t>
      </w:r>
    </w:p>
    <w:p w14:paraId="71F667BE" w14:textId="77777777" w:rsidR="0059334C" w:rsidRPr="00395073" w:rsidRDefault="008D105D" w:rsidP="00BF17D9">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395073">
        <w:rPr>
          <w:rFonts w:asciiTheme="minorHAnsi" w:hAnsiTheme="minorHAnsi" w:cstheme="minorHAnsi"/>
          <w:spacing w:val="-3"/>
          <w:lang w:val="en-GB"/>
        </w:rPr>
        <w:t>gains</w:t>
      </w:r>
      <w:r w:rsidR="00AF7CDC" w:rsidRPr="00395073">
        <w:rPr>
          <w:rFonts w:asciiTheme="minorHAnsi" w:hAnsiTheme="minorHAnsi" w:cstheme="minorHAnsi"/>
          <w:spacing w:val="-3"/>
          <w:lang w:val="en-GB"/>
        </w:rPr>
        <w:t xml:space="preserve"> from financial activities in the amount of HRK</w:t>
      </w:r>
      <w:r w:rsidR="00B81116" w:rsidRPr="00395073">
        <w:rPr>
          <w:rFonts w:asciiTheme="minorHAnsi" w:hAnsiTheme="minorHAnsi" w:cstheme="minorHAnsi"/>
          <w:spacing w:val="-3"/>
          <w:lang w:val="en-GB"/>
        </w:rPr>
        <w:t xml:space="preserve"> </w:t>
      </w:r>
      <w:r w:rsidR="00773CDB" w:rsidRPr="00395073">
        <w:rPr>
          <w:rFonts w:asciiTheme="minorHAnsi" w:hAnsiTheme="minorHAnsi" w:cstheme="minorHAnsi"/>
          <w:spacing w:val="-3"/>
          <w:lang w:val="en-GB"/>
        </w:rPr>
        <w:t>7</w:t>
      </w:r>
      <w:r w:rsidR="00AF7CDC" w:rsidRPr="00395073">
        <w:rPr>
          <w:rFonts w:asciiTheme="minorHAnsi" w:hAnsiTheme="minorHAnsi" w:cstheme="minorHAnsi"/>
          <w:spacing w:val="-3"/>
          <w:lang w:val="en-GB"/>
        </w:rPr>
        <w:t>.</w:t>
      </w:r>
      <w:r w:rsidR="00773CDB" w:rsidRPr="00395073">
        <w:rPr>
          <w:rFonts w:asciiTheme="minorHAnsi" w:hAnsiTheme="minorHAnsi" w:cstheme="minorHAnsi"/>
          <w:spacing w:val="-3"/>
          <w:lang w:val="en-GB"/>
        </w:rPr>
        <w:t>20</w:t>
      </w:r>
      <w:r w:rsidR="00B81116" w:rsidRPr="00395073">
        <w:rPr>
          <w:rFonts w:asciiTheme="minorHAnsi" w:hAnsiTheme="minorHAnsi" w:cstheme="minorHAnsi"/>
          <w:spacing w:val="-3"/>
          <w:lang w:val="en-GB"/>
        </w:rPr>
        <w:t xml:space="preserve"> mil</w:t>
      </w:r>
      <w:r w:rsidR="00AF7CDC" w:rsidRPr="00395073">
        <w:rPr>
          <w:rFonts w:asciiTheme="minorHAnsi" w:hAnsiTheme="minorHAnsi" w:cstheme="minorHAnsi"/>
          <w:spacing w:val="-3"/>
          <w:lang w:val="en-GB"/>
        </w:rPr>
        <w:t>lion</w:t>
      </w:r>
      <w:r w:rsidR="00B81116" w:rsidRPr="00395073">
        <w:rPr>
          <w:rFonts w:asciiTheme="minorHAnsi" w:hAnsiTheme="minorHAnsi" w:cstheme="minorHAnsi"/>
          <w:spacing w:val="-3"/>
          <w:lang w:val="en-GB"/>
        </w:rPr>
        <w:t xml:space="preserve">, </w:t>
      </w:r>
      <w:r w:rsidR="00AF7CDC" w:rsidRPr="00395073">
        <w:rPr>
          <w:rFonts w:asciiTheme="minorHAnsi" w:hAnsiTheme="minorHAnsi" w:cstheme="minorHAnsi"/>
          <w:spacing w:val="-3"/>
          <w:lang w:val="en-GB"/>
        </w:rPr>
        <w:t xml:space="preserve">whereas in the same period last year, </w:t>
      </w:r>
      <w:r w:rsidRPr="00395073">
        <w:rPr>
          <w:rFonts w:asciiTheme="minorHAnsi" w:hAnsiTheme="minorHAnsi" w:cstheme="minorHAnsi"/>
          <w:spacing w:val="-3"/>
          <w:lang w:val="en-GB"/>
        </w:rPr>
        <w:t>losses</w:t>
      </w:r>
      <w:r w:rsidR="00AF7CDC" w:rsidRPr="00395073">
        <w:rPr>
          <w:rFonts w:asciiTheme="minorHAnsi" w:hAnsiTheme="minorHAnsi" w:cstheme="minorHAnsi"/>
          <w:spacing w:val="-3"/>
          <w:lang w:val="en-GB"/>
        </w:rPr>
        <w:t xml:space="preserve"> </w:t>
      </w:r>
      <w:r w:rsidRPr="00395073">
        <w:rPr>
          <w:rFonts w:asciiTheme="minorHAnsi" w:hAnsiTheme="minorHAnsi" w:cstheme="minorHAnsi"/>
          <w:spacing w:val="-3"/>
          <w:lang w:val="en-GB"/>
        </w:rPr>
        <w:t xml:space="preserve">from financial activities </w:t>
      </w:r>
      <w:r w:rsidR="00AF7CDC" w:rsidRPr="00395073">
        <w:rPr>
          <w:rFonts w:asciiTheme="minorHAnsi" w:hAnsiTheme="minorHAnsi" w:cstheme="minorHAnsi"/>
          <w:spacing w:val="-3"/>
          <w:lang w:val="en-GB"/>
        </w:rPr>
        <w:t>in the amount of HRK</w:t>
      </w:r>
      <w:r w:rsidR="00B81116" w:rsidRPr="00395073">
        <w:rPr>
          <w:rFonts w:asciiTheme="minorHAnsi" w:hAnsiTheme="minorHAnsi" w:cstheme="minorHAnsi"/>
          <w:spacing w:val="-3"/>
          <w:lang w:val="en-GB"/>
        </w:rPr>
        <w:t xml:space="preserve"> </w:t>
      </w:r>
      <w:r w:rsidR="00773CDB" w:rsidRPr="00395073">
        <w:rPr>
          <w:rFonts w:asciiTheme="minorHAnsi" w:hAnsiTheme="minorHAnsi" w:cstheme="minorHAnsi"/>
          <w:spacing w:val="-3"/>
          <w:lang w:val="en-GB"/>
        </w:rPr>
        <w:t>18.88</w:t>
      </w:r>
      <w:r w:rsidR="00B81116" w:rsidRPr="00395073">
        <w:rPr>
          <w:rFonts w:asciiTheme="minorHAnsi" w:hAnsiTheme="minorHAnsi" w:cstheme="minorHAnsi"/>
          <w:spacing w:val="-3"/>
          <w:lang w:val="en-GB"/>
        </w:rPr>
        <w:t xml:space="preserve"> mil</w:t>
      </w:r>
      <w:r w:rsidR="00AF7CDC" w:rsidRPr="00395073">
        <w:rPr>
          <w:rFonts w:asciiTheme="minorHAnsi" w:hAnsiTheme="minorHAnsi" w:cstheme="minorHAnsi"/>
          <w:spacing w:val="-3"/>
          <w:lang w:val="en-GB"/>
        </w:rPr>
        <w:t>lion</w:t>
      </w:r>
      <w:r w:rsidR="00D71012" w:rsidRPr="00395073">
        <w:rPr>
          <w:rFonts w:asciiTheme="minorHAnsi" w:hAnsiTheme="minorHAnsi" w:cstheme="minorHAnsi"/>
          <w:spacing w:val="-3"/>
          <w:lang w:val="en-GB"/>
        </w:rPr>
        <w:t xml:space="preserve"> were recorded</w:t>
      </w:r>
      <w:r w:rsidR="0059334C" w:rsidRPr="00395073">
        <w:rPr>
          <w:rFonts w:asciiTheme="minorHAnsi" w:hAnsiTheme="minorHAnsi" w:cstheme="minorHAnsi"/>
          <w:spacing w:val="-3"/>
          <w:lang w:val="en-GB"/>
        </w:rPr>
        <w:t>,</w:t>
      </w:r>
    </w:p>
    <w:p w14:paraId="14F6D71E" w14:textId="77777777" w:rsidR="00B81116" w:rsidRPr="00395073" w:rsidRDefault="00773CDB" w:rsidP="00395073">
      <w:pPr>
        <w:pStyle w:val="ListParagraph"/>
        <w:numPr>
          <w:ilvl w:val="0"/>
          <w:numId w:val="13"/>
        </w:numPr>
        <w:tabs>
          <w:tab w:val="left" w:pos="-720"/>
          <w:tab w:val="left" w:pos="709"/>
        </w:tabs>
        <w:suppressAutoHyphens/>
        <w:ind w:left="709"/>
        <w:jc w:val="both"/>
        <w:rPr>
          <w:rFonts w:asciiTheme="minorHAnsi" w:hAnsiTheme="minorHAnsi" w:cstheme="minorHAnsi"/>
          <w:spacing w:val="-3"/>
          <w:lang w:val="en-GB"/>
        </w:rPr>
      </w:pPr>
      <w:r w:rsidRPr="00395073">
        <w:rPr>
          <w:rFonts w:asciiTheme="minorHAnsi" w:hAnsiTheme="minorHAnsi" w:cstheme="minorHAnsi"/>
          <w:spacing w:val="-3"/>
          <w:lang w:val="en-GB"/>
        </w:rPr>
        <w:t xml:space="preserve">increase in </w:t>
      </w:r>
      <w:r w:rsidR="00123BF7" w:rsidRPr="00395073">
        <w:rPr>
          <w:rFonts w:asciiTheme="minorHAnsi" w:hAnsiTheme="minorHAnsi" w:cstheme="minorHAnsi"/>
          <w:spacing w:val="-3"/>
          <w:lang w:val="en-GB"/>
        </w:rPr>
        <w:t>losses</w:t>
      </w:r>
      <w:r w:rsidR="00D71012" w:rsidRPr="00395073">
        <w:rPr>
          <w:rFonts w:asciiTheme="minorHAnsi" w:hAnsiTheme="minorHAnsi" w:cstheme="minorHAnsi"/>
          <w:spacing w:val="-3"/>
          <w:lang w:val="en-GB"/>
        </w:rPr>
        <w:t xml:space="preserve"> </w:t>
      </w:r>
      <w:r w:rsidR="00AF7CDC" w:rsidRPr="00395073">
        <w:rPr>
          <w:rFonts w:asciiTheme="minorHAnsi" w:hAnsiTheme="minorHAnsi" w:cstheme="minorHAnsi"/>
          <w:spacing w:val="-3"/>
          <w:lang w:val="en-GB"/>
        </w:rPr>
        <w:t>from impairment and provisions in the amount</w:t>
      </w:r>
      <w:r w:rsidR="00B1778E">
        <w:rPr>
          <w:rFonts w:asciiTheme="minorHAnsi" w:hAnsiTheme="minorHAnsi" w:cstheme="minorHAnsi"/>
          <w:spacing w:val="-3"/>
          <w:lang w:val="en-GB"/>
        </w:rPr>
        <w:t xml:space="preserve"> of</w:t>
      </w:r>
      <w:r w:rsidR="00AF7CDC" w:rsidRPr="00395073">
        <w:rPr>
          <w:rFonts w:asciiTheme="minorHAnsi" w:hAnsiTheme="minorHAnsi" w:cstheme="minorHAnsi"/>
          <w:spacing w:val="-3"/>
          <w:lang w:val="en-GB"/>
        </w:rPr>
        <w:t xml:space="preserve"> HRK</w:t>
      </w:r>
      <w:r w:rsidR="00B81116" w:rsidRPr="00395073">
        <w:rPr>
          <w:rFonts w:asciiTheme="minorHAnsi" w:hAnsiTheme="minorHAnsi" w:cstheme="minorHAnsi"/>
          <w:spacing w:val="-3"/>
          <w:lang w:val="en-GB"/>
        </w:rPr>
        <w:t xml:space="preserve"> </w:t>
      </w:r>
      <w:r w:rsidRPr="00395073">
        <w:rPr>
          <w:rFonts w:asciiTheme="minorHAnsi" w:hAnsiTheme="minorHAnsi" w:cstheme="minorHAnsi"/>
          <w:spacing w:val="-3"/>
          <w:lang w:val="en-GB"/>
        </w:rPr>
        <w:t>42</w:t>
      </w:r>
      <w:r w:rsidR="00AF7CDC" w:rsidRPr="00395073">
        <w:rPr>
          <w:rFonts w:asciiTheme="minorHAnsi" w:hAnsiTheme="minorHAnsi" w:cstheme="minorHAnsi"/>
          <w:spacing w:val="-3"/>
          <w:lang w:val="en-GB"/>
        </w:rPr>
        <w:t>.</w:t>
      </w:r>
      <w:r w:rsidRPr="00395073">
        <w:rPr>
          <w:rFonts w:asciiTheme="minorHAnsi" w:hAnsiTheme="minorHAnsi" w:cstheme="minorHAnsi"/>
          <w:spacing w:val="-3"/>
          <w:lang w:val="en-GB"/>
        </w:rPr>
        <w:t>56</w:t>
      </w:r>
      <w:r w:rsidR="00B81116" w:rsidRPr="00395073">
        <w:rPr>
          <w:rFonts w:asciiTheme="minorHAnsi" w:hAnsiTheme="minorHAnsi" w:cstheme="minorHAnsi"/>
          <w:spacing w:val="-3"/>
          <w:lang w:val="en-GB"/>
        </w:rPr>
        <w:t xml:space="preserve"> mil</w:t>
      </w:r>
      <w:r w:rsidR="00AF7CDC" w:rsidRPr="00395073">
        <w:rPr>
          <w:rFonts w:asciiTheme="minorHAnsi" w:hAnsiTheme="minorHAnsi" w:cstheme="minorHAnsi"/>
          <w:spacing w:val="-3"/>
          <w:lang w:val="en-GB"/>
        </w:rPr>
        <w:t>lion</w:t>
      </w:r>
      <w:r w:rsidR="00B81116" w:rsidRPr="00395073">
        <w:rPr>
          <w:rFonts w:asciiTheme="minorHAnsi" w:hAnsiTheme="minorHAnsi" w:cstheme="minorHAnsi"/>
          <w:spacing w:val="-3"/>
          <w:lang w:val="en-GB"/>
        </w:rPr>
        <w:t xml:space="preserve">, </w:t>
      </w:r>
      <w:proofErr w:type="gramStart"/>
      <w:r w:rsidR="00123BF7" w:rsidRPr="00395073">
        <w:rPr>
          <w:rFonts w:asciiTheme="minorHAnsi" w:hAnsiTheme="minorHAnsi" w:cstheme="minorHAnsi"/>
          <w:spacing w:val="-3"/>
          <w:lang w:val="en-GB"/>
        </w:rPr>
        <w:t>i.e.</w:t>
      </w:r>
      <w:proofErr w:type="gramEnd"/>
      <w:r w:rsidR="00123BF7" w:rsidRPr="00395073">
        <w:rPr>
          <w:rFonts w:asciiTheme="minorHAnsi" w:hAnsiTheme="minorHAnsi" w:cstheme="minorHAnsi"/>
          <w:spacing w:val="-3"/>
          <w:lang w:val="en-GB"/>
        </w:rPr>
        <w:t xml:space="preserve"> by 46.33 percent</w:t>
      </w:r>
      <w:r w:rsidR="00B81116" w:rsidRPr="00395073">
        <w:rPr>
          <w:rFonts w:asciiTheme="minorHAnsi" w:hAnsiTheme="minorHAnsi" w:cstheme="minorHAnsi"/>
          <w:spacing w:val="-3"/>
          <w:lang w:val="en-GB"/>
        </w:rPr>
        <w:t>,</w:t>
      </w:r>
    </w:p>
    <w:p w14:paraId="5CA74D5F" w14:textId="0C8FD51B" w:rsidR="00123BF7" w:rsidRPr="00395073" w:rsidRDefault="00123BF7" w:rsidP="00BF17D9">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020D59">
        <w:rPr>
          <w:rFonts w:asciiTheme="minorHAnsi" w:hAnsiTheme="minorHAnsi" w:cstheme="minorHAnsi"/>
          <w:spacing w:val="-3"/>
          <w:lang w:val="en-GB"/>
        </w:rPr>
        <w:t>in</w:t>
      </w:r>
      <w:r w:rsidR="008D105D" w:rsidRPr="0017099C">
        <w:rPr>
          <w:rFonts w:asciiTheme="minorHAnsi" w:hAnsiTheme="minorHAnsi" w:cstheme="minorHAnsi"/>
          <w:lang w:val="en-GB"/>
        </w:rPr>
        <w:t>creas</w:t>
      </w:r>
      <w:r w:rsidR="008D105D" w:rsidRPr="00395073">
        <w:rPr>
          <w:rFonts w:asciiTheme="minorHAnsi" w:hAnsiTheme="minorHAnsi"/>
          <w:lang w:val="en-GB"/>
        </w:rPr>
        <w:t xml:space="preserve">e in operating expenses of HRK </w:t>
      </w:r>
      <w:r w:rsidRPr="00395073">
        <w:rPr>
          <w:rFonts w:asciiTheme="minorHAnsi" w:hAnsiTheme="minorHAnsi"/>
          <w:lang w:val="en-GB"/>
        </w:rPr>
        <w:t>1</w:t>
      </w:r>
      <w:r w:rsidR="00B81116" w:rsidRPr="00395073">
        <w:rPr>
          <w:rFonts w:asciiTheme="minorHAnsi" w:hAnsiTheme="minorHAnsi" w:cstheme="minorHAnsi"/>
          <w:spacing w:val="-3"/>
          <w:lang w:val="en-GB"/>
        </w:rPr>
        <w:t>2</w:t>
      </w:r>
      <w:r w:rsidR="008D105D" w:rsidRPr="00395073">
        <w:rPr>
          <w:rFonts w:asciiTheme="minorHAnsi" w:hAnsiTheme="minorHAnsi" w:cstheme="minorHAnsi"/>
          <w:spacing w:val="-3"/>
          <w:lang w:val="en-GB"/>
        </w:rPr>
        <w:t>.</w:t>
      </w:r>
      <w:r w:rsidRPr="00395073">
        <w:rPr>
          <w:rFonts w:asciiTheme="minorHAnsi" w:hAnsiTheme="minorHAnsi" w:cstheme="minorHAnsi"/>
          <w:spacing w:val="-3"/>
          <w:lang w:val="en-GB"/>
        </w:rPr>
        <w:t>17</w:t>
      </w:r>
      <w:r w:rsidR="00B81116" w:rsidRPr="00395073">
        <w:rPr>
          <w:rFonts w:asciiTheme="minorHAnsi" w:hAnsiTheme="minorHAnsi" w:cstheme="minorHAnsi"/>
          <w:spacing w:val="-3"/>
          <w:lang w:val="en-GB"/>
        </w:rPr>
        <w:t xml:space="preserve"> mil</w:t>
      </w:r>
      <w:r w:rsidR="008D105D" w:rsidRPr="00395073">
        <w:rPr>
          <w:rFonts w:asciiTheme="minorHAnsi" w:hAnsiTheme="minorHAnsi" w:cstheme="minorHAnsi"/>
          <w:spacing w:val="-3"/>
          <w:lang w:val="en-GB"/>
        </w:rPr>
        <w:t>lion</w:t>
      </w:r>
      <w:r w:rsidR="0017099C">
        <w:rPr>
          <w:rFonts w:asciiTheme="minorHAnsi" w:hAnsiTheme="minorHAnsi" w:cstheme="minorHAnsi"/>
          <w:spacing w:val="-3"/>
          <w:lang w:val="en-GB"/>
        </w:rPr>
        <w:t xml:space="preserve">, </w:t>
      </w:r>
      <w:proofErr w:type="gramStart"/>
      <w:r w:rsidR="0017099C">
        <w:rPr>
          <w:rFonts w:asciiTheme="minorHAnsi" w:hAnsiTheme="minorHAnsi" w:cstheme="minorHAnsi"/>
          <w:spacing w:val="-3"/>
          <w:lang w:val="en-GB"/>
        </w:rPr>
        <w:t>i.e.</w:t>
      </w:r>
      <w:proofErr w:type="gramEnd"/>
      <w:r w:rsidR="00B81116" w:rsidRPr="00395073">
        <w:rPr>
          <w:rFonts w:asciiTheme="minorHAnsi" w:hAnsiTheme="minorHAnsi" w:cstheme="minorHAnsi"/>
          <w:spacing w:val="-3"/>
          <w:lang w:val="en-GB"/>
        </w:rPr>
        <w:t xml:space="preserve"> </w:t>
      </w:r>
      <w:r w:rsidR="00B06FF9" w:rsidRPr="00395073">
        <w:rPr>
          <w:rFonts w:asciiTheme="minorHAnsi" w:hAnsiTheme="minorHAnsi" w:cstheme="minorHAnsi"/>
          <w:spacing w:val="-3"/>
          <w:lang w:val="en-GB"/>
        </w:rPr>
        <w:t xml:space="preserve">by </w:t>
      </w:r>
      <w:r w:rsidRPr="00395073">
        <w:rPr>
          <w:rFonts w:asciiTheme="minorHAnsi" w:hAnsiTheme="minorHAnsi" w:cstheme="minorHAnsi"/>
          <w:spacing w:val="-3"/>
          <w:lang w:val="en-GB"/>
        </w:rPr>
        <w:t>11</w:t>
      </w:r>
      <w:r w:rsidR="008D105D" w:rsidRPr="00395073">
        <w:rPr>
          <w:rFonts w:asciiTheme="minorHAnsi" w:hAnsiTheme="minorHAnsi" w:cstheme="minorHAnsi"/>
          <w:spacing w:val="-3"/>
          <w:lang w:val="en-GB"/>
        </w:rPr>
        <w:t>.</w:t>
      </w:r>
      <w:r w:rsidRPr="00395073">
        <w:rPr>
          <w:rFonts w:asciiTheme="minorHAnsi" w:hAnsiTheme="minorHAnsi" w:cstheme="minorHAnsi"/>
          <w:spacing w:val="-3"/>
          <w:lang w:val="en-GB"/>
        </w:rPr>
        <w:t>34</w:t>
      </w:r>
      <w:r w:rsidR="00B81116" w:rsidRPr="00395073">
        <w:rPr>
          <w:rFonts w:asciiTheme="minorHAnsi" w:hAnsiTheme="minorHAnsi" w:cstheme="minorHAnsi"/>
          <w:spacing w:val="-3"/>
          <w:lang w:val="en-GB"/>
        </w:rPr>
        <w:t xml:space="preserve"> p</w:t>
      </w:r>
      <w:r w:rsidR="008D105D" w:rsidRPr="00395073">
        <w:rPr>
          <w:rFonts w:asciiTheme="minorHAnsi" w:hAnsiTheme="minorHAnsi" w:cstheme="minorHAnsi"/>
          <w:spacing w:val="-3"/>
          <w:lang w:val="en-GB"/>
        </w:rPr>
        <w:t>ercent</w:t>
      </w:r>
      <w:r w:rsidRPr="00395073">
        <w:rPr>
          <w:rFonts w:asciiTheme="minorHAnsi" w:hAnsiTheme="minorHAnsi" w:cstheme="minorHAnsi"/>
          <w:spacing w:val="-3"/>
          <w:lang w:val="en-GB"/>
        </w:rPr>
        <w:t>,</w:t>
      </w:r>
    </w:p>
    <w:p w14:paraId="19502D8D" w14:textId="04EF2DA0" w:rsidR="00123BF7" w:rsidRPr="00395073" w:rsidRDefault="00123BF7" w:rsidP="00123BF7">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395073">
        <w:rPr>
          <w:rFonts w:asciiTheme="minorHAnsi" w:hAnsiTheme="minorHAnsi" w:cstheme="minorHAnsi"/>
          <w:spacing w:val="-3"/>
          <w:lang w:val="en-GB"/>
        </w:rPr>
        <w:t>increase in fee income of HRK 3.30 million</w:t>
      </w:r>
      <w:r w:rsidR="0017099C">
        <w:rPr>
          <w:rFonts w:asciiTheme="minorHAnsi" w:hAnsiTheme="minorHAnsi" w:cstheme="minorHAnsi"/>
          <w:spacing w:val="-3"/>
          <w:lang w:val="en-GB"/>
        </w:rPr>
        <w:t xml:space="preserve">, </w:t>
      </w:r>
      <w:proofErr w:type="gramStart"/>
      <w:r w:rsidR="0017099C">
        <w:rPr>
          <w:rFonts w:asciiTheme="minorHAnsi" w:hAnsiTheme="minorHAnsi" w:cstheme="minorHAnsi"/>
          <w:spacing w:val="-3"/>
          <w:lang w:val="en-GB"/>
        </w:rPr>
        <w:t>i.e.</w:t>
      </w:r>
      <w:proofErr w:type="gramEnd"/>
      <w:r w:rsidRPr="00395073">
        <w:rPr>
          <w:rFonts w:asciiTheme="minorHAnsi" w:hAnsiTheme="minorHAnsi" w:cstheme="minorHAnsi"/>
          <w:spacing w:val="-3"/>
          <w:lang w:val="en-GB"/>
        </w:rPr>
        <w:t xml:space="preserve"> by 10.52 percent</w:t>
      </w:r>
      <w:r w:rsidR="004776A2" w:rsidRPr="00395073">
        <w:rPr>
          <w:rFonts w:asciiTheme="minorHAnsi" w:hAnsiTheme="minorHAnsi" w:cstheme="minorHAnsi"/>
          <w:spacing w:val="-3"/>
          <w:lang w:val="en-GB"/>
        </w:rPr>
        <w:t>.</w:t>
      </w:r>
    </w:p>
    <w:p w14:paraId="33F02D40" w14:textId="77777777" w:rsidR="00B81116" w:rsidRPr="00395073" w:rsidRDefault="00B81116" w:rsidP="00395073">
      <w:pPr>
        <w:pStyle w:val="ListParagraph"/>
        <w:tabs>
          <w:tab w:val="left" w:pos="-720"/>
          <w:tab w:val="left" w:pos="709"/>
        </w:tabs>
        <w:suppressAutoHyphens/>
        <w:ind w:left="709"/>
        <w:jc w:val="both"/>
        <w:rPr>
          <w:rFonts w:asciiTheme="minorHAnsi" w:hAnsiTheme="minorHAnsi" w:cstheme="minorHAnsi"/>
          <w:spacing w:val="-3"/>
          <w:lang w:val="en-GB"/>
        </w:rPr>
      </w:pPr>
    </w:p>
    <w:p w14:paraId="2004BE7A" w14:textId="77777777" w:rsidR="007D3F76" w:rsidRPr="00395073" w:rsidRDefault="007D3F76" w:rsidP="00BF17D9">
      <w:pPr>
        <w:tabs>
          <w:tab w:val="left" w:pos="-720"/>
        </w:tabs>
        <w:suppressAutoHyphens/>
        <w:spacing w:after="0" w:line="240" w:lineRule="auto"/>
        <w:jc w:val="both"/>
        <w:rPr>
          <w:rFonts w:cstheme="minorHAnsi"/>
          <w:spacing w:val="-3"/>
          <w:sz w:val="24"/>
          <w:szCs w:val="24"/>
          <w:lang w:val="en-GB"/>
        </w:rPr>
      </w:pPr>
    </w:p>
    <w:p w14:paraId="710C1A12" w14:textId="77777777" w:rsidR="008D105D" w:rsidRPr="00395073" w:rsidRDefault="008D105D" w:rsidP="008D105D">
      <w:pPr>
        <w:tabs>
          <w:tab w:val="left" w:pos="-720"/>
        </w:tabs>
        <w:spacing w:after="0" w:line="240" w:lineRule="auto"/>
        <w:jc w:val="both"/>
        <w:rPr>
          <w:rFonts w:eastAsia="Times New Roman" w:cs="Calibri"/>
          <w:spacing w:val="-3"/>
          <w:sz w:val="24"/>
          <w:szCs w:val="24"/>
          <w:lang w:val="en-GB" w:eastAsia="hr-HR"/>
        </w:rPr>
      </w:pPr>
      <w:r w:rsidRPr="00395073">
        <w:rPr>
          <w:rFonts w:eastAsia="Times New Roman" w:cs="Calibri"/>
          <w:spacing w:val="-3"/>
          <w:sz w:val="24"/>
          <w:szCs w:val="24"/>
          <w:lang w:val="en-GB" w:eastAsia="hr-HR"/>
        </w:rPr>
        <w:t>A detailed description of trends is given for each category separately in the following text.</w:t>
      </w:r>
    </w:p>
    <w:p w14:paraId="785116E0" w14:textId="77777777" w:rsidR="00BF17D9" w:rsidRPr="00395073" w:rsidRDefault="00BF17D9" w:rsidP="00BF17D9">
      <w:pPr>
        <w:tabs>
          <w:tab w:val="left" w:pos="-720"/>
        </w:tabs>
        <w:suppressAutoHyphens/>
        <w:spacing w:after="0" w:line="240" w:lineRule="auto"/>
        <w:jc w:val="both"/>
        <w:rPr>
          <w:rFonts w:cstheme="minorHAnsi"/>
          <w:spacing w:val="-3"/>
          <w:sz w:val="24"/>
          <w:szCs w:val="24"/>
          <w:lang w:val="en-GB"/>
        </w:rPr>
      </w:pPr>
    </w:p>
    <w:p w14:paraId="59E796C5" w14:textId="77777777" w:rsidR="00C16DA8" w:rsidRPr="00395073" w:rsidRDefault="00C16DA8" w:rsidP="00BF17D9">
      <w:pPr>
        <w:tabs>
          <w:tab w:val="left" w:pos="-720"/>
        </w:tabs>
        <w:suppressAutoHyphens/>
        <w:spacing w:after="0" w:line="240" w:lineRule="auto"/>
        <w:jc w:val="both"/>
        <w:rPr>
          <w:rFonts w:eastAsia="Times New Roman" w:cs="Calibri"/>
          <w:b/>
          <w:i/>
          <w:spacing w:val="-3"/>
          <w:sz w:val="24"/>
          <w:szCs w:val="24"/>
          <w:lang w:val="en-GB" w:eastAsia="hr-HR"/>
        </w:rPr>
        <w:sectPr w:rsidR="00C16DA8" w:rsidRPr="00395073" w:rsidSect="00F24D36">
          <w:footerReference w:type="default" r:id="rId23"/>
          <w:pgSz w:w="11906" w:h="16838"/>
          <w:pgMar w:top="1417" w:right="1417" w:bottom="1417" w:left="1276" w:header="708" w:footer="708" w:gutter="0"/>
          <w:cols w:space="708"/>
          <w:docGrid w:linePitch="360"/>
        </w:sectPr>
      </w:pPr>
    </w:p>
    <w:p w14:paraId="248FE619" w14:textId="77777777" w:rsidR="009A65CC" w:rsidRPr="00395073" w:rsidRDefault="009A65CC" w:rsidP="00BF17D9">
      <w:pPr>
        <w:tabs>
          <w:tab w:val="left" w:pos="-720"/>
        </w:tabs>
        <w:suppressAutoHyphens/>
        <w:spacing w:after="0" w:line="240" w:lineRule="auto"/>
        <w:jc w:val="both"/>
        <w:rPr>
          <w:rFonts w:eastAsia="Times New Roman" w:cs="Calibri"/>
          <w:b/>
          <w:i/>
          <w:spacing w:val="-3"/>
          <w:sz w:val="24"/>
          <w:szCs w:val="24"/>
          <w:lang w:val="en-GB" w:eastAsia="hr-HR"/>
        </w:rPr>
      </w:pPr>
    </w:p>
    <w:p w14:paraId="3F7B2174" w14:textId="77777777" w:rsidR="00073C53" w:rsidRPr="00395073" w:rsidRDefault="00073C53" w:rsidP="00BF17D9">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t xml:space="preserve"> </w:t>
      </w:r>
      <w:r w:rsidRPr="00395073">
        <w:rPr>
          <w:rFonts w:eastAsia="Times New Roman" w:cs="Calibri"/>
          <w:b/>
          <w:i/>
          <w:noProof/>
          <w:spacing w:val="-3"/>
          <w:sz w:val="24"/>
          <w:szCs w:val="24"/>
          <w:lang w:val="en-GB" w:eastAsia="hr-HR"/>
        </w:rPr>
        <w:drawing>
          <wp:inline distT="0" distB="0" distL="0" distR="0" wp14:anchorId="761B7A8B" wp14:editId="17392BA6">
            <wp:extent cx="2868019" cy="3276000"/>
            <wp:effectExtent l="0" t="0" r="889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68019" cy="3276000"/>
                    </a:xfrm>
                    <a:prstGeom prst="rect">
                      <a:avLst/>
                    </a:prstGeom>
                    <a:noFill/>
                  </pic:spPr>
                </pic:pic>
              </a:graphicData>
            </a:graphic>
          </wp:inline>
        </w:drawing>
      </w:r>
      <w:r w:rsidRPr="00395073">
        <w:rPr>
          <w:rFonts w:eastAsia="Times New Roman" w:cs="Calibri"/>
          <w:b/>
          <w:i/>
          <w:spacing w:val="-3"/>
          <w:sz w:val="24"/>
          <w:szCs w:val="24"/>
          <w:lang w:val="en-GB" w:eastAsia="hr-HR"/>
        </w:rPr>
        <w:t xml:space="preserve"> </w:t>
      </w:r>
      <w:r w:rsidRPr="00395073">
        <w:rPr>
          <w:rFonts w:eastAsia="Times New Roman" w:cs="Calibri"/>
          <w:b/>
          <w:i/>
          <w:noProof/>
          <w:spacing w:val="-3"/>
          <w:sz w:val="24"/>
          <w:szCs w:val="24"/>
          <w:lang w:val="en-GB" w:eastAsia="hr-HR"/>
        </w:rPr>
        <w:drawing>
          <wp:inline distT="0" distB="0" distL="0" distR="0" wp14:anchorId="074C2A3E" wp14:editId="0FFD4313">
            <wp:extent cx="2873935" cy="3276000"/>
            <wp:effectExtent l="0" t="0" r="317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73935" cy="3276000"/>
                    </a:xfrm>
                    <a:prstGeom prst="rect">
                      <a:avLst/>
                    </a:prstGeom>
                    <a:noFill/>
                  </pic:spPr>
                </pic:pic>
              </a:graphicData>
            </a:graphic>
          </wp:inline>
        </w:drawing>
      </w:r>
    </w:p>
    <w:p w14:paraId="71BF26D8" w14:textId="77777777" w:rsidR="009A65CC" w:rsidRPr="00395073" w:rsidRDefault="009A65CC" w:rsidP="00BF17D9">
      <w:pPr>
        <w:tabs>
          <w:tab w:val="left" w:pos="-720"/>
        </w:tabs>
        <w:suppressAutoHyphens/>
        <w:spacing w:after="0" w:line="240" w:lineRule="auto"/>
        <w:jc w:val="both"/>
        <w:rPr>
          <w:rFonts w:eastAsia="Times New Roman" w:cs="Calibri"/>
          <w:b/>
          <w:i/>
          <w:spacing w:val="-3"/>
          <w:sz w:val="24"/>
          <w:szCs w:val="24"/>
          <w:lang w:val="en-GB" w:eastAsia="hr-HR"/>
        </w:rPr>
      </w:pPr>
    </w:p>
    <w:p w14:paraId="4D422627" w14:textId="77777777" w:rsidR="008D17A0" w:rsidRPr="00395073" w:rsidRDefault="008D17A0" w:rsidP="00BF17D9">
      <w:pPr>
        <w:tabs>
          <w:tab w:val="left" w:pos="-720"/>
        </w:tabs>
        <w:suppressAutoHyphens/>
        <w:spacing w:after="0" w:line="240" w:lineRule="auto"/>
        <w:jc w:val="both"/>
        <w:rPr>
          <w:rFonts w:eastAsia="Times New Roman" w:cs="Calibri"/>
          <w:b/>
          <w:i/>
          <w:spacing w:val="-3"/>
          <w:sz w:val="24"/>
          <w:szCs w:val="24"/>
          <w:lang w:val="en-GB" w:eastAsia="hr-HR"/>
        </w:rPr>
      </w:pPr>
    </w:p>
    <w:p w14:paraId="7DBE7F67" w14:textId="77777777" w:rsidR="009A65CC" w:rsidRPr="00395073" w:rsidRDefault="00073C53" w:rsidP="00BF17D9">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noProof/>
          <w:spacing w:val="-3"/>
          <w:sz w:val="24"/>
          <w:szCs w:val="24"/>
          <w:lang w:val="en-GB" w:eastAsia="hr-HR"/>
        </w:rPr>
        <w:drawing>
          <wp:inline distT="0" distB="0" distL="0" distR="0" wp14:anchorId="0202EC60" wp14:editId="4532C264">
            <wp:extent cx="2885241" cy="3276000"/>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85241" cy="3276000"/>
                    </a:xfrm>
                    <a:prstGeom prst="rect">
                      <a:avLst/>
                    </a:prstGeom>
                    <a:noFill/>
                  </pic:spPr>
                </pic:pic>
              </a:graphicData>
            </a:graphic>
          </wp:inline>
        </w:drawing>
      </w:r>
      <w:r w:rsidRPr="00395073">
        <w:rPr>
          <w:rFonts w:eastAsia="Times New Roman" w:cs="Calibri"/>
          <w:b/>
          <w:i/>
          <w:spacing w:val="-3"/>
          <w:sz w:val="24"/>
          <w:szCs w:val="24"/>
          <w:lang w:val="en-GB" w:eastAsia="hr-HR"/>
        </w:rPr>
        <w:t xml:space="preserve"> </w:t>
      </w:r>
      <w:r w:rsidRPr="00395073">
        <w:rPr>
          <w:rFonts w:eastAsia="Times New Roman" w:cs="Calibri"/>
          <w:b/>
          <w:i/>
          <w:noProof/>
          <w:spacing w:val="-3"/>
          <w:sz w:val="24"/>
          <w:szCs w:val="24"/>
          <w:lang w:val="en-GB" w:eastAsia="hr-HR"/>
        </w:rPr>
        <w:drawing>
          <wp:inline distT="0" distB="0" distL="0" distR="0" wp14:anchorId="475853EA" wp14:editId="229823D5">
            <wp:extent cx="2908123" cy="3276000"/>
            <wp:effectExtent l="0" t="0" r="698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08123" cy="3276000"/>
                    </a:xfrm>
                    <a:prstGeom prst="rect">
                      <a:avLst/>
                    </a:prstGeom>
                    <a:noFill/>
                  </pic:spPr>
                </pic:pic>
              </a:graphicData>
            </a:graphic>
          </wp:inline>
        </w:drawing>
      </w:r>
    </w:p>
    <w:p w14:paraId="102A9F70" w14:textId="77777777" w:rsidR="009A65CC" w:rsidRPr="00395073" w:rsidRDefault="009A65CC" w:rsidP="00BF17D9">
      <w:pPr>
        <w:tabs>
          <w:tab w:val="left" w:pos="-720"/>
        </w:tabs>
        <w:suppressAutoHyphens/>
        <w:spacing w:after="0" w:line="240" w:lineRule="auto"/>
        <w:jc w:val="both"/>
        <w:rPr>
          <w:rFonts w:eastAsia="Times New Roman" w:cs="Calibri"/>
          <w:b/>
          <w:i/>
          <w:spacing w:val="-3"/>
          <w:sz w:val="24"/>
          <w:szCs w:val="24"/>
          <w:lang w:val="en-GB" w:eastAsia="hr-HR"/>
        </w:rPr>
      </w:pPr>
    </w:p>
    <w:p w14:paraId="4E333978" w14:textId="77777777" w:rsidR="00BF17D9" w:rsidRPr="00395073"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14:paraId="1E3089C3" w14:textId="77777777" w:rsidR="00C16DA8" w:rsidRPr="00395073" w:rsidRDefault="00C16DA8" w:rsidP="00BF17D9">
      <w:pPr>
        <w:tabs>
          <w:tab w:val="left" w:pos="-720"/>
        </w:tabs>
        <w:suppressAutoHyphens/>
        <w:spacing w:after="0" w:line="240" w:lineRule="auto"/>
        <w:jc w:val="both"/>
        <w:rPr>
          <w:rFonts w:eastAsia="Times New Roman" w:cs="Calibri"/>
          <w:b/>
          <w:i/>
          <w:spacing w:val="-3"/>
          <w:sz w:val="24"/>
          <w:szCs w:val="24"/>
          <w:lang w:val="en-GB" w:eastAsia="hr-HR"/>
        </w:rPr>
        <w:sectPr w:rsidR="00C16DA8" w:rsidRPr="00395073" w:rsidSect="00F24D36">
          <w:footerReference w:type="default" r:id="rId28"/>
          <w:pgSz w:w="11906" w:h="16838"/>
          <w:pgMar w:top="1417" w:right="1417" w:bottom="1417" w:left="1276" w:header="708" w:footer="708" w:gutter="0"/>
          <w:cols w:space="708"/>
          <w:docGrid w:linePitch="360"/>
        </w:sectPr>
      </w:pPr>
    </w:p>
    <w:p w14:paraId="737C7802" w14:textId="77777777" w:rsidR="008D105D" w:rsidRPr="00395073" w:rsidRDefault="008D105D" w:rsidP="008D105D">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lastRenderedPageBreak/>
        <w:t>Net interest income</w:t>
      </w:r>
    </w:p>
    <w:p w14:paraId="0914D5F2" w14:textId="77777777" w:rsidR="00BF17D9" w:rsidRPr="00395073"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14:paraId="7F606A12" w14:textId="77777777" w:rsidR="00BF17D9" w:rsidRPr="00395073" w:rsidRDefault="008D105D" w:rsidP="00BF17D9">
      <w:pPr>
        <w:tabs>
          <w:tab w:val="left" w:pos="-720"/>
        </w:tabs>
        <w:suppressAutoHyphens/>
        <w:spacing w:after="0" w:line="240" w:lineRule="auto"/>
        <w:jc w:val="both"/>
        <w:rPr>
          <w:rFonts w:cstheme="minorHAnsi"/>
          <w:spacing w:val="-3"/>
          <w:sz w:val="24"/>
          <w:szCs w:val="24"/>
          <w:lang w:val="en-GB"/>
        </w:rPr>
      </w:pPr>
      <w:r w:rsidRPr="00395073">
        <w:rPr>
          <w:rFonts w:cs="Calibri"/>
          <w:spacing w:val="-3"/>
          <w:sz w:val="24"/>
          <w:szCs w:val="24"/>
          <w:lang w:val="en-GB"/>
        </w:rPr>
        <w:t xml:space="preserve">Net interest income amounted to </w:t>
      </w:r>
      <w:r w:rsidRPr="008C2AC9">
        <w:rPr>
          <w:rFonts w:cs="Calibri"/>
          <w:spacing w:val="-3"/>
          <w:sz w:val="24"/>
          <w:szCs w:val="24"/>
          <w:lang w:val="en-GB"/>
        </w:rPr>
        <w:t>HRK</w:t>
      </w:r>
      <w:r w:rsidRPr="00020D59">
        <w:rPr>
          <w:rFonts w:cs="Calibri"/>
          <w:spacing w:val="-3"/>
          <w:sz w:val="24"/>
          <w:szCs w:val="24"/>
          <w:lang w:val="en-GB"/>
        </w:rPr>
        <w:t xml:space="preserve"> </w:t>
      </w:r>
      <w:r w:rsidR="00DC6EDD" w:rsidRPr="00020D59">
        <w:rPr>
          <w:rFonts w:cs="Calibri"/>
          <w:spacing w:val="-3"/>
          <w:sz w:val="24"/>
          <w:szCs w:val="24"/>
          <w:lang w:val="en-GB"/>
        </w:rPr>
        <w:t>307</w:t>
      </w:r>
      <w:r w:rsidRPr="008C2AC9">
        <w:rPr>
          <w:rFonts w:cstheme="minorHAnsi"/>
          <w:spacing w:val="-3"/>
          <w:sz w:val="24"/>
          <w:szCs w:val="24"/>
          <w:lang w:val="en-GB"/>
        </w:rPr>
        <w:t>.</w:t>
      </w:r>
      <w:r w:rsidR="00DC6EDD" w:rsidRPr="008C2AC9">
        <w:rPr>
          <w:rFonts w:cstheme="minorHAnsi"/>
          <w:spacing w:val="-3"/>
          <w:sz w:val="24"/>
          <w:szCs w:val="24"/>
          <w:lang w:val="en-GB"/>
        </w:rPr>
        <w:t>10</w:t>
      </w:r>
      <w:r w:rsidR="00BF17D9" w:rsidRPr="000C2C94">
        <w:rPr>
          <w:rFonts w:cstheme="minorHAnsi"/>
          <w:spacing w:val="-3"/>
          <w:sz w:val="24"/>
          <w:szCs w:val="24"/>
          <w:lang w:val="en-GB"/>
        </w:rPr>
        <w:t xml:space="preserve"> mil</w:t>
      </w:r>
      <w:r w:rsidRPr="000C2C94">
        <w:rPr>
          <w:rFonts w:cstheme="minorHAnsi"/>
          <w:spacing w:val="-3"/>
          <w:sz w:val="24"/>
          <w:szCs w:val="24"/>
          <w:lang w:val="en-GB"/>
        </w:rPr>
        <w:t>lion</w:t>
      </w:r>
      <w:r w:rsidRPr="00395073">
        <w:rPr>
          <w:rFonts w:cstheme="minorHAnsi"/>
          <w:spacing w:val="-3"/>
          <w:sz w:val="24"/>
          <w:szCs w:val="24"/>
          <w:lang w:val="en-GB"/>
        </w:rPr>
        <w:t>, a decrease of 1</w:t>
      </w:r>
      <w:r w:rsidR="00DC6EDD" w:rsidRPr="00395073">
        <w:rPr>
          <w:rFonts w:cstheme="minorHAnsi"/>
          <w:spacing w:val="-3"/>
          <w:sz w:val="24"/>
          <w:szCs w:val="24"/>
          <w:lang w:val="en-GB"/>
        </w:rPr>
        <w:t>4</w:t>
      </w:r>
      <w:r w:rsidRPr="00395073">
        <w:rPr>
          <w:rFonts w:cstheme="minorHAnsi"/>
          <w:spacing w:val="-3"/>
          <w:sz w:val="24"/>
          <w:szCs w:val="24"/>
          <w:lang w:val="en-GB"/>
        </w:rPr>
        <w:t>.</w:t>
      </w:r>
      <w:r w:rsidR="00DC6EDD" w:rsidRPr="00395073">
        <w:rPr>
          <w:rFonts w:cstheme="minorHAnsi"/>
          <w:spacing w:val="-3"/>
          <w:sz w:val="24"/>
          <w:szCs w:val="24"/>
          <w:lang w:val="en-GB"/>
        </w:rPr>
        <w:t>34</w:t>
      </w:r>
      <w:r w:rsidRPr="00395073">
        <w:rPr>
          <w:rFonts w:cstheme="minorHAnsi"/>
          <w:spacing w:val="-3"/>
          <w:sz w:val="24"/>
          <w:szCs w:val="24"/>
          <w:lang w:val="en-GB"/>
        </w:rPr>
        <w:t xml:space="preserve"> percent on the same period of the previous reporting year</w:t>
      </w:r>
      <w:r w:rsidR="00B276F2" w:rsidRPr="00395073">
        <w:rPr>
          <w:rFonts w:cstheme="minorHAnsi"/>
          <w:spacing w:val="-3"/>
          <w:sz w:val="24"/>
          <w:szCs w:val="24"/>
          <w:lang w:val="en-GB"/>
        </w:rPr>
        <w:t>.</w:t>
      </w:r>
      <w:r w:rsidR="00BF17D9" w:rsidRPr="00395073">
        <w:rPr>
          <w:rFonts w:cstheme="minorHAnsi"/>
          <w:spacing w:val="-3"/>
          <w:sz w:val="24"/>
          <w:szCs w:val="24"/>
          <w:lang w:val="en-GB"/>
        </w:rPr>
        <w:t xml:space="preserve"> </w:t>
      </w:r>
    </w:p>
    <w:p w14:paraId="30D2277B" w14:textId="77777777" w:rsidR="00BF17D9" w:rsidRPr="00395073" w:rsidRDefault="00BF17D9" w:rsidP="00BF17D9">
      <w:pPr>
        <w:tabs>
          <w:tab w:val="left" w:pos="-720"/>
        </w:tabs>
        <w:suppressAutoHyphens/>
        <w:spacing w:after="0" w:line="240" w:lineRule="auto"/>
        <w:jc w:val="both"/>
        <w:rPr>
          <w:rFonts w:cstheme="minorHAnsi"/>
          <w:spacing w:val="-3"/>
          <w:sz w:val="24"/>
          <w:szCs w:val="24"/>
          <w:lang w:val="en-GB"/>
        </w:rPr>
      </w:pPr>
    </w:p>
    <w:p w14:paraId="094165BD" w14:textId="66B60B2B" w:rsidR="00C16DA8" w:rsidRPr="00395073" w:rsidRDefault="008D105D" w:rsidP="00C23C95">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Interest income amounted to HRK </w:t>
      </w:r>
      <w:r w:rsidR="00DC6EDD" w:rsidRPr="00395073">
        <w:rPr>
          <w:rFonts w:cstheme="minorHAnsi"/>
          <w:spacing w:val="-3"/>
          <w:sz w:val="24"/>
          <w:szCs w:val="24"/>
          <w:lang w:val="en-GB"/>
        </w:rPr>
        <w:t>562</w:t>
      </w:r>
      <w:r w:rsidRPr="00395073">
        <w:rPr>
          <w:rFonts w:cstheme="minorHAnsi"/>
          <w:spacing w:val="-3"/>
          <w:sz w:val="24"/>
          <w:szCs w:val="24"/>
          <w:lang w:val="en-GB"/>
        </w:rPr>
        <w:t>.</w:t>
      </w:r>
      <w:r w:rsidR="00DC6EDD" w:rsidRPr="00395073">
        <w:rPr>
          <w:rFonts w:cstheme="minorHAnsi"/>
          <w:spacing w:val="-3"/>
          <w:sz w:val="24"/>
          <w:szCs w:val="24"/>
          <w:lang w:val="en-GB"/>
        </w:rPr>
        <w:t>09</w:t>
      </w:r>
      <w:r w:rsidR="00B276F2" w:rsidRPr="00395073">
        <w:rPr>
          <w:rFonts w:cstheme="minorHAnsi"/>
          <w:spacing w:val="-3"/>
          <w:sz w:val="24"/>
          <w:szCs w:val="24"/>
          <w:lang w:val="en-GB"/>
        </w:rPr>
        <w:t xml:space="preserve"> </w:t>
      </w:r>
      <w:r w:rsidR="00BF17D9" w:rsidRPr="00395073">
        <w:rPr>
          <w:rFonts w:cstheme="minorHAnsi"/>
          <w:spacing w:val="-3"/>
          <w:sz w:val="24"/>
          <w:szCs w:val="24"/>
          <w:lang w:val="en-GB"/>
        </w:rPr>
        <w:t>mil</w:t>
      </w:r>
      <w:r w:rsidRPr="00395073">
        <w:rPr>
          <w:rFonts w:cstheme="minorHAnsi"/>
          <w:spacing w:val="-3"/>
          <w:sz w:val="24"/>
          <w:szCs w:val="24"/>
          <w:lang w:val="en-GB"/>
        </w:rPr>
        <w:t>lion, a decrease of</w:t>
      </w:r>
      <w:r w:rsidR="00B276F2" w:rsidRPr="00395073">
        <w:rPr>
          <w:rFonts w:cstheme="minorHAnsi"/>
          <w:spacing w:val="-3"/>
          <w:sz w:val="24"/>
          <w:szCs w:val="24"/>
          <w:lang w:val="en-GB"/>
        </w:rPr>
        <w:t xml:space="preserve"> 1</w:t>
      </w:r>
      <w:r w:rsidR="00DC6EDD" w:rsidRPr="00395073">
        <w:rPr>
          <w:rFonts w:cstheme="minorHAnsi"/>
          <w:spacing w:val="-3"/>
          <w:sz w:val="24"/>
          <w:szCs w:val="24"/>
          <w:lang w:val="en-GB"/>
        </w:rPr>
        <w:t>4</w:t>
      </w:r>
      <w:r w:rsidRPr="00395073">
        <w:rPr>
          <w:rFonts w:cstheme="minorHAnsi"/>
          <w:spacing w:val="-3"/>
          <w:sz w:val="24"/>
          <w:szCs w:val="24"/>
          <w:lang w:val="en-GB"/>
        </w:rPr>
        <w:t>.</w:t>
      </w:r>
      <w:r w:rsidR="00DC6EDD" w:rsidRPr="00395073">
        <w:rPr>
          <w:rFonts w:cstheme="minorHAnsi"/>
          <w:spacing w:val="-3"/>
          <w:sz w:val="24"/>
          <w:szCs w:val="24"/>
          <w:lang w:val="en-GB"/>
        </w:rPr>
        <w:t>83</w:t>
      </w:r>
      <w:r w:rsidR="00B276F2" w:rsidRPr="00395073">
        <w:rPr>
          <w:rFonts w:cstheme="minorHAnsi"/>
          <w:spacing w:val="-3"/>
          <w:sz w:val="24"/>
          <w:szCs w:val="24"/>
          <w:lang w:val="en-GB"/>
        </w:rPr>
        <w:t xml:space="preserve"> p</w:t>
      </w:r>
      <w:r w:rsidRPr="00395073">
        <w:rPr>
          <w:rFonts w:cstheme="minorHAnsi"/>
          <w:spacing w:val="-3"/>
          <w:sz w:val="24"/>
          <w:szCs w:val="24"/>
          <w:lang w:val="en-GB"/>
        </w:rPr>
        <w:t>ercent on the same reporting period last year</w:t>
      </w:r>
      <w:r w:rsidR="00A8775B" w:rsidRPr="00395073">
        <w:rPr>
          <w:rFonts w:cstheme="minorHAnsi"/>
          <w:spacing w:val="-3"/>
          <w:sz w:val="24"/>
          <w:szCs w:val="24"/>
          <w:lang w:val="en-GB"/>
        </w:rPr>
        <w:t xml:space="preserve"> due to decreased interest income from </w:t>
      </w:r>
      <w:r w:rsidR="001E2FF4" w:rsidRPr="00395073">
        <w:rPr>
          <w:rFonts w:cstheme="minorHAnsi"/>
          <w:spacing w:val="-3"/>
          <w:sz w:val="24"/>
          <w:szCs w:val="24"/>
          <w:lang w:val="en-GB"/>
        </w:rPr>
        <w:t>long-term loans due to</w:t>
      </w:r>
      <w:r w:rsidR="00B81EB3" w:rsidRPr="00395073">
        <w:rPr>
          <w:rFonts w:cstheme="minorHAnsi"/>
          <w:spacing w:val="-3"/>
          <w:sz w:val="24"/>
          <w:szCs w:val="24"/>
          <w:lang w:val="en-GB"/>
        </w:rPr>
        <w:t xml:space="preserve"> </w:t>
      </w:r>
      <w:r w:rsidR="00810E29" w:rsidRPr="00395073">
        <w:rPr>
          <w:rFonts w:cstheme="minorHAnsi"/>
          <w:spacing w:val="-3"/>
          <w:sz w:val="24"/>
          <w:szCs w:val="24"/>
          <w:lang w:val="en-GB"/>
        </w:rPr>
        <w:t>the long-term</w:t>
      </w:r>
      <w:r w:rsidR="00C16DA8" w:rsidRPr="00395073">
        <w:rPr>
          <w:rFonts w:cstheme="minorHAnsi"/>
          <w:spacing w:val="-3"/>
          <w:sz w:val="24"/>
          <w:szCs w:val="24"/>
          <w:lang w:val="en-GB"/>
        </w:rPr>
        <w:t xml:space="preserve"> </w:t>
      </w:r>
      <w:r w:rsidR="00810E29" w:rsidRPr="00395073">
        <w:rPr>
          <w:rFonts w:cstheme="minorHAnsi"/>
          <w:spacing w:val="-3"/>
          <w:sz w:val="24"/>
          <w:szCs w:val="24"/>
          <w:lang w:val="en-GB"/>
        </w:rPr>
        <w:t>implementation of measures of interest rate reduction</w:t>
      </w:r>
      <w:r w:rsidR="00C16DA8" w:rsidRPr="00395073">
        <w:rPr>
          <w:rFonts w:cstheme="minorHAnsi"/>
          <w:spacing w:val="-3"/>
          <w:sz w:val="24"/>
          <w:szCs w:val="24"/>
          <w:lang w:val="en-GB"/>
        </w:rPr>
        <w:t xml:space="preserve">, </w:t>
      </w:r>
      <w:r w:rsidR="00810E29" w:rsidRPr="00395073">
        <w:rPr>
          <w:rFonts w:cstheme="minorHAnsi"/>
          <w:spacing w:val="-3"/>
          <w:sz w:val="24"/>
          <w:szCs w:val="24"/>
          <w:lang w:val="en-GB"/>
        </w:rPr>
        <w:t>reduction of interest income from interest rate subsidies</w:t>
      </w:r>
      <w:r w:rsidR="004521D8" w:rsidRPr="00395073">
        <w:rPr>
          <w:rFonts w:cstheme="minorHAnsi"/>
          <w:spacing w:val="-3"/>
          <w:sz w:val="24"/>
          <w:szCs w:val="24"/>
          <w:lang w:val="en-GB"/>
        </w:rPr>
        <w:t>,</w:t>
      </w:r>
      <w:r w:rsidR="00C16DA8" w:rsidRPr="00395073">
        <w:rPr>
          <w:rFonts w:cstheme="minorHAnsi"/>
          <w:spacing w:val="-3"/>
          <w:sz w:val="24"/>
          <w:szCs w:val="24"/>
          <w:lang w:val="en-GB"/>
        </w:rPr>
        <w:t xml:space="preserve"> </w:t>
      </w:r>
      <w:r w:rsidR="00810E29" w:rsidRPr="00395073">
        <w:rPr>
          <w:rFonts w:cstheme="minorHAnsi"/>
          <w:spacing w:val="-3"/>
          <w:sz w:val="24"/>
          <w:szCs w:val="24"/>
          <w:lang w:val="en-GB"/>
        </w:rPr>
        <w:t>significant amount</w:t>
      </w:r>
      <w:r w:rsidR="008E3C21" w:rsidRPr="00395073">
        <w:rPr>
          <w:rFonts w:cstheme="minorHAnsi"/>
          <w:spacing w:val="-3"/>
          <w:sz w:val="24"/>
          <w:szCs w:val="24"/>
          <w:lang w:val="en-GB"/>
        </w:rPr>
        <w:t>s</w:t>
      </w:r>
      <w:r w:rsidR="00810E29" w:rsidRPr="00395073">
        <w:rPr>
          <w:rFonts w:cstheme="minorHAnsi"/>
          <w:spacing w:val="-3"/>
          <w:sz w:val="24"/>
          <w:szCs w:val="24"/>
          <w:lang w:val="en-GB"/>
        </w:rPr>
        <w:t xml:space="preserve"> of premature loan repayments </w:t>
      </w:r>
      <w:r w:rsidR="008E3C21" w:rsidRPr="00395073">
        <w:rPr>
          <w:rFonts w:cstheme="minorHAnsi"/>
          <w:spacing w:val="-3"/>
          <w:sz w:val="24"/>
          <w:szCs w:val="24"/>
          <w:lang w:val="en-GB"/>
        </w:rPr>
        <w:t>in</w:t>
      </w:r>
      <w:r w:rsidR="00C16DA8" w:rsidRPr="00395073">
        <w:rPr>
          <w:rFonts w:cstheme="minorHAnsi"/>
          <w:spacing w:val="-3"/>
          <w:sz w:val="24"/>
          <w:szCs w:val="24"/>
          <w:lang w:val="en-GB"/>
        </w:rPr>
        <w:t xml:space="preserve"> 2017</w:t>
      </w:r>
      <w:r w:rsidR="008E3C21" w:rsidRPr="00395073">
        <w:rPr>
          <w:rFonts w:cstheme="minorHAnsi"/>
          <w:spacing w:val="-3"/>
          <w:sz w:val="24"/>
          <w:szCs w:val="24"/>
          <w:lang w:val="en-GB"/>
        </w:rPr>
        <w:t xml:space="preserve"> continued also in 2018</w:t>
      </w:r>
      <w:r w:rsidR="004521D8" w:rsidRPr="00395073">
        <w:rPr>
          <w:rFonts w:cstheme="minorHAnsi"/>
          <w:spacing w:val="-3"/>
          <w:sz w:val="24"/>
          <w:szCs w:val="24"/>
          <w:lang w:val="en-GB"/>
        </w:rPr>
        <w:t xml:space="preserve">, </w:t>
      </w:r>
      <w:r w:rsidR="008E3C21" w:rsidRPr="00395073">
        <w:rPr>
          <w:rFonts w:cstheme="minorHAnsi"/>
          <w:spacing w:val="-3"/>
          <w:sz w:val="24"/>
          <w:szCs w:val="24"/>
          <w:lang w:val="en-GB"/>
        </w:rPr>
        <w:t>implemented restructurings and the manner of recording of</w:t>
      </w:r>
      <w:r w:rsidR="004521D8" w:rsidRPr="00395073">
        <w:rPr>
          <w:rFonts w:cstheme="minorHAnsi"/>
          <w:spacing w:val="-3"/>
          <w:sz w:val="24"/>
          <w:szCs w:val="24"/>
          <w:lang w:val="en-GB"/>
        </w:rPr>
        <w:t xml:space="preserve"> </w:t>
      </w:r>
      <w:r w:rsidR="008E3C21" w:rsidRPr="00395073">
        <w:rPr>
          <w:rFonts w:cstheme="minorHAnsi"/>
          <w:spacing w:val="-3"/>
          <w:sz w:val="24"/>
          <w:szCs w:val="24"/>
          <w:lang w:val="en-GB"/>
        </w:rPr>
        <w:t xml:space="preserve">interest income </w:t>
      </w:r>
      <w:r w:rsidR="007D2512" w:rsidRPr="00395073">
        <w:rPr>
          <w:rFonts w:cstheme="minorHAnsi"/>
          <w:spacing w:val="-3"/>
          <w:sz w:val="24"/>
          <w:szCs w:val="24"/>
          <w:lang w:val="en-GB"/>
        </w:rPr>
        <w:t>from</w:t>
      </w:r>
      <w:r w:rsidR="008E3C21" w:rsidRPr="00395073">
        <w:rPr>
          <w:rFonts w:cstheme="minorHAnsi"/>
          <w:spacing w:val="-3"/>
          <w:sz w:val="24"/>
          <w:szCs w:val="24"/>
          <w:lang w:val="en-GB"/>
        </w:rPr>
        <w:t xml:space="preserve"> exposures classified to stage</w:t>
      </w:r>
      <w:r w:rsidR="00E6735F" w:rsidRPr="00395073">
        <w:rPr>
          <w:rFonts w:cstheme="minorHAnsi"/>
          <w:spacing w:val="-3"/>
          <w:sz w:val="24"/>
          <w:szCs w:val="24"/>
          <w:lang w:val="en-GB"/>
        </w:rPr>
        <w:t xml:space="preserve"> 3</w:t>
      </w:r>
      <w:r w:rsidR="008E3C21" w:rsidRPr="00395073">
        <w:rPr>
          <w:rFonts w:cstheme="minorHAnsi"/>
          <w:spacing w:val="-3"/>
          <w:sz w:val="24"/>
          <w:szCs w:val="24"/>
          <w:lang w:val="en-GB"/>
        </w:rPr>
        <w:t xml:space="preserve"> and POCI assets</w:t>
      </w:r>
      <w:r w:rsidR="00E6735F" w:rsidRPr="00395073">
        <w:rPr>
          <w:rFonts w:cstheme="minorHAnsi"/>
          <w:spacing w:val="-3"/>
          <w:sz w:val="24"/>
          <w:szCs w:val="24"/>
          <w:lang w:val="en-GB"/>
        </w:rPr>
        <w:t xml:space="preserve"> (</w:t>
      </w:r>
      <w:r w:rsidR="004521D8" w:rsidRPr="00395073">
        <w:rPr>
          <w:rFonts w:cstheme="minorHAnsi"/>
          <w:spacing w:val="-3"/>
          <w:sz w:val="24"/>
          <w:szCs w:val="24"/>
          <w:lang w:val="en-GB"/>
        </w:rPr>
        <w:t>unwi</w:t>
      </w:r>
      <w:r w:rsidR="00E6735F" w:rsidRPr="00395073">
        <w:rPr>
          <w:rFonts w:cstheme="minorHAnsi"/>
          <w:spacing w:val="-3"/>
          <w:sz w:val="24"/>
          <w:szCs w:val="24"/>
          <w:lang w:val="en-GB"/>
        </w:rPr>
        <w:t>nding).</w:t>
      </w:r>
    </w:p>
    <w:p w14:paraId="2CE8C526" w14:textId="77777777" w:rsidR="00C16DA8" w:rsidRPr="00395073" w:rsidRDefault="00C16DA8" w:rsidP="00C23C95">
      <w:pPr>
        <w:tabs>
          <w:tab w:val="left" w:pos="-720"/>
        </w:tabs>
        <w:suppressAutoHyphens/>
        <w:spacing w:after="0" w:line="240" w:lineRule="auto"/>
        <w:jc w:val="both"/>
        <w:rPr>
          <w:rFonts w:cstheme="minorHAnsi"/>
          <w:spacing w:val="-3"/>
          <w:sz w:val="24"/>
          <w:szCs w:val="24"/>
          <w:lang w:val="en-GB"/>
        </w:rPr>
      </w:pPr>
    </w:p>
    <w:p w14:paraId="78E01333" w14:textId="77777777" w:rsidR="00C16DA8" w:rsidRPr="00395073" w:rsidRDefault="008E3C21" w:rsidP="00C23C95">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The application of IFRS 9 affects the comparability of interest income in the current reporting period and in the same period last year</w:t>
      </w:r>
      <w:r w:rsidR="00EA54EE" w:rsidRPr="00395073">
        <w:rPr>
          <w:rFonts w:cstheme="minorHAnsi"/>
          <w:spacing w:val="-3"/>
          <w:sz w:val="24"/>
          <w:szCs w:val="24"/>
          <w:lang w:val="en-GB"/>
        </w:rPr>
        <w:t xml:space="preserve">, </w:t>
      </w:r>
      <w:r w:rsidRPr="00395073">
        <w:rPr>
          <w:rFonts w:cstheme="minorHAnsi"/>
          <w:spacing w:val="-3"/>
          <w:sz w:val="24"/>
          <w:szCs w:val="24"/>
          <w:lang w:val="en-GB"/>
        </w:rPr>
        <w:t>as follows</w:t>
      </w:r>
      <w:r w:rsidR="00C16DA8" w:rsidRPr="00395073">
        <w:rPr>
          <w:rFonts w:cstheme="minorHAnsi"/>
          <w:spacing w:val="-3"/>
          <w:sz w:val="24"/>
          <w:szCs w:val="24"/>
          <w:lang w:val="en-GB"/>
        </w:rPr>
        <w:t>:</w:t>
      </w:r>
    </w:p>
    <w:p w14:paraId="474D87E8" w14:textId="77777777" w:rsidR="00EF2AF8" w:rsidRPr="00395073" w:rsidRDefault="000527E5" w:rsidP="00EA0FF5">
      <w:pPr>
        <w:pStyle w:val="ListParagraph"/>
        <w:numPr>
          <w:ilvl w:val="0"/>
          <w:numId w:val="13"/>
        </w:numPr>
        <w:tabs>
          <w:tab w:val="left" w:pos="-720"/>
        </w:tabs>
        <w:suppressAutoHyphens/>
        <w:jc w:val="both"/>
        <w:rPr>
          <w:rFonts w:cstheme="minorHAnsi"/>
          <w:spacing w:val="-3"/>
          <w:lang w:val="en-GB"/>
        </w:rPr>
      </w:pPr>
      <w:r w:rsidRPr="00395073">
        <w:rPr>
          <w:rFonts w:asciiTheme="minorHAnsi" w:hAnsiTheme="minorHAnsi" w:cstheme="minorHAnsi"/>
          <w:spacing w:val="-3"/>
          <w:lang w:val="en-GB"/>
        </w:rPr>
        <w:t xml:space="preserve">as </w:t>
      </w:r>
      <w:r w:rsidR="008E3C21" w:rsidRPr="00395073">
        <w:rPr>
          <w:rFonts w:asciiTheme="minorHAnsi" w:hAnsiTheme="minorHAnsi" w:cstheme="minorHAnsi"/>
          <w:spacing w:val="-3"/>
          <w:lang w:val="en-GB"/>
        </w:rPr>
        <w:t xml:space="preserve">of </w:t>
      </w:r>
      <w:r w:rsidR="00EA54EE" w:rsidRPr="00395073">
        <w:rPr>
          <w:rFonts w:asciiTheme="minorHAnsi" w:hAnsiTheme="minorHAnsi" w:cstheme="minorHAnsi"/>
          <w:spacing w:val="-3"/>
          <w:lang w:val="en-GB"/>
        </w:rPr>
        <w:t>1</w:t>
      </w:r>
      <w:r w:rsidR="008E3C21" w:rsidRPr="00395073">
        <w:rPr>
          <w:rFonts w:asciiTheme="minorHAnsi" w:hAnsiTheme="minorHAnsi" w:cstheme="minorHAnsi"/>
          <w:spacing w:val="-3"/>
          <w:lang w:val="en-GB"/>
        </w:rPr>
        <w:t xml:space="preserve"> January</w:t>
      </w:r>
      <w:r w:rsidR="00EA54EE" w:rsidRPr="00395073">
        <w:rPr>
          <w:rFonts w:asciiTheme="minorHAnsi" w:hAnsiTheme="minorHAnsi" w:cstheme="minorHAnsi"/>
          <w:spacing w:val="-3"/>
          <w:lang w:val="en-GB"/>
        </w:rPr>
        <w:t xml:space="preserve"> 2018</w:t>
      </w:r>
      <w:r w:rsidR="008E3C21" w:rsidRPr="00395073">
        <w:rPr>
          <w:rFonts w:asciiTheme="minorHAnsi" w:hAnsiTheme="minorHAnsi" w:cstheme="minorHAnsi"/>
          <w:spacing w:val="-3"/>
          <w:lang w:val="en-GB"/>
        </w:rPr>
        <w:t>, interest from the previous periods (except for default interest for clients of risk level 3) directly excluded from off-balance sheet records are transferred to the statement on financial position</w:t>
      </w:r>
      <w:r w:rsidR="00B41F46" w:rsidRPr="00395073">
        <w:rPr>
          <w:rFonts w:asciiTheme="minorHAnsi" w:hAnsiTheme="minorHAnsi" w:cstheme="minorHAnsi"/>
          <w:spacing w:val="-3"/>
          <w:lang w:val="en-GB"/>
        </w:rPr>
        <w:t xml:space="preserve">. </w:t>
      </w:r>
      <w:r w:rsidR="008E3C21" w:rsidRPr="00395073">
        <w:rPr>
          <w:rFonts w:asciiTheme="minorHAnsi" w:hAnsiTheme="minorHAnsi" w:cstheme="minorHAnsi"/>
          <w:spacing w:val="-3"/>
          <w:lang w:val="en-GB"/>
        </w:rPr>
        <w:t>Due to the mentioned, income from the collection of directly excluded interest income from previous years cannot be compared</w:t>
      </w:r>
      <w:r w:rsidR="00EA54EE" w:rsidRPr="00395073">
        <w:rPr>
          <w:rFonts w:asciiTheme="minorHAnsi" w:hAnsiTheme="minorHAnsi" w:cstheme="minorHAnsi"/>
          <w:spacing w:val="-3"/>
          <w:lang w:val="en-GB"/>
        </w:rPr>
        <w:t xml:space="preserve">, </w:t>
      </w:r>
      <w:r w:rsidR="00CA558D" w:rsidRPr="00395073">
        <w:rPr>
          <w:rFonts w:asciiTheme="minorHAnsi" w:hAnsiTheme="minorHAnsi" w:cstheme="minorHAnsi"/>
          <w:spacing w:val="-3"/>
          <w:lang w:val="en-GB"/>
        </w:rPr>
        <w:t xml:space="preserve">because in the current year, no separate records of this income are </w:t>
      </w:r>
      <w:proofErr w:type="gramStart"/>
      <w:r w:rsidR="00CA558D" w:rsidRPr="00395073">
        <w:rPr>
          <w:rFonts w:asciiTheme="minorHAnsi" w:hAnsiTheme="minorHAnsi" w:cstheme="minorHAnsi"/>
          <w:spacing w:val="-3"/>
          <w:lang w:val="en-GB"/>
        </w:rPr>
        <w:t>kept</w:t>
      </w:r>
      <w:r w:rsidR="00551AFB" w:rsidRPr="00395073">
        <w:rPr>
          <w:rFonts w:asciiTheme="minorHAnsi" w:hAnsiTheme="minorHAnsi" w:cstheme="minorHAnsi"/>
          <w:spacing w:val="-3"/>
          <w:lang w:val="en-GB"/>
        </w:rPr>
        <w:t>;</w:t>
      </w:r>
      <w:proofErr w:type="gramEnd"/>
      <w:r w:rsidR="00C16DA8" w:rsidRPr="00395073">
        <w:rPr>
          <w:rFonts w:asciiTheme="minorHAnsi" w:hAnsiTheme="minorHAnsi" w:cstheme="minorHAnsi"/>
          <w:spacing w:val="-3"/>
          <w:lang w:val="en-GB"/>
        </w:rPr>
        <w:t xml:space="preserve"> </w:t>
      </w:r>
    </w:p>
    <w:p w14:paraId="0463BD34" w14:textId="77777777" w:rsidR="00EF2AF8" w:rsidRPr="00395073" w:rsidRDefault="000527E5" w:rsidP="00EA0FF5">
      <w:pPr>
        <w:pStyle w:val="ListParagraph"/>
        <w:numPr>
          <w:ilvl w:val="0"/>
          <w:numId w:val="13"/>
        </w:numPr>
        <w:tabs>
          <w:tab w:val="left" w:pos="-720"/>
        </w:tabs>
        <w:suppressAutoHyphens/>
        <w:jc w:val="both"/>
        <w:rPr>
          <w:rFonts w:cstheme="minorHAnsi"/>
          <w:spacing w:val="-3"/>
          <w:lang w:val="en-GB"/>
        </w:rPr>
      </w:pPr>
      <w:r w:rsidRPr="00395073">
        <w:rPr>
          <w:rFonts w:asciiTheme="minorHAnsi" w:hAnsiTheme="minorHAnsi" w:cstheme="minorHAnsi"/>
          <w:spacing w:val="-3"/>
          <w:lang w:val="en-GB"/>
        </w:rPr>
        <w:t xml:space="preserve">for </w:t>
      </w:r>
      <w:r w:rsidR="00CA558D" w:rsidRPr="00395073">
        <w:rPr>
          <w:rFonts w:asciiTheme="minorHAnsi" w:hAnsiTheme="minorHAnsi" w:cstheme="minorHAnsi"/>
          <w:spacing w:val="-3"/>
          <w:lang w:val="en-GB"/>
        </w:rPr>
        <w:t>the purpose of calculation of interest income for exposures allocated to stage 3 or for assets classified as purchased or originated credit-impaired financial</w:t>
      </w:r>
      <w:r w:rsidR="00EF2AF8" w:rsidRPr="00395073">
        <w:rPr>
          <w:rFonts w:asciiTheme="minorHAnsi" w:hAnsiTheme="minorHAnsi" w:cstheme="minorHAnsi"/>
          <w:spacing w:val="-3"/>
          <w:lang w:val="en-GB"/>
        </w:rPr>
        <w:t xml:space="preserve"> </w:t>
      </w:r>
      <w:r w:rsidR="00CA558D" w:rsidRPr="00395073">
        <w:rPr>
          <w:rFonts w:asciiTheme="minorHAnsi" w:hAnsiTheme="minorHAnsi" w:cstheme="minorHAnsi"/>
          <w:spacing w:val="-3"/>
          <w:lang w:val="en-GB"/>
        </w:rPr>
        <w:t>assets</w:t>
      </w:r>
      <w:r w:rsidR="00EF2AF8" w:rsidRPr="00395073">
        <w:rPr>
          <w:rFonts w:asciiTheme="minorHAnsi" w:hAnsiTheme="minorHAnsi" w:cstheme="minorHAnsi"/>
          <w:spacing w:val="-3"/>
          <w:lang w:val="en-GB"/>
        </w:rPr>
        <w:t xml:space="preserve">, </w:t>
      </w:r>
      <w:r w:rsidR="00CA558D" w:rsidRPr="00395073">
        <w:rPr>
          <w:rFonts w:asciiTheme="minorHAnsi" w:hAnsiTheme="minorHAnsi" w:cstheme="minorHAnsi"/>
          <w:spacing w:val="-3"/>
          <w:lang w:val="en-GB"/>
        </w:rPr>
        <w:t>the concept of time value of money is used</w:t>
      </w:r>
      <w:r w:rsidR="00EF2AF8" w:rsidRPr="00395073">
        <w:rPr>
          <w:rFonts w:asciiTheme="minorHAnsi" w:hAnsiTheme="minorHAnsi" w:cstheme="minorHAnsi"/>
          <w:spacing w:val="-3"/>
          <w:lang w:val="en-GB"/>
        </w:rPr>
        <w:t xml:space="preserve"> (unwinding).</w:t>
      </w:r>
      <w:r w:rsidR="00B41F46" w:rsidRPr="00395073">
        <w:rPr>
          <w:rFonts w:asciiTheme="minorHAnsi" w:hAnsiTheme="minorHAnsi" w:cstheme="minorHAnsi"/>
          <w:spacing w:val="-3"/>
          <w:lang w:val="en-GB"/>
        </w:rPr>
        <w:t xml:space="preserve"> </w:t>
      </w:r>
      <w:r w:rsidR="00EF2AF8" w:rsidRPr="00395073">
        <w:rPr>
          <w:rFonts w:asciiTheme="minorHAnsi" w:hAnsiTheme="minorHAnsi" w:cstheme="minorHAnsi"/>
          <w:spacing w:val="-3"/>
          <w:lang w:val="en-GB"/>
        </w:rPr>
        <w:t xml:space="preserve">Unwinding, </w:t>
      </w:r>
      <w:proofErr w:type="gramStart"/>
      <w:r w:rsidR="00B06FF9" w:rsidRPr="00395073">
        <w:rPr>
          <w:rFonts w:asciiTheme="minorHAnsi" w:hAnsiTheme="minorHAnsi" w:cstheme="minorHAnsi"/>
          <w:spacing w:val="-3"/>
          <w:lang w:val="en-GB"/>
        </w:rPr>
        <w:t>i.e.</w:t>
      </w:r>
      <w:proofErr w:type="gramEnd"/>
      <w:r w:rsidR="00CA558D" w:rsidRPr="00395073">
        <w:rPr>
          <w:rFonts w:asciiTheme="minorHAnsi" w:hAnsiTheme="minorHAnsi" w:cstheme="minorHAnsi"/>
          <w:spacing w:val="-3"/>
          <w:lang w:val="en-GB"/>
        </w:rPr>
        <w:t xml:space="preserve"> interest income </w:t>
      </w:r>
      <w:r w:rsidR="00B06FF9" w:rsidRPr="00395073">
        <w:rPr>
          <w:rFonts w:asciiTheme="minorHAnsi" w:hAnsiTheme="minorHAnsi" w:cstheme="minorHAnsi"/>
          <w:spacing w:val="-3"/>
          <w:lang w:val="en-GB"/>
        </w:rPr>
        <w:t xml:space="preserve">for the mentioned exposures </w:t>
      </w:r>
      <w:r w:rsidR="00CA558D" w:rsidRPr="00395073">
        <w:rPr>
          <w:rFonts w:asciiTheme="minorHAnsi" w:hAnsiTheme="minorHAnsi" w:cstheme="minorHAnsi"/>
          <w:spacing w:val="-3"/>
          <w:lang w:val="en-GB"/>
        </w:rPr>
        <w:t>is calculated after the date of transfer of exposure to stage</w:t>
      </w:r>
      <w:r w:rsidR="00EF2AF8" w:rsidRPr="00395073">
        <w:rPr>
          <w:rFonts w:asciiTheme="minorHAnsi" w:hAnsiTheme="minorHAnsi" w:cstheme="minorHAnsi"/>
          <w:spacing w:val="-3"/>
          <w:lang w:val="en-GB"/>
        </w:rPr>
        <w:t xml:space="preserve"> 3</w:t>
      </w:r>
      <w:r w:rsidR="00CA558D" w:rsidRPr="00395073">
        <w:rPr>
          <w:rFonts w:asciiTheme="minorHAnsi" w:hAnsiTheme="minorHAnsi" w:cstheme="minorHAnsi"/>
          <w:spacing w:val="-3"/>
          <w:lang w:val="en-GB"/>
        </w:rPr>
        <w:t xml:space="preserve"> or after the date of classification of assets as</w:t>
      </w:r>
      <w:r w:rsidR="00EF2AF8" w:rsidRPr="00395073">
        <w:rPr>
          <w:rFonts w:asciiTheme="minorHAnsi" w:hAnsiTheme="minorHAnsi" w:cstheme="minorHAnsi"/>
          <w:spacing w:val="-3"/>
          <w:lang w:val="en-GB"/>
        </w:rPr>
        <w:t xml:space="preserve"> POCI </w:t>
      </w:r>
      <w:r w:rsidR="00CA558D" w:rsidRPr="00395073">
        <w:rPr>
          <w:rFonts w:asciiTheme="minorHAnsi" w:hAnsiTheme="minorHAnsi" w:cstheme="minorHAnsi"/>
          <w:spacing w:val="-3"/>
          <w:lang w:val="en-GB"/>
        </w:rPr>
        <w:t>and is recorded as provisions for the financial instrument</w:t>
      </w:r>
      <w:r w:rsidR="00EC57E5" w:rsidRPr="00395073">
        <w:rPr>
          <w:rFonts w:asciiTheme="minorHAnsi" w:hAnsiTheme="minorHAnsi" w:cstheme="minorHAnsi"/>
          <w:spacing w:val="-3"/>
          <w:lang w:val="en-GB"/>
        </w:rPr>
        <w:t xml:space="preserve"> </w:t>
      </w:r>
      <w:r w:rsidR="00E14FFE" w:rsidRPr="00395073">
        <w:rPr>
          <w:rFonts w:asciiTheme="minorHAnsi" w:hAnsiTheme="minorHAnsi" w:cstheme="minorHAnsi"/>
          <w:spacing w:val="-3"/>
          <w:lang w:val="en-GB"/>
        </w:rPr>
        <w:t>with simultaneous decrease of interest income</w:t>
      </w:r>
      <w:r w:rsidR="00EC57E5" w:rsidRPr="00395073">
        <w:rPr>
          <w:rFonts w:asciiTheme="minorHAnsi" w:hAnsiTheme="minorHAnsi" w:cstheme="minorHAnsi"/>
          <w:spacing w:val="-3"/>
          <w:lang w:val="en-GB"/>
        </w:rPr>
        <w:t xml:space="preserve">. </w:t>
      </w:r>
      <w:r w:rsidR="00E14FFE" w:rsidRPr="00395073">
        <w:rPr>
          <w:rFonts w:asciiTheme="minorHAnsi" w:hAnsiTheme="minorHAnsi" w:cstheme="minorHAnsi"/>
          <w:spacing w:val="-3"/>
          <w:lang w:val="en-GB"/>
        </w:rPr>
        <w:t>On this basis, from</w:t>
      </w:r>
      <w:r w:rsidR="00EC57E5" w:rsidRPr="00395073">
        <w:rPr>
          <w:rFonts w:asciiTheme="minorHAnsi" w:hAnsiTheme="minorHAnsi" w:cstheme="minorHAnsi"/>
          <w:spacing w:val="-3"/>
          <w:lang w:val="en-GB"/>
        </w:rPr>
        <w:t xml:space="preserve"> 1</w:t>
      </w:r>
      <w:r w:rsidR="00E14FFE" w:rsidRPr="00395073">
        <w:rPr>
          <w:rFonts w:asciiTheme="minorHAnsi" w:hAnsiTheme="minorHAnsi" w:cstheme="minorHAnsi"/>
          <w:spacing w:val="-3"/>
          <w:lang w:val="en-GB"/>
        </w:rPr>
        <w:t xml:space="preserve"> January to</w:t>
      </w:r>
      <w:r w:rsidR="00EC57E5" w:rsidRPr="00395073">
        <w:rPr>
          <w:rFonts w:asciiTheme="minorHAnsi" w:hAnsiTheme="minorHAnsi" w:cstheme="minorHAnsi"/>
          <w:spacing w:val="-3"/>
          <w:lang w:val="en-GB"/>
        </w:rPr>
        <w:t xml:space="preserve"> 30</w:t>
      </w:r>
      <w:r w:rsidR="00E14FFE" w:rsidRPr="00395073">
        <w:rPr>
          <w:rFonts w:asciiTheme="minorHAnsi" w:hAnsiTheme="minorHAnsi" w:cstheme="minorHAnsi"/>
          <w:spacing w:val="-3"/>
          <w:lang w:val="en-GB"/>
        </w:rPr>
        <w:t xml:space="preserve"> </w:t>
      </w:r>
      <w:r w:rsidR="00E26555" w:rsidRPr="00395073">
        <w:rPr>
          <w:rFonts w:asciiTheme="minorHAnsi" w:hAnsiTheme="minorHAnsi" w:cstheme="minorHAnsi"/>
          <w:spacing w:val="-3"/>
          <w:lang w:val="en-GB"/>
        </w:rPr>
        <w:t>September</w:t>
      </w:r>
      <w:r w:rsidR="00E14FFE" w:rsidRPr="00395073">
        <w:rPr>
          <w:rFonts w:asciiTheme="minorHAnsi" w:hAnsiTheme="minorHAnsi" w:cstheme="minorHAnsi"/>
          <w:spacing w:val="-3"/>
          <w:lang w:val="en-GB"/>
        </w:rPr>
        <w:t xml:space="preserve"> </w:t>
      </w:r>
      <w:r w:rsidR="00EC57E5" w:rsidRPr="00395073">
        <w:rPr>
          <w:rFonts w:asciiTheme="minorHAnsi" w:hAnsiTheme="minorHAnsi" w:cstheme="minorHAnsi"/>
          <w:spacing w:val="-3"/>
          <w:lang w:val="en-GB"/>
        </w:rPr>
        <w:t>2018</w:t>
      </w:r>
      <w:r w:rsidR="00E14FFE" w:rsidRPr="00395073">
        <w:rPr>
          <w:rFonts w:asciiTheme="minorHAnsi" w:hAnsiTheme="minorHAnsi" w:cstheme="minorHAnsi"/>
          <w:spacing w:val="-3"/>
          <w:lang w:val="en-GB"/>
        </w:rPr>
        <w:t>, interest income was reduced by HRK</w:t>
      </w:r>
      <w:r w:rsidR="00EC57E5" w:rsidRPr="00395073">
        <w:rPr>
          <w:rFonts w:asciiTheme="minorHAnsi" w:hAnsiTheme="minorHAnsi" w:cstheme="minorHAnsi"/>
          <w:spacing w:val="-3"/>
          <w:lang w:val="en-GB"/>
        </w:rPr>
        <w:t xml:space="preserve"> </w:t>
      </w:r>
      <w:r w:rsidR="00DC6EDD" w:rsidRPr="00395073">
        <w:rPr>
          <w:rFonts w:asciiTheme="minorHAnsi" w:hAnsiTheme="minorHAnsi" w:cstheme="minorHAnsi"/>
          <w:spacing w:val="-3"/>
          <w:lang w:val="en-GB"/>
        </w:rPr>
        <w:t>44</w:t>
      </w:r>
      <w:r w:rsidR="00341EAD" w:rsidRPr="00395073">
        <w:rPr>
          <w:rFonts w:asciiTheme="minorHAnsi" w:hAnsiTheme="minorHAnsi" w:cstheme="minorHAnsi"/>
          <w:spacing w:val="-3"/>
          <w:lang w:val="en-GB"/>
        </w:rPr>
        <w:t>.</w:t>
      </w:r>
      <w:r w:rsidR="00DC6EDD" w:rsidRPr="00395073">
        <w:rPr>
          <w:rFonts w:asciiTheme="minorHAnsi" w:hAnsiTheme="minorHAnsi" w:cstheme="minorHAnsi"/>
          <w:spacing w:val="-3"/>
          <w:lang w:val="en-GB"/>
        </w:rPr>
        <w:t>83</w:t>
      </w:r>
      <w:r w:rsidR="00EC57E5" w:rsidRPr="00395073">
        <w:rPr>
          <w:rFonts w:asciiTheme="minorHAnsi" w:hAnsiTheme="minorHAnsi" w:cstheme="minorHAnsi"/>
          <w:spacing w:val="-3"/>
          <w:lang w:val="en-GB"/>
        </w:rPr>
        <w:t xml:space="preserve"> mil</w:t>
      </w:r>
      <w:r w:rsidR="00E14FFE" w:rsidRPr="00395073">
        <w:rPr>
          <w:rFonts w:asciiTheme="minorHAnsi" w:hAnsiTheme="minorHAnsi" w:cstheme="minorHAnsi"/>
          <w:spacing w:val="-3"/>
          <w:lang w:val="en-GB"/>
        </w:rPr>
        <w:t>lion</w:t>
      </w:r>
      <w:r w:rsidR="00EC57E5" w:rsidRPr="00395073">
        <w:rPr>
          <w:rFonts w:asciiTheme="minorHAnsi" w:hAnsiTheme="minorHAnsi" w:cstheme="minorHAnsi"/>
          <w:spacing w:val="-3"/>
          <w:lang w:val="en-GB"/>
        </w:rPr>
        <w:t>.</w:t>
      </w:r>
    </w:p>
    <w:p w14:paraId="015E3947" w14:textId="77777777" w:rsidR="00EC57E5" w:rsidRPr="00395073" w:rsidRDefault="00EC57E5" w:rsidP="00F937F0">
      <w:pPr>
        <w:spacing w:after="0" w:line="240" w:lineRule="auto"/>
        <w:jc w:val="both"/>
        <w:rPr>
          <w:rFonts w:cstheme="minorHAnsi"/>
          <w:spacing w:val="-3"/>
          <w:sz w:val="24"/>
          <w:szCs w:val="24"/>
          <w:lang w:val="en-GB"/>
        </w:rPr>
      </w:pPr>
    </w:p>
    <w:p w14:paraId="16C813EA" w14:textId="70D76BBA" w:rsidR="00F937F0" w:rsidRPr="00395073" w:rsidRDefault="00526C44" w:rsidP="00F937F0">
      <w:pPr>
        <w:spacing w:after="0" w:line="240" w:lineRule="auto"/>
        <w:jc w:val="both"/>
        <w:rPr>
          <w:rFonts w:eastAsia="Times New Roman" w:cstheme="minorHAnsi"/>
          <w:sz w:val="24"/>
          <w:szCs w:val="24"/>
          <w:lang w:val="en-GB" w:eastAsia="hr-HR"/>
        </w:rPr>
      </w:pPr>
      <w:r w:rsidRPr="00395073">
        <w:rPr>
          <w:rFonts w:cstheme="minorHAnsi"/>
          <w:spacing w:val="-3"/>
          <w:sz w:val="24"/>
          <w:szCs w:val="24"/>
          <w:lang w:val="en-GB"/>
        </w:rPr>
        <w:t xml:space="preserve">Interest expenses amounted to HRK </w:t>
      </w:r>
      <w:r w:rsidR="00DC6EDD" w:rsidRPr="00395073">
        <w:rPr>
          <w:rFonts w:cstheme="minorHAnsi"/>
          <w:spacing w:val="-3"/>
          <w:sz w:val="24"/>
          <w:szCs w:val="24"/>
          <w:lang w:val="en-GB"/>
        </w:rPr>
        <w:t>254</w:t>
      </w:r>
      <w:r w:rsidRPr="00395073">
        <w:rPr>
          <w:rFonts w:cstheme="minorHAnsi"/>
          <w:spacing w:val="-3"/>
          <w:sz w:val="24"/>
          <w:szCs w:val="24"/>
          <w:lang w:val="en-GB"/>
        </w:rPr>
        <w:t>.</w:t>
      </w:r>
      <w:r w:rsidR="00DC6EDD" w:rsidRPr="00395073">
        <w:rPr>
          <w:rFonts w:cstheme="minorHAnsi"/>
          <w:spacing w:val="-3"/>
          <w:sz w:val="24"/>
          <w:szCs w:val="24"/>
          <w:lang w:val="en-GB"/>
        </w:rPr>
        <w:t>99</w:t>
      </w:r>
      <w:r w:rsidR="00BF17D9" w:rsidRPr="00395073">
        <w:rPr>
          <w:rFonts w:cstheme="minorHAnsi"/>
          <w:spacing w:val="-3"/>
          <w:sz w:val="24"/>
          <w:szCs w:val="24"/>
          <w:lang w:val="en-GB"/>
        </w:rPr>
        <w:t xml:space="preserve"> mil</w:t>
      </w:r>
      <w:r w:rsidRPr="00395073">
        <w:rPr>
          <w:rFonts w:cstheme="minorHAnsi"/>
          <w:spacing w:val="-3"/>
          <w:sz w:val="24"/>
          <w:szCs w:val="24"/>
          <w:lang w:val="en-GB"/>
        </w:rPr>
        <w:t>lion, a decrease of</w:t>
      </w:r>
      <w:r w:rsidR="00F937F0" w:rsidRPr="00395073">
        <w:rPr>
          <w:rFonts w:cstheme="minorHAnsi"/>
          <w:spacing w:val="-3"/>
          <w:sz w:val="24"/>
          <w:szCs w:val="24"/>
          <w:lang w:val="en-GB"/>
        </w:rPr>
        <w:t xml:space="preserve"> </w:t>
      </w:r>
      <w:r w:rsidR="00DC6EDD" w:rsidRPr="00395073">
        <w:rPr>
          <w:rFonts w:cstheme="minorHAnsi"/>
          <w:spacing w:val="-3"/>
          <w:sz w:val="24"/>
          <w:szCs w:val="24"/>
          <w:lang w:val="en-GB"/>
        </w:rPr>
        <w:t>15</w:t>
      </w:r>
      <w:r w:rsidRPr="00395073">
        <w:rPr>
          <w:rFonts w:cstheme="minorHAnsi"/>
          <w:spacing w:val="-3"/>
          <w:sz w:val="24"/>
          <w:szCs w:val="24"/>
          <w:lang w:val="en-GB"/>
        </w:rPr>
        <w:t>.</w:t>
      </w:r>
      <w:r w:rsidR="00DC6EDD" w:rsidRPr="00395073">
        <w:rPr>
          <w:rFonts w:cstheme="minorHAnsi"/>
          <w:spacing w:val="-3"/>
          <w:sz w:val="24"/>
          <w:szCs w:val="24"/>
          <w:lang w:val="en-GB"/>
        </w:rPr>
        <w:t>41</w:t>
      </w:r>
      <w:r w:rsidR="001312B5" w:rsidRPr="00395073">
        <w:rPr>
          <w:rFonts w:cstheme="minorHAnsi"/>
          <w:spacing w:val="-3"/>
          <w:sz w:val="24"/>
          <w:szCs w:val="24"/>
          <w:lang w:val="en-GB"/>
        </w:rPr>
        <w:t xml:space="preserve"> </w:t>
      </w:r>
      <w:r w:rsidRPr="00395073">
        <w:rPr>
          <w:rFonts w:cstheme="minorHAnsi"/>
          <w:spacing w:val="-3"/>
          <w:sz w:val="24"/>
          <w:szCs w:val="24"/>
          <w:lang w:val="en-GB"/>
        </w:rPr>
        <w:t xml:space="preserve">percent on the </w:t>
      </w:r>
      <w:r w:rsidR="00AD3E2B" w:rsidRPr="00395073">
        <w:rPr>
          <w:rFonts w:cstheme="minorHAnsi"/>
          <w:spacing w:val="-3"/>
          <w:sz w:val="24"/>
          <w:szCs w:val="24"/>
          <w:lang w:val="en-GB"/>
        </w:rPr>
        <w:t xml:space="preserve">same reporting period last year, which was mostly affected by the repayment </w:t>
      </w:r>
      <w:r w:rsidR="00CC53A9" w:rsidRPr="00395073">
        <w:rPr>
          <w:rFonts w:cstheme="minorHAnsi"/>
          <w:spacing w:val="-3"/>
          <w:sz w:val="24"/>
          <w:szCs w:val="24"/>
          <w:lang w:val="en-GB"/>
        </w:rPr>
        <w:t>of</w:t>
      </w:r>
      <w:r w:rsidR="00AD3E2B" w:rsidRPr="00395073">
        <w:rPr>
          <w:rFonts w:cstheme="minorHAnsi"/>
          <w:spacing w:val="-3"/>
          <w:sz w:val="24"/>
          <w:szCs w:val="24"/>
          <w:lang w:val="en-GB"/>
        </w:rPr>
        <w:t xml:space="preserve"> bonds issued</w:t>
      </w:r>
      <w:r w:rsidR="00DA2F32" w:rsidRPr="00395073">
        <w:rPr>
          <w:rFonts w:eastAsia="Times New Roman" w:cstheme="minorHAnsi"/>
          <w:sz w:val="24"/>
          <w:szCs w:val="24"/>
          <w:lang w:val="en-GB" w:eastAsia="hr-HR"/>
        </w:rPr>
        <w:t xml:space="preserve"> </w:t>
      </w:r>
      <w:r w:rsidR="00AD3E2B" w:rsidRPr="00395073">
        <w:rPr>
          <w:rFonts w:eastAsia="Times New Roman" w:cstheme="minorHAnsi"/>
          <w:sz w:val="24"/>
          <w:szCs w:val="24"/>
          <w:lang w:val="en-GB" w:eastAsia="hr-HR"/>
        </w:rPr>
        <w:t>that were contracted at high interest rate</w:t>
      </w:r>
      <w:r w:rsidR="00DA2F32" w:rsidRPr="00395073">
        <w:rPr>
          <w:rFonts w:eastAsia="Times New Roman" w:cstheme="minorHAnsi"/>
          <w:sz w:val="24"/>
          <w:szCs w:val="24"/>
          <w:lang w:val="en-GB" w:eastAsia="hr-HR"/>
        </w:rPr>
        <w:t xml:space="preserve"> </w:t>
      </w:r>
      <w:r w:rsidR="00AD3E2B" w:rsidRPr="00395073">
        <w:rPr>
          <w:rFonts w:eastAsia="Times New Roman" w:cstheme="minorHAnsi"/>
          <w:sz w:val="24"/>
          <w:szCs w:val="24"/>
          <w:lang w:val="en-GB" w:eastAsia="hr-HR"/>
        </w:rPr>
        <w:t>and the utilisation of credit lines of special financial institutions at favourable interest rate</w:t>
      </w:r>
      <w:r w:rsidR="00341EAD" w:rsidRPr="00395073">
        <w:rPr>
          <w:rFonts w:eastAsia="Times New Roman" w:cstheme="minorHAnsi"/>
          <w:sz w:val="24"/>
          <w:szCs w:val="24"/>
          <w:lang w:val="en-GB" w:eastAsia="hr-HR"/>
        </w:rPr>
        <w:t>s</w:t>
      </w:r>
      <w:r w:rsidR="00DA2F32" w:rsidRPr="00395073">
        <w:rPr>
          <w:rFonts w:eastAsia="Times New Roman" w:cstheme="minorHAnsi"/>
          <w:sz w:val="24"/>
          <w:szCs w:val="24"/>
          <w:lang w:val="en-GB" w:eastAsia="hr-HR"/>
        </w:rPr>
        <w:t>.</w:t>
      </w:r>
    </w:p>
    <w:p w14:paraId="14B0B78D" w14:textId="77777777" w:rsidR="00DA2F32" w:rsidRPr="00395073" w:rsidRDefault="00DA2F32" w:rsidP="00BF17D9">
      <w:pPr>
        <w:tabs>
          <w:tab w:val="left" w:pos="-720"/>
        </w:tabs>
        <w:suppressAutoHyphens/>
        <w:spacing w:after="0" w:line="240" w:lineRule="auto"/>
        <w:jc w:val="both"/>
        <w:rPr>
          <w:rFonts w:cstheme="minorHAnsi"/>
          <w:spacing w:val="-3"/>
          <w:sz w:val="24"/>
          <w:szCs w:val="24"/>
          <w:lang w:val="en-GB"/>
        </w:rPr>
      </w:pPr>
    </w:p>
    <w:p w14:paraId="5A7E5C66" w14:textId="77777777" w:rsidR="00BF17D9" w:rsidRPr="00395073" w:rsidRDefault="004D3A7C" w:rsidP="00BF17D9">
      <w:pPr>
        <w:tabs>
          <w:tab w:val="left" w:pos="-720"/>
        </w:tabs>
        <w:suppressAutoHyphens/>
        <w:spacing w:after="0" w:line="240" w:lineRule="auto"/>
        <w:jc w:val="both"/>
        <w:rPr>
          <w:rFonts w:cstheme="minorHAnsi"/>
          <w:spacing w:val="-3"/>
          <w:lang w:val="en-GB"/>
        </w:rPr>
        <w:sectPr w:rsidR="00BF17D9" w:rsidRPr="00395073" w:rsidSect="00F24D36">
          <w:footerReference w:type="default" r:id="rId29"/>
          <w:pgSz w:w="11906" w:h="16838"/>
          <w:pgMar w:top="1417" w:right="1417" w:bottom="1417" w:left="1276" w:header="708" w:footer="708" w:gutter="0"/>
          <w:cols w:space="708"/>
          <w:docGrid w:linePitch="360"/>
        </w:sectPr>
      </w:pPr>
      <w:r w:rsidRPr="00395073">
        <w:rPr>
          <w:rFonts w:cstheme="minorHAnsi"/>
          <w:spacing w:val="-3"/>
          <w:sz w:val="24"/>
          <w:szCs w:val="24"/>
          <w:lang w:val="en-GB"/>
        </w:rPr>
        <w:t>Having in mind the described trends</w:t>
      </w:r>
      <w:r w:rsidRPr="00395073">
        <w:rPr>
          <w:rFonts w:cs="Calibri"/>
          <w:spacing w:val="-3"/>
          <w:sz w:val="24"/>
          <w:szCs w:val="24"/>
          <w:lang w:val="en-GB"/>
        </w:rPr>
        <w:t xml:space="preserve"> in interest income and interest expenses</w:t>
      </w:r>
      <w:r w:rsidR="00DA2F32" w:rsidRPr="00395073">
        <w:rPr>
          <w:rFonts w:cs="Calibri"/>
          <w:spacing w:val="-3"/>
          <w:sz w:val="24"/>
          <w:szCs w:val="24"/>
          <w:lang w:val="en-GB"/>
        </w:rPr>
        <w:t>,</w:t>
      </w:r>
      <w:r w:rsidR="00DA2F32" w:rsidRPr="00395073" w:rsidDel="00DA2F32">
        <w:rPr>
          <w:rFonts w:cstheme="minorHAnsi"/>
          <w:spacing w:val="-3"/>
          <w:sz w:val="24"/>
          <w:szCs w:val="24"/>
          <w:lang w:val="en-GB"/>
        </w:rPr>
        <w:t xml:space="preserve"> </w:t>
      </w:r>
      <w:r w:rsidR="00F937F0" w:rsidRPr="00395073">
        <w:rPr>
          <w:rFonts w:cstheme="minorHAnsi"/>
          <w:spacing w:val="-3"/>
          <w:sz w:val="24"/>
          <w:szCs w:val="24"/>
          <w:lang w:val="en-GB"/>
        </w:rPr>
        <w:t>n</w:t>
      </w:r>
      <w:r w:rsidR="00BF17D9" w:rsidRPr="00395073">
        <w:rPr>
          <w:rFonts w:cstheme="minorHAnsi"/>
          <w:spacing w:val="-3"/>
          <w:sz w:val="24"/>
          <w:szCs w:val="24"/>
          <w:lang w:val="en-GB"/>
        </w:rPr>
        <w:t xml:space="preserve">et </w:t>
      </w:r>
      <w:r w:rsidR="003C3D84" w:rsidRPr="00395073">
        <w:rPr>
          <w:rFonts w:cstheme="minorHAnsi"/>
          <w:spacing w:val="-3"/>
          <w:sz w:val="24"/>
          <w:szCs w:val="24"/>
          <w:lang w:val="en-GB"/>
        </w:rPr>
        <w:t>interest margin decreased compared with the same reporting period last year and stood at 1.</w:t>
      </w:r>
      <w:r w:rsidR="00DC6EDD" w:rsidRPr="00395073">
        <w:rPr>
          <w:rFonts w:cstheme="minorHAnsi"/>
          <w:spacing w:val="-3"/>
          <w:sz w:val="24"/>
          <w:szCs w:val="24"/>
          <w:lang w:val="en-GB"/>
        </w:rPr>
        <w:t>49</w:t>
      </w:r>
      <w:r w:rsidR="001312B5" w:rsidRPr="00395073">
        <w:rPr>
          <w:rFonts w:cstheme="minorHAnsi"/>
          <w:spacing w:val="-3"/>
          <w:sz w:val="24"/>
          <w:szCs w:val="24"/>
          <w:lang w:val="en-GB"/>
        </w:rPr>
        <w:t xml:space="preserve"> </w:t>
      </w:r>
      <w:r w:rsidR="00F937F0" w:rsidRPr="00395073">
        <w:rPr>
          <w:rFonts w:cstheme="minorHAnsi"/>
          <w:spacing w:val="-3"/>
          <w:sz w:val="24"/>
          <w:szCs w:val="24"/>
          <w:lang w:val="en-GB"/>
        </w:rPr>
        <w:t>p</w:t>
      </w:r>
      <w:r w:rsidR="003C3D84" w:rsidRPr="00395073">
        <w:rPr>
          <w:rFonts w:cstheme="minorHAnsi"/>
          <w:spacing w:val="-3"/>
          <w:sz w:val="24"/>
          <w:szCs w:val="24"/>
          <w:lang w:val="en-GB"/>
        </w:rPr>
        <w:t>ercent as against</w:t>
      </w:r>
      <w:r w:rsidR="00F937F0" w:rsidRPr="00395073">
        <w:rPr>
          <w:rFonts w:cstheme="minorHAnsi"/>
          <w:spacing w:val="-3"/>
          <w:sz w:val="24"/>
          <w:szCs w:val="24"/>
          <w:lang w:val="en-GB"/>
        </w:rPr>
        <w:t xml:space="preserve"> 1</w:t>
      </w:r>
      <w:r w:rsidR="003C3D84" w:rsidRPr="00395073">
        <w:rPr>
          <w:rFonts w:cstheme="minorHAnsi"/>
          <w:spacing w:val="-3"/>
          <w:sz w:val="24"/>
          <w:szCs w:val="24"/>
          <w:lang w:val="en-GB"/>
        </w:rPr>
        <w:t>.</w:t>
      </w:r>
      <w:r w:rsidR="005C047B" w:rsidRPr="00395073">
        <w:rPr>
          <w:rFonts w:cstheme="minorHAnsi"/>
          <w:spacing w:val="-3"/>
          <w:sz w:val="24"/>
          <w:szCs w:val="24"/>
          <w:lang w:val="en-GB"/>
        </w:rPr>
        <w:t>7</w:t>
      </w:r>
      <w:r w:rsidR="00DC6EDD" w:rsidRPr="00395073">
        <w:rPr>
          <w:rFonts w:cstheme="minorHAnsi"/>
          <w:spacing w:val="-3"/>
          <w:sz w:val="24"/>
          <w:szCs w:val="24"/>
          <w:lang w:val="en-GB"/>
        </w:rPr>
        <w:t>2</w:t>
      </w:r>
      <w:r w:rsidR="001312B5" w:rsidRPr="00395073">
        <w:rPr>
          <w:rFonts w:cstheme="minorHAnsi"/>
          <w:spacing w:val="-3"/>
          <w:sz w:val="24"/>
          <w:szCs w:val="24"/>
          <w:lang w:val="en-GB"/>
        </w:rPr>
        <w:t xml:space="preserve"> </w:t>
      </w:r>
      <w:r w:rsidR="00F937F0" w:rsidRPr="00395073">
        <w:rPr>
          <w:rFonts w:cstheme="minorHAnsi"/>
          <w:spacing w:val="-3"/>
          <w:sz w:val="24"/>
          <w:szCs w:val="24"/>
          <w:lang w:val="en-GB"/>
        </w:rPr>
        <w:t>p</w:t>
      </w:r>
      <w:r w:rsidR="003C3D84" w:rsidRPr="00395073">
        <w:rPr>
          <w:rFonts w:cstheme="minorHAnsi"/>
          <w:spacing w:val="-3"/>
          <w:sz w:val="24"/>
          <w:szCs w:val="24"/>
          <w:lang w:val="en-GB"/>
        </w:rPr>
        <w:t>ercent in the same reporting period last year</w:t>
      </w:r>
      <w:r w:rsidR="00BF17D9" w:rsidRPr="00395073">
        <w:rPr>
          <w:rFonts w:cstheme="minorHAnsi"/>
          <w:spacing w:val="-3"/>
          <w:lang w:val="en-GB"/>
        </w:rPr>
        <w:t>.</w:t>
      </w:r>
    </w:p>
    <w:p w14:paraId="3CAB91C7" w14:textId="77777777" w:rsidR="003C3D84" w:rsidRPr="00395073" w:rsidRDefault="003C3D84" w:rsidP="003C3D84">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lastRenderedPageBreak/>
        <w:t xml:space="preserve">Net fee income </w:t>
      </w:r>
    </w:p>
    <w:p w14:paraId="1D0463D9" w14:textId="77777777" w:rsidR="00BF17D9" w:rsidRPr="00395073"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14:paraId="4C774C88" w14:textId="77777777" w:rsidR="008C6E0E" w:rsidRPr="00395073" w:rsidRDefault="003C3D84" w:rsidP="00EA0FF5">
      <w:pPr>
        <w:tabs>
          <w:tab w:val="left" w:pos="-720"/>
        </w:tabs>
        <w:suppressAutoHyphens/>
        <w:spacing w:after="0" w:line="240" w:lineRule="auto"/>
        <w:jc w:val="both"/>
        <w:rPr>
          <w:rFonts w:eastAsia="Times New Roman" w:cs="Calibri"/>
          <w:spacing w:val="-3"/>
          <w:sz w:val="24"/>
          <w:szCs w:val="24"/>
          <w:lang w:val="en-GB" w:eastAsia="hr-HR"/>
        </w:rPr>
      </w:pPr>
      <w:r w:rsidRPr="00395073">
        <w:rPr>
          <w:rFonts w:cstheme="minorHAnsi"/>
          <w:spacing w:val="-3"/>
          <w:sz w:val="24"/>
          <w:szCs w:val="24"/>
          <w:lang w:val="en-GB"/>
        </w:rPr>
        <w:t xml:space="preserve">Net fee income amounted to HRK </w:t>
      </w:r>
      <w:r w:rsidR="002E49FB" w:rsidRPr="00395073">
        <w:rPr>
          <w:rFonts w:cstheme="minorHAnsi"/>
          <w:spacing w:val="-3"/>
          <w:sz w:val="24"/>
          <w:szCs w:val="24"/>
          <w:lang w:val="en-GB"/>
        </w:rPr>
        <w:t>3</w:t>
      </w:r>
      <w:r w:rsidR="00DA2F32" w:rsidRPr="00395073">
        <w:rPr>
          <w:rFonts w:cstheme="minorHAnsi"/>
          <w:spacing w:val="-3"/>
          <w:sz w:val="24"/>
          <w:szCs w:val="24"/>
          <w:lang w:val="en-GB"/>
        </w:rPr>
        <w:t>1</w:t>
      </w:r>
      <w:r w:rsidRPr="00395073">
        <w:rPr>
          <w:rFonts w:cstheme="minorHAnsi"/>
          <w:spacing w:val="-3"/>
          <w:sz w:val="24"/>
          <w:szCs w:val="24"/>
          <w:lang w:val="en-GB"/>
        </w:rPr>
        <w:t>.</w:t>
      </w:r>
      <w:r w:rsidR="002E49FB" w:rsidRPr="00395073">
        <w:rPr>
          <w:rFonts w:cstheme="minorHAnsi"/>
          <w:spacing w:val="-3"/>
          <w:sz w:val="24"/>
          <w:szCs w:val="24"/>
          <w:lang w:val="en-GB"/>
        </w:rPr>
        <w:t>35</w:t>
      </w:r>
      <w:r w:rsidR="00BF17D9" w:rsidRPr="00395073">
        <w:rPr>
          <w:rFonts w:cstheme="minorHAnsi"/>
          <w:spacing w:val="-3"/>
          <w:sz w:val="24"/>
          <w:szCs w:val="24"/>
          <w:lang w:val="en-GB"/>
        </w:rPr>
        <w:t xml:space="preserve"> mil</w:t>
      </w:r>
      <w:r w:rsidRPr="00395073">
        <w:rPr>
          <w:rFonts w:cstheme="minorHAnsi"/>
          <w:spacing w:val="-3"/>
          <w:sz w:val="24"/>
          <w:szCs w:val="24"/>
          <w:lang w:val="en-GB"/>
        </w:rPr>
        <w:t>lion, an increase of</w:t>
      </w:r>
      <w:r w:rsidR="00BF17D9" w:rsidRPr="00395073">
        <w:rPr>
          <w:rFonts w:cstheme="minorHAnsi"/>
          <w:spacing w:val="-3"/>
          <w:sz w:val="24"/>
          <w:szCs w:val="24"/>
          <w:lang w:val="en-GB"/>
        </w:rPr>
        <w:t xml:space="preserve"> </w:t>
      </w:r>
      <w:r w:rsidR="002E49FB" w:rsidRPr="00395073">
        <w:rPr>
          <w:rFonts w:cstheme="minorHAnsi"/>
          <w:spacing w:val="-3"/>
          <w:sz w:val="24"/>
          <w:szCs w:val="24"/>
          <w:lang w:val="en-GB"/>
        </w:rPr>
        <w:t>8</w:t>
      </w:r>
      <w:r w:rsidR="008B31F9" w:rsidRPr="00395073">
        <w:rPr>
          <w:rFonts w:cstheme="minorHAnsi"/>
          <w:spacing w:val="-3"/>
          <w:sz w:val="24"/>
          <w:szCs w:val="24"/>
          <w:lang w:val="en-GB"/>
        </w:rPr>
        <w:t>.</w:t>
      </w:r>
      <w:r w:rsidR="002E49FB" w:rsidRPr="00395073">
        <w:rPr>
          <w:rFonts w:cstheme="minorHAnsi"/>
          <w:spacing w:val="-3"/>
          <w:sz w:val="24"/>
          <w:szCs w:val="24"/>
          <w:lang w:val="en-GB"/>
        </w:rPr>
        <w:t>93</w:t>
      </w:r>
      <w:r w:rsidR="00685E73" w:rsidRPr="00395073">
        <w:rPr>
          <w:rFonts w:cstheme="minorHAnsi"/>
          <w:spacing w:val="-3"/>
          <w:sz w:val="24"/>
          <w:szCs w:val="24"/>
          <w:lang w:val="en-GB"/>
        </w:rPr>
        <w:t xml:space="preserve"> </w:t>
      </w:r>
      <w:r w:rsidR="001124D6" w:rsidRPr="00395073">
        <w:rPr>
          <w:rFonts w:cstheme="minorHAnsi"/>
          <w:spacing w:val="-3"/>
          <w:sz w:val="24"/>
          <w:szCs w:val="24"/>
          <w:lang w:val="en-GB"/>
        </w:rPr>
        <w:t xml:space="preserve">percent compared with the same reporting period last year </w:t>
      </w:r>
      <w:r w:rsidR="00341EAD" w:rsidRPr="00395073">
        <w:rPr>
          <w:rFonts w:cstheme="minorHAnsi"/>
          <w:spacing w:val="-3"/>
          <w:sz w:val="24"/>
          <w:szCs w:val="24"/>
          <w:lang w:val="en-GB"/>
        </w:rPr>
        <w:t>due to a</w:t>
      </w:r>
      <w:r w:rsidR="001124D6" w:rsidRPr="00395073">
        <w:rPr>
          <w:rFonts w:cstheme="minorHAnsi"/>
          <w:spacing w:val="-3"/>
          <w:sz w:val="24"/>
          <w:szCs w:val="24"/>
          <w:lang w:val="en-GB"/>
        </w:rPr>
        <w:t xml:space="preserve"> higher volume of guarantees issued</w:t>
      </w:r>
      <w:r w:rsidR="008C6E0E" w:rsidRPr="00395073">
        <w:rPr>
          <w:rFonts w:eastAsia="Times New Roman" w:cstheme="minorHAnsi"/>
          <w:spacing w:val="-3"/>
          <w:sz w:val="24"/>
          <w:szCs w:val="24"/>
          <w:lang w:val="en-GB" w:eastAsia="hr-HR"/>
        </w:rPr>
        <w:t>.</w:t>
      </w:r>
    </w:p>
    <w:p w14:paraId="17BFC8F0" w14:textId="77777777" w:rsidR="00BF17D9" w:rsidRPr="00395073" w:rsidRDefault="00BF17D9" w:rsidP="00BF17D9">
      <w:pPr>
        <w:tabs>
          <w:tab w:val="left" w:pos="-720"/>
        </w:tabs>
        <w:suppressAutoHyphens/>
        <w:spacing w:after="0" w:line="240" w:lineRule="auto"/>
        <w:jc w:val="both"/>
        <w:rPr>
          <w:rFonts w:eastAsia="Times New Roman" w:cs="Calibri"/>
          <w:spacing w:val="-3"/>
          <w:sz w:val="24"/>
          <w:szCs w:val="24"/>
          <w:lang w:val="en-GB" w:eastAsia="hr-HR"/>
        </w:rPr>
      </w:pPr>
    </w:p>
    <w:p w14:paraId="338C5643" w14:textId="77777777" w:rsidR="001124D6" w:rsidRPr="00395073" w:rsidRDefault="001124D6" w:rsidP="001124D6">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Net gains/(losses) from financial activities</w:t>
      </w:r>
    </w:p>
    <w:p w14:paraId="29D60F39" w14:textId="77777777" w:rsidR="00BF17D9" w:rsidRPr="00395073" w:rsidRDefault="00BF17D9" w:rsidP="00BF17D9">
      <w:pPr>
        <w:spacing w:after="0" w:line="240" w:lineRule="auto"/>
        <w:jc w:val="both"/>
        <w:rPr>
          <w:rFonts w:eastAsia="Times New Roman" w:cs="Calibri"/>
          <w:b/>
          <w:i/>
          <w:sz w:val="24"/>
          <w:szCs w:val="24"/>
          <w:lang w:val="en-GB" w:eastAsia="hr-HR"/>
        </w:rPr>
      </w:pPr>
    </w:p>
    <w:p w14:paraId="1412D11B" w14:textId="77777777" w:rsidR="008C6E0E" w:rsidRPr="00395073" w:rsidRDefault="001124D6" w:rsidP="00EA0FF5">
      <w:pPr>
        <w:tabs>
          <w:tab w:val="left" w:pos="-720"/>
        </w:tabs>
        <w:spacing w:after="0" w:line="240" w:lineRule="auto"/>
        <w:jc w:val="both"/>
        <w:rPr>
          <w:rFonts w:eastAsia="Times New Roman" w:cs="Calibri"/>
          <w:spacing w:val="-3"/>
          <w:sz w:val="24"/>
          <w:szCs w:val="24"/>
          <w:lang w:val="en-GB" w:eastAsia="hr-HR"/>
        </w:rPr>
      </w:pPr>
      <w:r w:rsidRPr="00395073">
        <w:rPr>
          <w:rFonts w:cstheme="minorHAnsi"/>
          <w:spacing w:val="-3"/>
          <w:sz w:val="24"/>
          <w:szCs w:val="24"/>
          <w:lang w:val="en-GB"/>
        </w:rPr>
        <w:t xml:space="preserve">Net gains/(losses) from financial activities are comprised of net foreign exchange gains/(losses) on the principal amount of receivables and liabilities, net revenues or expenditures arising out of the loan contracts with embedded call option, gains/(losses) arising out of value adjustment of assets stated at fair value through profit or loss and realised gains/(losses) arising out of </w:t>
      </w:r>
      <w:proofErr w:type="gramStart"/>
      <w:r w:rsidRPr="00395073">
        <w:rPr>
          <w:rFonts w:cstheme="minorHAnsi"/>
          <w:spacing w:val="-3"/>
          <w:sz w:val="24"/>
          <w:szCs w:val="24"/>
          <w:lang w:val="en-GB"/>
        </w:rPr>
        <w:t xml:space="preserve">assets </w:t>
      </w:r>
      <w:r w:rsidR="008C6E0E" w:rsidRPr="00395073">
        <w:rPr>
          <w:rFonts w:eastAsia="Times New Roman" w:cs="Calibri"/>
          <w:spacing w:val="-3"/>
          <w:sz w:val="24"/>
          <w:szCs w:val="24"/>
          <w:lang w:val="en-GB" w:eastAsia="hr-HR"/>
        </w:rPr>
        <w:t xml:space="preserve"> </w:t>
      </w:r>
      <w:r w:rsidRPr="00395073">
        <w:rPr>
          <w:rFonts w:eastAsia="Times New Roman" w:cs="Calibri"/>
          <w:spacing w:val="-3"/>
          <w:sz w:val="24"/>
          <w:szCs w:val="24"/>
          <w:lang w:val="en-GB" w:eastAsia="hr-HR"/>
        </w:rPr>
        <w:t>at</w:t>
      </w:r>
      <w:proofErr w:type="gramEnd"/>
      <w:r w:rsidRPr="00395073">
        <w:rPr>
          <w:rFonts w:eastAsia="Times New Roman" w:cs="Calibri"/>
          <w:spacing w:val="-3"/>
          <w:sz w:val="24"/>
          <w:szCs w:val="24"/>
          <w:lang w:val="en-GB" w:eastAsia="hr-HR"/>
        </w:rPr>
        <w:t xml:space="preserve"> fair value through other comprehensive income</w:t>
      </w:r>
      <w:r w:rsidR="008C6E0E" w:rsidRPr="00395073">
        <w:rPr>
          <w:rFonts w:eastAsia="Times New Roman" w:cs="Calibri"/>
          <w:spacing w:val="-3"/>
          <w:sz w:val="24"/>
          <w:szCs w:val="24"/>
          <w:lang w:val="en-GB" w:eastAsia="hr-HR"/>
        </w:rPr>
        <w:t>.</w:t>
      </w:r>
    </w:p>
    <w:p w14:paraId="30ECB2A8" w14:textId="77777777" w:rsidR="008C6E0E" w:rsidRPr="00395073" w:rsidRDefault="008C6E0E" w:rsidP="00EA0FF5">
      <w:pPr>
        <w:tabs>
          <w:tab w:val="left" w:pos="-720"/>
        </w:tabs>
        <w:spacing w:after="0" w:line="240" w:lineRule="auto"/>
        <w:jc w:val="both"/>
        <w:rPr>
          <w:rFonts w:eastAsia="Times New Roman" w:cs="Calibri"/>
          <w:spacing w:val="-3"/>
          <w:sz w:val="24"/>
          <w:szCs w:val="24"/>
          <w:lang w:val="en-GB" w:eastAsia="hr-HR"/>
        </w:rPr>
      </w:pPr>
      <w:r w:rsidRPr="00395073">
        <w:rPr>
          <w:rFonts w:eastAsia="Times New Roman" w:cs="Calibri"/>
          <w:spacing w:val="-3"/>
          <w:sz w:val="24"/>
          <w:szCs w:val="24"/>
          <w:lang w:val="en-GB" w:eastAsia="hr-HR"/>
        </w:rPr>
        <w:t xml:space="preserve"> </w:t>
      </w:r>
    </w:p>
    <w:p w14:paraId="038E9334" w14:textId="77777777" w:rsidR="00BF17D9" w:rsidRPr="00395073" w:rsidRDefault="00052E67"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In the reporting period, net income from financial activities amounted to HRK </w:t>
      </w:r>
      <w:r w:rsidR="002E49FB" w:rsidRPr="00395073">
        <w:rPr>
          <w:rFonts w:cstheme="minorHAnsi"/>
          <w:spacing w:val="-3"/>
          <w:sz w:val="24"/>
          <w:szCs w:val="24"/>
          <w:lang w:val="en-GB"/>
        </w:rPr>
        <w:t>7</w:t>
      </w:r>
      <w:r w:rsidRPr="00395073">
        <w:rPr>
          <w:rFonts w:cstheme="minorHAnsi"/>
          <w:spacing w:val="-3"/>
          <w:sz w:val="24"/>
          <w:szCs w:val="24"/>
          <w:lang w:val="en-GB"/>
        </w:rPr>
        <w:t>.</w:t>
      </w:r>
      <w:r w:rsidR="002E49FB" w:rsidRPr="00395073">
        <w:rPr>
          <w:rFonts w:cstheme="minorHAnsi"/>
          <w:spacing w:val="-3"/>
          <w:sz w:val="24"/>
          <w:szCs w:val="24"/>
          <w:lang w:val="en-GB"/>
        </w:rPr>
        <w:t>20</w:t>
      </w:r>
      <w:r w:rsidR="00BF17D9" w:rsidRPr="00395073">
        <w:rPr>
          <w:rFonts w:cstheme="minorHAnsi"/>
          <w:spacing w:val="-3"/>
          <w:sz w:val="24"/>
          <w:szCs w:val="24"/>
          <w:lang w:val="en-GB"/>
        </w:rPr>
        <w:t xml:space="preserve"> mil</w:t>
      </w:r>
      <w:r w:rsidRPr="00395073">
        <w:rPr>
          <w:rFonts w:cstheme="minorHAnsi"/>
          <w:spacing w:val="-3"/>
          <w:sz w:val="24"/>
          <w:szCs w:val="24"/>
          <w:lang w:val="en-GB"/>
        </w:rPr>
        <w:t>lion</w:t>
      </w:r>
      <w:r w:rsidR="00BF17D9" w:rsidRPr="00395073">
        <w:rPr>
          <w:rFonts w:cstheme="minorHAnsi"/>
          <w:spacing w:val="-3"/>
          <w:sz w:val="24"/>
          <w:szCs w:val="24"/>
          <w:lang w:val="en-GB"/>
        </w:rPr>
        <w:t xml:space="preserve">, </w:t>
      </w:r>
      <w:r w:rsidRPr="00395073">
        <w:rPr>
          <w:rFonts w:cstheme="minorHAnsi"/>
          <w:spacing w:val="-3"/>
          <w:sz w:val="24"/>
          <w:szCs w:val="24"/>
          <w:lang w:val="en-GB"/>
        </w:rPr>
        <w:t xml:space="preserve">whereas, in the same reporting period previous year, net losses amounted to HRK </w:t>
      </w:r>
      <w:r w:rsidR="002E49FB" w:rsidRPr="00395073">
        <w:rPr>
          <w:rFonts w:cstheme="minorHAnsi"/>
          <w:spacing w:val="-3"/>
          <w:sz w:val="24"/>
          <w:szCs w:val="24"/>
          <w:lang w:val="en-GB"/>
        </w:rPr>
        <w:t>18.88</w:t>
      </w:r>
      <w:r w:rsidR="00BF17D9" w:rsidRPr="00395073">
        <w:rPr>
          <w:rFonts w:cstheme="minorHAnsi"/>
          <w:spacing w:val="-3"/>
          <w:sz w:val="24"/>
          <w:szCs w:val="24"/>
          <w:lang w:val="en-GB"/>
        </w:rPr>
        <w:t xml:space="preserve"> mil</w:t>
      </w:r>
      <w:r w:rsidR="00841F26" w:rsidRPr="00395073">
        <w:rPr>
          <w:rFonts w:cstheme="minorHAnsi"/>
          <w:spacing w:val="-3"/>
          <w:sz w:val="24"/>
          <w:szCs w:val="24"/>
          <w:lang w:val="en-GB"/>
        </w:rPr>
        <w:t>lion</w:t>
      </w:r>
      <w:r w:rsidR="00BF17D9" w:rsidRPr="00395073">
        <w:rPr>
          <w:rFonts w:cstheme="minorHAnsi"/>
          <w:spacing w:val="-3"/>
          <w:sz w:val="24"/>
          <w:szCs w:val="24"/>
          <w:lang w:val="en-GB"/>
        </w:rPr>
        <w:t xml:space="preserve">. </w:t>
      </w:r>
    </w:p>
    <w:p w14:paraId="0FB1DFE6" w14:textId="77777777" w:rsidR="00BF17D9" w:rsidRPr="00395073" w:rsidRDefault="00BF17D9" w:rsidP="00BF17D9">
      <w:pPr>
        <w:tabs>
          <w:tab w:val="left" w:pos="-720"/>
        </w:tabs>
        <w:suppressAutoHyphens/>
        <w:spacing w:after="0" w:line="240" w:lineRule="auto"/>
        <w:jc w:val="both"/>
        <w:rPr>
          <w:rFonts w:cstheme="minorHAnsi"/>
          <w:spacing w:val="-3"/>
          <w:sz w:val="24"/>
          <w:szCs w:val="24"/>
          <w:lang w:val="en-GB"/>
        </w:rPr>
      </w:pPr>
    </w:p>
    <w:p w14:paraId="35E74243" w14:textId="77777777" w:rsidR="00BF17D9" w:rsidRPr="00395073" w:rsidRDefault="00841F26"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A breakdown of changes in the exchange rate of HRK against the EUR and the USD</w:t>
      </w:r>
      <w:r w:rsidR="00BF17D9" w:rsidRPr="00395073">
        <w:rPr>
          <w:rFonts w:cstheme="minorHAnsi"/>
          <w:spacing w:val="-3"/>
          <w:sz w:val="24"/>
          <w:szCs w:val="24"/>
          <w:lang w:val="en-GB"/>
        </w:rPr>
        <w:t>:</w:t>
      </w:r>
    </w:p>
    <w:p w14:paraId="03E5D7AA" w14:textId="77777777" w:rsidR="00BF17D9" w:rsidRPr="00395073" w:rsidRDefault="00BF17D9" w:rsidP="00BF17D9">
      <w:pPr>
        <w:tabs>
          <w:tab w:val="left" w:pos="-720"/>
        </w:tabs>
        <w:suppressAutoHyphens/>
        <w:spacing w:after="0" w:line="240" w:lineRule="auto"/>
        <w:jc w:val="both"/>
        <w:rPr>
          <w:rFonts w:cstheme="minorHAnsi"/>
          <w:spacing w:val="-3"/>
          <w:sz w:val="24"/>
          <w:szCs w:val="24"/>
          <w:lang w:val="en-GB"/>
        </w:rPr>
      </w:pPr>
    </w:p>
    <w:p w14:paraId="238F47A3" w14:textId="77777777" w:rsidR="00BF17D9" w:rsidRPr="00395073" w:rsidRDefault="002B1A0D" w:rsidP="00BF17D9">
      <w:pPr>
        <w:tabs>
          <w:tab w:val="left" w:pos="-720"/>
          <w:tab w:val="left" w:pos="4820"/>
        </w:tabs>
        <w:suppressAutoHyphens/>
        <w:spacing w:after="0" w:line="240" w:lineRule="auto"/>
        <w:ind w:left="-426" w:right="-567"/>
        <w:jc w:val="both"/>
        <w:rPr>
          <w:rFonts w:cstheme="minorHAnsi"/>
          <w:spacing w:val="-3"/>
          <w:sz w:val="24"/>
          <w:szCs w:val="24"/>
          <w:lang w:val="en-GB"/>
        </w:rPr>
      </w:pPr>
      <w:r w:rsidRPr="00395073">
        <w:rPr>
          <w:rFonts w:cstheme="minorHAnsi"/>
          <w:noProof/>
          <w:spacing w:val="-3"/>
          <w:sz w:val="24"/>
          <w:szCs w:val="24"/>
          <w:lang w:val="en-GB" w:eastAsia="hr-HR"/>
        </w:rPr>
        <w:t xml:space="preserve"> </w:t>
      </w:r>
      <w:r w:rsidR="00FA1E28" w:rsidRPr="00395073">
        <w:rPr>
          <w:rFonts w:cstheme="minorHAnsi"/>
          <w:spacing w:val="-3"/>
          <w:sz w:val="24"/>
          <w:szCs w:val="24"/>
          <w:lang w:val="en-GB"/>
        </w:rPr>
        <w:t xml:space="preserve">   </w:t>
      </w:r>
      <w:r w:rsidR="00FF48F6" w:rsidRPr="00395073">
        <w:rPr>
          <w:rFonts w:cstheme="minorHAnsi"/>
          <w:spacing w:val="-3"/>
          <w:sz w:val="24"/>
          <w:szCs w:val="24"/>
          <w:lang w:val="en-GB"/>
        </w:rPr>
        <w:t xml:space="preserve">   </w:t>
      </w:r>
      <w:r w:rsidR="00FF48F6" w:rsidRPr="00395073">
        <w:rPr>
          <w:rFonts w:cstheme="minorHAnsi"/>
          <w:noProof/>
          <w:spacing w:val="-3"/>
          <w:sz w:val="24"/>
          <w:szCs w:val="24"/>
          <w:lang w:val="en-GB"/>
        </w:rPr>
        <w:drawing>
          <wp:inline distT="0" distB="0" distL="0" distR="0" wp14:anchorId="41A36477" wp14:editId="34520B03">
            <wp:extent cx="2967943" cy="2016000"/>
            <wp:effectExtent l="0" t="0" r="4445"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67943" cy="2016000"/>
                    </a:xfrm>
                    <a:prstGeom prst="rect">
                      <a:avLst/>
                    </a:prstGeom>
                    <a:noFill/>
                  </pic:spPr>
                </pic:pic>
              </a:graphicData>
            </a:graphic>
          </wp:inline>
        </w:drawing>
      </w:r>
      <w:r w:rsidR="00BF17D9" w:rsidRPr="00395073">
        <w:rPr>
          <w:rFonts w:cstheme="minorHAnsi"/>
          <w:spacing w:val="-3"/>
          <w:sz w:val="24"/>
          <w:szCs w:val="24"/>
          <w:lang w:val="en-GB"/>
        </w:rPr>
        <w:t xml:space="preserve"> </w:t>
      </w:r>
      <w:r w:rsidR="00FA1E28" w:rsidRPr="00395073">
        <w:rPr>
          <w:rFonts w:cstheme="minorHAnsi"/>
          <w:spacing w:val="-3"/>
          <w:sz w:val="24"/>
          <w:szCs w:val="24"/>
          <w:lang w:val="en-GB"/>
        </w:rPr>
        <w:t xml:space="preserve">   </w:t>
      </w:r>
      <w:r w:rsidR="00FF48F6" w:rsidRPr="00395073">
        <w:rPr>
          <w:rFonts w:cstheme="minorHAnsi"/>
          <w:noProof/>
          <w:spacing w:val="-3"/>
          <w:sz w:val="24"/>
          <w:szCs w:val="24"/>
          <w:lang w:val="en-GB"/>
        </w:rPr>
        <w:drawing>
          <wp:inline distT="0" distB="0" distL="0" distR="0" wp14:anchorId="4A7D4D81" wp14:editId="4413186B">
            <wp:extent cx="2987649" cy="2016000"/>
            <wp:effectExtent l="0" t="0" r="381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87649" cy="2016000"/>
                    </a:xfrm>
                    <a:prstGeom prst="rect">
                      <a:avLst/>
                    </a:prstGeom>
                    <a:noFill/>
                  </pic:spPr>
                </pic:pic>
              </a:graphicData>
            </a:graphic>
          </wp:inline>
        </w:drawing>
      </w:r>
    </w:p>
    <w:p w14:paraId="4ABBF881" w14:textId="77777777" w:rsidR="00BF17D9" w:rsidRPr="00395073" w:rsidRDefault="00BF17D9" w:rsidP="00BF17D9">
      <w:pPr>
        <w:tabs>
          <w:tab w:val="left" w:pos="-720"/>
          <w:tab w:val="left" w:pos="4820"/>
        </w:tabs>
        <w:suppressAutoHyphens/>
        <w:spacing w:after="0" w:line="240" w:lineRule="auto"/>
        <w:ind w:right="-426" w:hanging="426"/>
        <w:jc w:val="both"/>
        <w:rPr>
          <w:rFonts w:cstheme="minorHAnsi"/>
          <w:spacing w:val="-3"/>
          <w:sz w:val="24"/>
          <w:szCs w:val="24"/>
          <w:lang w:val="en-GB"/>
        </w:rPr>
      </w:pPr>
    </w:p>
    <w:p w14:paraId="283940DC" w14:textId="6D23ECFF" w:rsidR="00841F26" w:rsidRPr="00020D59" w:rsidRDefault="00BF17D9" w:rsidP="00841F26">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0"/>
          <w:lang w:val="en-GB"/>
        </w:rPr>
      </w:pPr>
      <w:r w:rsidRPr="00395073">
        <w:rPr>
          <w:rFonts w:cstheme="minorHAnsi"/>
          <w:spacing w:val="-3"/>
          <w:sz w:val="24"/>
          <w:szCs w:val="24"/>
          <w:lang w:val="en-GB"/>
        </w:rPr>
        <w:t xml:space="preserve">  </w:t>
      </w:r>
      <w:r w:rsidR="00FA1E28" w:rsidRPr="00395073">
        <w:rPr>
          <w:rFonts w:cstheme="minorHAnsi"/>
          <w:spacing w:val="-3"/>
          <w:sz w:val="24"/>
          <w:szCs w:val="24"/>
          <w:lang w:val="en-GB"/>
        </w:rPr>
        <w:t xml:space="preserve">    </w:t>
      </w:r>
      <w:r w:rsidR="007C4F1F">
        <w:rPr>
          <w:rFonts w:cstheme="minorHAnsi"/>
          <w:spacing w:val="-3"/>
          <w:sz w:val="24"/>
          <w:szCs w:val="24"/>
          <w:lang w:val="en-GB"/>
        </w:rPr>
        <w:t xml:space="preserve"> </w:t>
      </w:r>
      <w:r w:rsidRPr="00395073">
        <w:rPr>
          <w:rFonts w:cstheme="minorHAnsi"/>
          <w:spacing w:val="-3"/>
          <w:sz w:val="24"/>
          <w:szCs w:val="24"/>
          <w:lang w:val="en-GB"/>
        </w:rPr>
        <w:t xml:space="preserve">  </w:t>
      </w:r>
      <w:r w:rsidR="00841F26" w:rsidRPr="00020D59">
        <w:rPr>
          <w:rFonts w:cstheme="minorHAnsi"/>
          <w:color w:val="7F7F7F" w:themeColor="text1" w:themeTint="80"/>
          <w:spacing w:val="-3"/>
          <w:sz w:val="20"/>
          <w:szCs w:val="20"/>
          <w:lang w:val="en-GB"/>
        </w:rPr>
        <w:t>Note:</w:t>
      </w:r>
    </w:p>
    <w:p w14:paraId="377A0327" w14:textId="1B217220" w:rsidR="00BF17D9" w:rsidRPr="00020D59" w:rsidRDefault="00841F26" w:rsidP="00841F26">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0"/>
          <w:lang w:val="en-GB"/>
        </w:rPr>
      </w:pPr>
      <w:r w:rsidRPr="00020D59">
        <w:rPr>
          <w:rFonts w:cstheme="minorHAnsi"/>
          <w:color w:val="7F7F7F" w:themeColor="text1" w:themeTint="80"/>
          <w:spacing w:val="-3"/>
          <w:sz w:val="20"/>
          <w:szCs w:val="20"/>
          <w:lang w:val="en-GB"/>
        </w:rPr>
        <w:t xml:space="preserve"> </w:t>
      </w:r>
      <w:r w:rsidR="00FA1E28" w:rsidRPr="00020D59">
        <w:rPr>
          <w:rFonts w:cstheme="minorHAnsi"/>
          <w:color w:val="7F7F7F" w:themeColor="text1" w:themeTint="80"/>
          <w:spacing w:val="-3"/>
          <w:sz w:val="20"/>
          <w:szCs w:val="20"/>
          <w:lang w:val="en-GB"/>
        </w:rPr>
        <w:t xml:space="preserve">    </w:t>
      </w:r>
      <w:r w:rsidRPr="00020D59">
        <w:rPr>
          <w:rFonts w:cstheme="minorHAnsi"/>
          <w:color w:val="7F7F7F" w:themeColor="text1" w:themeTint="80"/>
          <w:spacing w:val="-3"/>
          <w:sz w:val="20"/>
          <w:szCs w:val="20"/>
          <w:lang w:val="en-GB"/>
        </w:rPr>
        <w:t xml:space="preserve"> </w:t>
      </w:r>
      <w:r w:rsidR="007C4F1F">
        <w:rPr>
          <w:rFonts w:cstheme="minorHAnsi"/>
          <w:color w:val="7F7F7F" w:themeColor="text1" w:themeTint="80"/>
          <w:spacing w:val="-3"/>
          <w:sz w:val="20"/>
          <w:szCs w:val="20"/>
          <w:lang w:val="en-GB"/>
        </w:rPr>
        <w:t xml:space="preserve">   </w:t>
      </w:r>
      <w:r w:rsidR="00FA1E28" w:rsidRPr="00020D59">
        <w:rPr>
          <w:rFonts w:cstheme="minorHAnsi"/>
          <w:color w:val="7F7F7F" w:themeColor="text1" w:themeTint="80"/>
          <w:spacing w:val="-3"/>
          <w:sz w:val="20"/>
          <w:szCs w:val="20"/>
          <w:lang w:val="en-GB"/>
        </w:rPr>
        <w:t xml:space="preserve">  </w:t>
      </w:r>
      <w:r w:rsidRPr="00020D59">
        <w:rPr>
          <w:rFonts w:cstheme="minorHAnsi"/>
          <w:color w:val="7F7F7F" w:themeColor="text1" w:themeTint="80"/>
          <w:spacing w:val="-3"/>
          <w:sz w:val="20"/>
          <w:szCs w:val="20"/>
          <w:lang w:val="en-GB"/>
        </w:rPr>
        <w:t>A</w:t>
      </w:r>
      <w:r w:rsidRPr="00020D59">
        <w:rPr>
          <w:rFonts w:cstheme="minorHAnsi"/>
          <w:color w:val="7F7F7F" w:themeColor="text1" w:themeTint="80"/>
          <w:spacing w:val="-3"/>
          <w:sz w:val="20"/>
          <w:szCs w:val="20"/>
          <w:vertAlign w:val="subscript"/>
          <w:lang w:val="en-GB"/>
        </w:rPr>
        <w:t>1</w:t>
      </w:r>
      <w:r w:rsidRPr="00020D59">
        <w:rPr>
          <w:rFonts w:cstheme="minorHAnsi"/>
          <w:color w:val="7F7F7F" w:themeColor="text1" w:themeTint="80"/>
          <w:spacing w:val="-3"/>
          <w:sz w:val="20"/>
          <w:szCs w:val="20"/>
          <w:lang w:val="en-GB"/>
        </w:rPr>
        <w:t xml:space="preserve"> = HRK appreciation </w:t>
      </w:r>
      <w:r w:rsidR="00426055" w:rsidRPr="00020D59">
        <w:rPr>
          <w:rFonts w:cstheme="minorHAnsi"/>
          <w:color w:val="7F7F7F" w:themeColor="text1" w:themeTint="80"/>
          <w:spacing w:val="-3"/>
          <w:sz w:val="20"/>
          <w:szCs w:val="20"/>
          <w:lang w:val="en-GB"/>
        </w:rPr>
        <w:t>30</w:t>
      </w:r>
      <w:r w:rsidR="00BF17D9" w:rsidRPr="00020D59">
        <w:rPr>
          <w:rFonts w:cstheme="minorHAnsi"/>
          <w:color w:val="7F7F7F" w:themeColor="text1" w:themeTint="80"/>
          <w:spacing w:val="-3"/>
          <w:sz w:val="20"/>
          <w:szCs w:val="20"/>
          <w:lang w:val="en-GB"/>
        </w:rPr>
        <w:t>.</w:t>
      </w:r>
      <w:r w:rsidR="00FF1666" w:rsidRPr="00020D59">
        <w:rPr>
          <w:rFonts w:cstheme="minorHAnsi"/>
          <w:color w:val="7F7F7F" w:themeColor="text1" w:themeTint="80"/>
          <w:spacing w:val="-3"/>
          <w:sz w:val="20"/>
          <w:szCs w:val="20"/>
          <w:lang w:val="en-GB"/>
        </w:rPr>
        <w:t>9</w:t>
      </w:r>
      <w:r w:rsidR="00BF17D9" w:rsidRPr="00020D59">
        <w:rPr>
          <w:rFonts w:cstheme="minorHAnsi"/>
          <w:color w:val="7F7F7F" w:themeColor="text1" w:themeTint="80"/>
          <w:spacing w:val="-3"/>
          <w:sz w:val="20"/>
          <w:szCs w:val="20"/>
          <w:lang w:val="en-GB"/>
        </w:rPr>
        <w:t>.</w:t>
      </w:r>
      <w:r w:rsidR="002B1A0D" w:rsidRPr="00020D59">
        <w:rPr>
          <w:rFonts w:cstheme="minorHAnsi"/>
          <w:color w:val="7F7F7F" w:themeColor="text1" w:themeTint="80"/>
          <w:spacing w:val="-3"/>
          <w:sz w:val="20"/>
          <w:szCs w:val="20"/>
          <w:lang w:val="en-GB"/>
        </w:rPr>
        <w:t>201</w:t>
      </w:r>
      <w:r w:rsidR="00700ED8" w:rsidRPr="00020D59">
        <w:rPr>
          <w:rFonts w:cstheme="minorHAnsi"/>
          <w:color w:val="7F7F7F" w:themeColor="text1" w:themeTint="80"/>
          <w:spacing w:val="-3"/>
          <w:sz w:val="20"/>
          <w:szCs w:val="20"/>
          <w:lang w:val="en-GB"/>
        </w:rPr>
        <w:t>8</w:t>
      </w:r>
      <w:r w:rsidR="00BF17D9" w:rsidRPr="00020D59">
        <w:rPr>
          <w:rFonts w:cstheme="minorHAnsi"/>
          <w:color w:val="7F7F7F" w:themeColor="text1" w:themeTint="80"/>
          <w:spacing w:val="-3"/>
          <w:sz w:val="20"/>
          <w:szCs w:val="20"/>
          <w:lang w:val="en-GB"/>
        </w:rPr>
        <w:t>/31.12.</w:t>
      </w:r>
      <w:r w:rsidR="002B1A0D" w:rsidRPr="00020D59">
        <w:rPr>
          <w:rFonts w:cstheme="minorHAnsi"/>
          <w:color w:val="7F7F7F" w:themeColor="text1" w:themeTint="80"/>
          <w:spacing w:val="-3"/>
          <w:sz w:val="20"/>
          <w:szCs w:val="20"/>
          <w:lang w:val="en-GB"/>
        </w:rPr>
        <w:t>201</w:t>
      </w:r>
      <w:r w:rsidR="00700ED8" w:rsidRPr="00020D59">
        <w:rPr>
          <w:rFonts w:cstheme="minorHAnsi"/>
          <w:color w:val="7F7F7F" w:themeColor="text1" w:themeTint="80"/>
          <w:spacing w:val="-3"/>
          <w:sz w:val="20"/>
          <w:szCs w:val="20"/>
          <w:lang w:val="en-GB"/>
        </w:rPr>
        <w:t>7</w:t>
      </w:r>
      <w:r w:rsidR="00BF17D9" w:rsidRPr="00020D59">
        <w:rPr>
          <w:rFonts w:cstheme="minorHAnsi"/>
          <w:color w:val="7F7F7F" w:themeColor="text1" w:themeTint="80"/>
          <w:spacing w:val="-3"/>
          <w:sz w:val="20"/>
          <w:szCs w:val="20"/>
          <w:lang w:val="en-GB"/>
        </w:rPr>
        <w:tab/>
      </w:r>
      <w:r w:rsidR="003B4530">
        <w:rPr>
          <w:rFonts w:cstheme="minorHAnsi"/>
          <w:color w:val="7F7F7F" w:themeColor="text1" w:themeTint="80"/>
          <w:spacing w:val="-3"/>
          <w:sz w:val="20"/>
          <w:szCs w:val="20"/>
          <w:lang w:val="en-GB"/>
        </w:rPr>
        <w:tab/>
      </w:r>
      <w:r w:rsidR="00BF17D9" w:rsidRPr="00020D59">
        <w:rPr>
          <w:rFonts w:cstheme="minorHAnsi"/>
          <w:color w:val="7F7F7F" w:themeColor="text1" w:themeTint="80"/>
          <w:spacing w:val="-3"/>
          <w:sz w:val="20"/>
          <w:szCs w:val="20"/>
          <w:lang w:val="en-GB"/>
        </w:rPr>
        <w:t xml:space="preserve"> </w:t>
      </w:r>
      <w:r w:rsidR="00FA1E28" w:rsidRPr="00020D59">
        <w:rPr>
          <w:rFonts w:cstheme="minorHAnsi"/>
          <w:color w:val="7F7F7F" w:themeColor="text1" w:themeTint="80"/>
          <w:spacing w:val="-3"/>
          <w:sz w:val="20"/>
          <w:szCs w:val="20"/>
          <w:lang w:val="en-GB"/>
        </w:rPr>
        <w:t xml:space="preserve"> </w:t>
      </w:r>
      <w:r w:rsidR="00BF17D9" w:rsidRPr="00020D59">
        <w:rPr>
          <w:rFonts w:cstheme="minorHAnsi"/>
          <w:color w:val="7F7F7F" w:themeColor="text1" w:themeTint="80"/>
          <w:spacing w:val="-3"/>
          <w:sz w:val="20"/>
          <w:szCs w:val="20"/>
          <w:lang w:val="en-GB"/>
        </w:rPr>
        <w:t xml:space="preserve"> </w:t>
      </w:r>
      <w:r w:rsidR="00FA1E28" w:rsidRPr="00020D59">
        <w:rPr>
          <w:rFonts w:cstheme="minorHAnsi"/>
          <w:color w:val="7F7F7F" w:themeColor="text1" w:themeTint="80"/>
          <w:spacing w:val="-3"/>
          <w:sz w:val="20"/>
          <w:szCs w:val="20"/>
          <w:lang w:val="en-GB"/>
        </w:rPr>
        <w:t xml:space="preserve"> </w:t>
      </w:r>
      <w:r w:rsidR="00BF17D9" w:rsidRPr="00020D59">
        <w:rPr>
          <w:rFonts w:cstheme="minorHAnsi"/>
          <w:color w:val="7F7F7F" w:themeColor="text1" w:themeTint="80"/>
          <w:spacing w:val="-3"/>
          <w:sz w:val="20"/>
          <w:szCs w:val="20"/>
          <w:lang w:val="en-GB"/>
        </w:rPr>
        <w:t xml:space="preserve"> </w:t>
      </w:r>
      <w:r w:rsidR="000D1837" w:rsidRPr="00020D59">
        <w:rPr>
          <w:rFonts w:cstheme="minorHAnsi"/>
          <w:color w:val="7F7F7F" w:themeColor="text1" w:themeTint="80"/>
          <w:spacing w:val="-3"/>
          <w:sz w:val="20"/>
          <w:szCs w:val="20"/>
          <w:lang w:val="en-GB"/>
        </w:rPr>
        <w:t>D</w:t>
      </w:r>
      <w:r w:rsidRPr="00020D59">
        <w:rPr>
          <w:rFonts w:cstheme="minorHAnsi"/>
          <w:color w:val="7F7F7F" w:themeColor="text1" w:themeTint="80"/>
          <w:spacing w:val="-3"/>
          <w:sz w:val="20"/>
          <w:szCs w:val="20"/>
          <w:vertAlign w:val="subscript"/>
          <w:lang w:val="en-GB"/>
        </w:rPr>
        <w:t>1</w:t>
      </w:r>
      <w:r w:rsidRPr="00020D59">
        <w:rPr>
          <w:rFonts w:cstheme="minorHAnsi"/>
          <w:color w:val="7F7F7F" w:themeColor="text1" w:themeTint="80"/>
          <w:spacing w:val="-3"/>
          <w:sz w:val="20"/>
          <w:szCs w:val="20"/>
          <w:lang w:val="en-GB"/>
        </w:rPr>
        <w:t xml:space="preserve"> = HRK </w:t>
      </w:r>
      <w:r w:rsidR="000D1837" w:rsidRPr="00020D59">
        <w:rPr>
          <w:rFonts w:cstheme="minorHAnsi"/>
          <w:color w:val="7F7F7F" w:themeColor="text1" w:themeTint="80"/>
          <w:spacing w:val="-3"/>
          <w:sz w:val="20"/>
          <w:szCs w:val="20"/>
          <w:lang w:val="en-GB"/>
        </w:rPr>
        <w:t>de</w:t>
      </w:r>
      <w:r w:rsidRPr="00020D59">
        <w:rPr>
          <w:rFonts w:cstheme="minorHAnsi"/>
          <w:color w:val="7F7F7F" w:themeColor="text1" w:themeTint="80"/>
          <w:spacing w:val="-3"/>
          <w:sz w:val="20"/>
          <w:szCs w:val="20"/>
          <w:lang w:val="en-GB"/>
        </w:rPr>
        <w:t xml:space="preserve">preciation </w:t>
      </w:r>
      <w:r w:rsidR="00426055" w:rsidRPr="00020D59">
        <w:rPr>
          <w:rFonts w:cstheme="minorHAnsi"/>
          <w:color w:val="7F7F7F" w:themeColor="text1" w:themeTint="80"/>
          <w:spacing w:val="-3"/>
          <w:sz w:val="20"/>
          <w:szCs w:val="20"/>
          <w:lang w:val="en-GB"/>
        </w:rPr>
        <w:t>30.</w:t>
      </w:r>
      <w:r w:rsidR="00FF1666" w:rsidRPr="00020D59">
        <w:rPr>
          <w:rFonts w:cstheme="minorHAnsi"/>
          <w:color w:val="7F7F7F" w:themeColor="text1" w:themeTint="80"/>
          <w:spacing w:val="-3"/>
          <w:sz w:val="20"/>
          <w:szCs w:val="20"/>
          <w:lang w:val="en-GB"/>
        </w:rPr>
        <w:t>9</w:t>
      </w:r>
      <w:r w:rsidR="00426055" w:rsidRPr="00020D59">
        <w:rPr>
          <w:rFonts w:cstheme="minorHAnsi"/>
          <w:color w:val="7F7F7F" w:themeColor="text1" w:themeTint="80"/>
          <w:spacing w:val="-3"/>
          <w:sz w:val="20"/>
          <w:szCs w:val="20"/>
          <w:lang w:val="en-GB"/>
        </w:rPr>
        <w:t>.</w:t>
      </w:r>
      <w:r w:rsidR="00DE2D21" w:rsidRPr="00020D59">
        <w:rPr>
          <w:rFonts w:cstheme="minorHAnsi"/>
          <w:color w:val="7F7F7F" w:themeColor="text1" w:themeTint="80"/>
          <w:spacing w:val="-3"/>
          <w:sz w:val="20"/>
          <w:szCs w:val="20"/>
          <w:lang w:val="en-GB"/>
        </w:rPr>
        <w:t>201</w:t>
      </w:r>
      <w:r w:rsidR="00700ED8" w:rsidRPr="00020D59">
        <w:rPr>
          <w:rFonts w:cstheme="minorHAnsi"/>
          <w:color w:val="7F7F7F" w:themeColor="text1" w:themeTint="80"/>
          <w:spacing w:val="-3"/>
          <w:sz w:val="20"/>
          <w:szCs w:val="20"/>
          <w:lang w:val="en-GB"/>
        </w:rPr>
        <w:t>8</w:t>
      </w:r>
      <w:r w:rsidR="00BF17D9" w:rsidRPr="00020D59">
        <w:rPr>
          <w:rFonts w:cstheme="minorHAnsi"/>
          <w:color w:val="7F7F7F" w:themeColor="text1" w:themeTint="80"/>
          <w:spacing w:val="-3"/>
          <w:sz w:val="20"/>
          <w:szCs w:val="20"/>
          <w:lang w:val="en-GB"/>
        </w:rPr>
        <w:t>/31.12.201</w:t>
      </w:r>
      <w:r w:rsidR="00700ED8" w:rsidRPr="00020D59">
        <w:rPr>
          <w:rFonts w:cstheme="minorHAnsi"/>
          <w:color w:val="7F7F7F" w:themeColor="text1" w:themeTint="80"/>
          <w:spacing w:val="-3"/>
          <w:sz w:val="20"/>
          <w:szCs w:val="20"/>
          <w:lang w:val="en-GB"/>
        </w:rPr>
        <w:t>7</w:t>
      </w:r>
    </w:p>
    <w:p w14:paraId="5ED7B0BB" w14:textId="134CA91F" w:rsidR="00BF17D9" w:rsidRPr="00020D59" w:rsidRDefault="00BF17D9" w:rsidP="00BF17D9">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0"/>
          <w:lang w:val="en-GB"/>
        </w:rPr>
      </w:pPr>
      <w:r w:rsidRPr="00020D59">
        <w:rPr>
          <w:rFonts w:cstheme="minorHAnsi"/>
          <w:color w:val="7F7F7F" w:themeColor="text1" w:themeTint="80"/>
          <w:spacing w:val="-3"/>
          <w:sz w:val="20"/>
          <w:szCs w:val="20"/>
          <w:lang w:val="en-GB"/>
        </w:rPr>
        <w:t xml:space="preserve"> </w:t>
      </w:r>
      <w:r w:rsidR="00FA1E28" w:rsidRPr="00020D59">
        <w:rPr>
          <w:rFonts w:cstheme="minorHAnsi"/>
          <w:color w:val="7F7F7F" w:themeColor="text1" w:themeTint="80"/>
          <w:spacing w:val="-3"/>
          <w:sz w:val="20"/>
          <w:szCs w:val="20"/>
          <w:lang w:val="en-GB"/>
        </w:rPr>
        <w:t xml:space="preserve">     </w:t>
      </w:r>
      <w:r w:rsidR="007C4F1F">
        <w:rPr>
          <w:rFonts w:cstheme="minorHAnsi"/>
          <w:color w:val="7F7F7F" w:themeColor="text1" w:themeTint="80"/>
          <w:spacing w:val="-3"/>
          <w:sz w:val="20"/>
          <w:szCs w:val="20"/>
          <w:lang w:val="en-GB"/>
        </w:rPr>
        <w:t xml:space="preserve">   </w:t>
      </w:r>
      <w:r w:rsidR="00FA1E28" w:rsidRPr="00020D59">
        <w:rPr>
          <w:rFonts w:cstheme="minorHAnsi"/>
          <w:color w:val="7F7F7F" w:themeColor="text1" w:themeTint="80"/>
          <w:spacing w:val="-3"/>
          <w:sz w:val="20"/>
          <w:szCs w:val="20"/>
          <w:lang w:val="en-GB"/>
        </w:rPr>
        <w:t xml:space="preserve"> </w:t>
      </w:r>
      <w:r w:rsidRPr="00020D59">
        <w:rPr>
          <w:rFonts w:cstheme="minorHAnsi"/>
          <w:color w:val="7F7F7F" w:themeColor="text1" w:themeTint="80"/>
          <w:spacing w:val="-3"/>
          <w:sz w:val="20"/>
          <w:szCs w:val="20"/>
          <w:lang w:val="en-GB"/>
        </w:rPr>
        <w:t xml:space="preserve"> A</w:t>
      </w:r>
      <w:r w:rsidRPr="00020D59">
        <w:rPr>
          <w:rFonts w:cstheme="minorHAnsi"/>
          <w:color w:val="7F7F7F" w:themeColor="text1" w:themeTint="80"/>
          <w:spacing w:val="-3"/>
          <w:sz w:val="20"/>
          <w:szCs w:val="20"/>
          <w:vertAlign w:val="subscript"/>
          <w:lang w:val="en-GB"/>
        </w:rPr>
        <w:t>2</w:t>
      </w:r>
      <w:r w:rsidRPr="00020D59">
        <w:rPr>
          <w:rFonts w:cstheme="minorHAnsi"/>
          <w:color w:val="7F7F7F" w:themeColor="text1" w:themeTint="80"/>
          <w:spacing w:val="-3"/>
          <w:sz w:val="20"/>
          <w:szCs w:val="20"/>
          <w:lang w:val="en-GB"/>
        </w:rPr>
        <w:t xml:space="preserve"> = </w:t>
      </w:r>
      <w:r w:rsidR="00841F26" w:rsidRPr="00020D59">
        <w:rPr>
          <w:rFonts w:cstheme="minorHAnsi"/>
          <w:color w:val="7F7F7F" w:themeColor="text1" w:themeTint="80"/>
          <w:spacing w:val="-3"/>
          <w:sz w:val="20"/>
          <w:szCs w:val="20"/>
          <w:lang w:val="en-GB"/>
        </w:rPr>
        <w:t xml:space="preserve">HRK appreciation </w:t>
      </w:r>
      <w:r w:rsidR="00426055" w:rsidRPr="00020D59">
        <w:rPr>
          <w:rFonts w:cstheme="minorHAnsi"/>
          <w:color w:val="7F7F7F" w:themeColor="text1" w:themeTint="80"/>
          <w:spacing w:val="-3"/>
          <w:sz w:val="20"/>
          <w:szCs w:val="20"/>
          <w:lang w:val="en-GB"/>
        </w:rPr>
        <w:t>30.</w:t>
      </w:r>
      <w:r w:rsidR="00FF1666" w:rsidRPr="00020D59">
        <w:rPr>
          <w:rFonts w:cstheme="minorHAnsi"/>
          <w:color w:val="7F7F7F" w:themeColor="text1" w:themeTint="80"/>
          <w:spacing w:val="-3"/>
          <w:sz w:val="20"/>
          <w:szCs w:val="20"/>
          <w:lang w:val="en-GB"/>
        </w:rPr>
        <w:t>9</w:t>
      </w:r>
      <w:r w:rsidR="00426055" w:rsidRPr="00020D59">
        <w:rPr>
          <w:rFonts w:cstheme="minorHAnsi"/>
          <w:color w:val="7F7F7F" w:themeColor="text1" w:themeTint="80"/>
          <w:spacing w:val="-3"/>
          <w:sz w:val="20"/>
          <w:szCs w:val="20"/>
          <w:lang w:val="en-GB"/>
        </w:rPr>
        <w:t>.</w:t>
      </w:r>
      <w:r w:rsidR="002B1A0D" w:rsidRPr="00020D59">
        <w:rPr>
          <w:rFonts w:cstheme="minorHAnsi"/>
          <w:color w:val="7F7F7F" w:themeColor="text1" w:themeTint="80"/>
          <w:spacing w:val="-3"/>
          <w:sz w:val="20"/>
          <w:szCs w:val="20"/>
          <w:lang w:val="en-GB"/>
        </w:rPr>
        <w:t>201</w:t>
      </w:r>
      <w:r w:rsidR="00700ED8" w:rsidRPr="00020D59">
        <w:rPr>
          <w:rFonts w:cstheme="minorHAnsi"/>
          <w:color w:val="7F7F7F" w:themeColor="text1" w:themeTint="80"/>
          <w:spacing w:val="-3"/>
          <w:sz w:val="20"/>
          <w:szCs w:val="20"/>
          <w:lang w:val="en-GB"/>
        </w:rPr>
        <w:t>8</w:t>
      </w:r>
      <w:r w:rsidRPr="00020D59">
        <w:rPr>
          <w:rFonts w:cstheme="minorHAnsi"/>
          <w:color w:val="7F7F7F" w:themeColor="text1" w:themeTint="80"/>
          <w:spacing w:val="-3"/>
          <w:sz w:val="20"/>
          <w:szCs w:val="20"/>
          <w:lang w:val="en-GB"/>
        </w:rPr>
        <w:t>/</w:t>
      </w:r>
      <w:r w:rsidR="00426055" w:rsidRPr="00020D59">
        <w:rPr>
          <w:rFonts w:cstheme="minorHAnsi"/>
          <w:color w:val="7F7F7F" w:themeColor="text1" w:themeTint="80"/>
          <w:spacing w:val="-3"/>
          <w:sz w:val="20"/>
          <w:szCs w:val="20"/>
          <w:lang w:val="en-GB"/>
        </w:rPr>
        <w:t>30.</w:t>
      </w:r>
      <w:r w:rsidR="00FF1666" w:rsidRPr="00020D59">
        <w:rPr>
          <w:rFonts w:cstheme="minorHAnsi"/>
          <w:color w:val="7F7F7F" w:themeColor="text1" w:themeTint="80"/>
          <w:spacing w:val="-3"/>
          <w:sz w:val="20"/>
          <w:szCs w:val="20"/>
          <w:lang w:val="en-GB"/>
        </w:rPr>
        <w:t>9</w:t>
      </w:r>
      <w:r w:rsidR="00426055" w:rsidRPr="00020D59">
        <w:rPr>
          <w:rFonts w:cstheme="minorHAnsi"/>
          <w:color w:val="7F7F7F" w:themeColor="text1" w:themeTint="80"/>
          <w:spacing w:val="-3"/>
          <w:sz w:val="20"/>
          <w:szCs w:val="20"/>
          <w:lang w:val="en-GB"/>
        </w:rPr>
        <w:t>.</w:t>
      </w:r>
      <w:r w:rsidR="002B1A0D" w:rsidRPr="00020D59">
        <w:rPr>
          <w:rFonts w:cstheme="minorHAnsi"/>
          <w:color w:val="7F7F7F" w:themeColor="text1" w:themeTint="80"/>
          <w:spacing w:val="-3"/>
          <w:sz w:val="20"/>
          <w:szCs w:val="20"/>
          <w:lang w:val="en-GB"/>
        </w:rPr>
        <w:t>201</w:t>
      </w:r>
      <w:r w:rsidR="00700ED8" w:rsidRPr="00020D59">
        <w:rPr>
          <w:rFonts w:cstheme="minorHAnsi"/>
          <w:color w:val="7F7F7F" w:themeColor="text1" w:themeTint="80"/>
          <w:spacing w:val="-3"/>
          <w:sz w:val="20"/>
          <w:szCs w:val="20"/>
          <w:lang w:val="en-GB"/>
        </w:rPr>
        <w:t>7</w:t>
      </w:r>
      <w:r w:rsidRPr="00020D59">
        <w:rPr>
          <w:rFonts w:cstheme="minorHAnsi"/>
          <w:color w:val="7F7F7F" w:themeColor="text1" w:themeTint="80"/>
          <w:spacing w:val="-3"/>
          <w:sz w:val="20"/>
          <w:szCs w:val="20"/>
          <w:lang w:val="en-GB"/>
        </w:rPr>
        <w:tab/>
      </w:r>
      <w:r w:rsidR="003B4530">
        <w:rPr>
          <w:rFonts w:cstheme="minorHAnsi"/>
          <w:color w:val="7F7F7F" w:themeColor="text1" w:themeTint="80"/>
          <w:spacing w:val="-3"/>
          <w:sz w:val="20"/>
          <w:szCs w:val="20"/>
          <w:lang w:val="en-GB"/>
        </w:rPr>
        <w:tab/>
      </w:r>
      <w:r w:rsidRPr="00020D59">
        <w:rPr>
          <w:rFonts w:cstheme="minorHAnsi"/>
          <w:color w:val="7F7F7F" w:themeColor="text1" w:themeTint="80"/>
          <w:spacing w:val="-3"/>
          <w:sz w:val="20"/>
          <w:szCs w:val="20"/>
          <w:lang w:val="en-GB"/>
        </w:rPr>
        <w:t xml:space="preserve"> </w:t>
      </w:r>
      <w:r w:rsidR="00FA1E28" w:rsidRPr="00020D59">
        <w:rPr>
          <w:rFonts w:cstheme="minorHAnsi"/>
          <w:color w:val="7F7F7F" w:themeColor="text1" w:themeTint="80"/>
          <w:spacing w:val="-3"/>
          <w:sz w:val="20"/>
          <w:szCs w:val="20"/>
          <w:lang w:val="en-GB"/>
        </w:rPr>
        <w:t xml:space="preserve">  </w:t>
      </w:r>
      <w:r w:rsidRPr="00020D59">
        <w:rPr>
          <w:rFonts w:cstheme="minorHAnsi"/>
          <w:color w:val="7F7F7F" w:themeColor="text1" w:themeTint="80"/>
          <w:spacing w:val="-3"/>
          <w:sz w:val="20"/>
          <w:szCs w:val="20"/>
          <w:lang w:val="en-GB"/>
        </w:rPr>
        <w:t xml:space="preserve">  </w:t>
      </w:r>
      <w:r w:rsidR="000161D7" w:rsidRPr="00020D59">
        <w:rPr>
          <w:rFonts w:cstheme="minorHAnsi"/>
          <w:color w:val="7F7F7F" w:themeColor="text1" w:themeTint="80"/>
          <w:spacing w:val="-3"/>
          <w:sz w:val="20"/>
          <w:szCs w:val="20"/>
          <w:lang w:val="en-GB"/>
        </w:rPr>
        <w:t>D</w:t>
      </w:r>
      <w:r w:rsidR="00426055" w:rsidRPr="00020D59">
        <w:rPr>
          <w:rFonts w:cstheme="minorHAnsi"/>
          <w:color w:val="7F7F7F" w:themeColor="text1" w:themeTint="80"/>
          <w:spacing w:val="-3"/>
          <w:sz w:val="20"/>
          <w:szCs w:val="20"/>
          <w:vertAlign w:val="subscript"/>
          <w:lang w:val="en-GB"/>
        </w:rPr>
        <w:t>2</w:t>
      </w:r>
      <w:r w:rsidR="00426055" w:rsidRPr="00020D59">
        <w:rPr>
          <w:rFonts w:cstheme="minorHAnsi"/>
          <w:color w:val="7F7F7F" w:themeColor="text1" w:themeTint="80"/>
          <w:spacing w:val="-3"/>
          <w:sz w:val="20"/>
          <w:szCs w:val="20"/>
          <w:lang w:val="en-GB"/>
        </w:rPr>
        <w:t xml:space="preserve"> </w:t>
      </w:r>
      <w:r w:rsidRPr="00020D59">
        <w:rPr>
          <w:rFonts w:cstheme="minorHAnsi"/>
          <w:color w:val="7F7F7F" w:themeColor="text1" w:themeTint="80"/>
          <w:spacing w:val="-3"/>
          <w:sz w:val="20"/>
          <w:szCs w:val="20"/>
          <w:lang w:val="en-GB"/>
        </w:rPr>
        <w:t xml:space="preserve">= </w:t>
      </w:r>
      <w:r w:rsidR="00841F26" w:rsidRPr="00020D59">
        <w:rPr>
          <w:rFonts w:cstheme="minorHAnsi"/>
          <w:color w:val="7F7F7F" w:themeColor="text1" w:themeTint="80"/>
          <w:spacing w:val="-3"/>
          <w:sz w:val="20"/>
          <w:szCs w:val="20"/>
          <w:lang w:val="en-GB"/>
        </w:rPr>
        <w:t xml:space="preserve">HRK </w:t>
      </w:r>
      <w:r w:rsidR="00FF48F6" w:rsidRPr="00020D59">
        <w:rPr>
          <w:rFonts w:cstheme="minorHAnsi"/>
          <w:color w:val="7F7F7F" w:themeColor="text1" w:themeTint="80"/>
          <w:spacing w:val="-3"/>
          <w:sz w:val="20"/>
          <w:szCs w:val="20"/>
          <w:lang w:val="en-GB"/>
        </w:rPr>
        <w:t xml:space="preserve">depreciation </w:t>
      </w:r>
      <w:r w:rsidR="00426055" w:rsidRPr="00020D59">
        <w:rPr>
          <w:rFonts w:cstheme="minorHAnsi"/>
          <w:color w:val="7F7F7F" w:themeColor="text1" w:themeTint="80"/>
          <w:spacing w:val="-3"/>
          <w:sz w:val="20"/>
          <w:szCs w:val="20"/>
          <w:lang w:val="en-GB"/>
        </w:rPr>
        <w:t>30.</w:t>
      </w:r>
      <w:r w:rsidR="00FF1666" w:rsidRPr="00020D59">
        <w:rPr>
          <w:rFonts w:cstheme="minorHAnsi"/>
          <w:color w:val="7F7F7F" w:themeColor="text1" w:themeTint="80"/>
          <w:spacing w:val="-3"/>
          <w:sz w:val="20"/>
          <w:szCs w:val="20"/>
          <w:lang w:val="en-GB"/>
        </w:rPr>
        <w:t>9</w:t>
      </w:r>
      <w:r w:rsidR="00426055" w:rsidRPr="00020D59">
        <w:rPr>
          <w:rFonts w:cstheme="minorHAnsi"/>
          <w:color w:val="7F7F7F" w:themeColor="text1" w:themeTint="80"/>
          <w:spacing w:val="-3"/>
          <w:sz w:val="20"/>
          <w:szCs w:val="20"/>
          <w:lang w:val="en-GB"/>
        </w:rPr>
        <w:t>.</w:t>
      </w:r>
      <w:r w:rsidR="00DE2D21" w:rsidRPr="00020D59">
        <w:rPr>
          <w:rFonts w:cstheme="minorHAnsi"/>
          <w:color w:val="7F7F7F" w:themeColor="text1" w:themeTint="80"/>
          <w:spacing w:val="-3"/>
          <w:sz w:val="20"/>
          <w:szCs w:val="20"/>
          <w:lang w:val="en-GB"/>
        </w:rPr>
        <w:t>201</w:t>
      </w:r>
      <w:r w:rsidR="00700ED8" w:rsidRPr="00020D59">
        <w:rPr>
          <w:rFonts w:cstheme="minorHAnsi"/>
          <w:color w:val="7F7F7F" w:themeColor="text1" w:themeTint="80"/>
          <w:spacing w:val="-3"/>
          <w:sz w:val="20"/>
          <w:szCs w:val="20"/>
          <w:lang w:val="en-GB"/>
        </w:rPr>
        <w:t>8</w:t>
      </w:r>
      <w:r w:rsidRPr="00020D59">
        <w:rPr>
          <w:rFonts w:cstheme="minorHAnsi"/>
          <w:color w:val="7F7F7F" w:themeColor="text1" w:themeTint="80"/>
          <w:spacing w:val="-3"/>
          <w:sz w:val="20"/>
          <w:szCs w:val="20"/>
          <w:lang w:val="en-GB"/>
        </w:rPr>
        <w:t>/</w:t>
      </w:r>
      <w:r w:rsidR="00426055" w:rsidRPr="00020D59">
        <w:rPr>
          <w:rFonts w:cstheme="minorHAnsi"/>
          <w:color w:val="7F7F7F" w:themeColor="text1" w:themeTint="80"/>
          <w:spacing w:val="-3"/>
          <w:sz w:val="20"/>
          <w:szCs w:val="20"/>
          <w:lang w:val="en-GB"/>
        </w:rPr>
        <w:t>30.</w:t>
      </w:r>
      <w:r w:rsidR="00FF1666" w:rsidRPr="00020D59">
        <w:rPr>
          <w:rFonts w:cstheme="minorHAnsi"/>
          <w:color w:val="7F7F7F" w:themeColor="text1" w:themeTint="80"/>
          <w:spacing w:val="-3"/>
          <w:sz w:val="20"/>
          <w:szCs w:val="20"/>
          <w:lang w:val="en-GB"/>
        </w:rPr>
        <w:t>9</w:t>
      </w:r>
      <w:r w:rsidR="00426055" w:rsidRPr="00020D59">
        <w:rPr>
          <w:rFonts w:cstheme="minorHAnsi"/>
          <w:color w:val="7F7F7F" w:themeColor="text1" w:themeTint="80"/>
          <w:spacing w:val="-3"/>
          <w:sz w:val="20"/>
          <w:szCs w:val="20"/>
          <w:lang w:val="en-GB"/>
        </w:rPr>
        <w:t>.</w:t>
      </w:r>
      <w:r w:rsidR="00DE2D21" w:rsidRPr="00020D59">
        <w:rPr>
          <w:rFonts w:cstheme="minorHAnsi"/>
          <w:color w:val="7F7F7F" w:themeColor="text1" w:themeTint="80"/>
          <w:spacing w:val="-3"/>
          <w:sz w:val="20"/>
          <w:szCs w:val="20"/>
          <w:lang w:val="en-GB"/>
        </w:rPr>
        <w:t>201</w:t>
      </w:r>
      <w:r w:rsidR="00700ED8" w:rsidRPr="00020D59">
        <w:rPr>
          <w:rFonts w:cstheme="minorHAnsi"/>
          <w:color w:val="7F7F7F" w:themeColor="text1" w:themeTint="80"/>
          <w:spacing w:val="-3"/>
          <w:sz w:val="20"/>
          <w:szCs w:val="20"/>
          <w:lang w:val="en-GB"/>
        </w:rPr>
        <w:t>7</w:t>
      </w:r>
    </w:p>
    <w:p w14:paraId="13A3CD4E" w14:textId="77777777" w:rsidR="00BF17D9" w:rsidRPr="00020D59" w:rsidRDefault="00BF17D9" w:rsidP="00BF17D9">
      <w:pPr>
        <w:tabs>
          <w:tab w:val="left" w:pos="-720"/>
        </w:tabs>
        <w:suppressAutoHyphens/>
        <w:spacing w:after="0" w:line="240" w:lineRule="auto"/>
        <w:jc w:val="both"/>
        <w:rPr>
          <w:rFonts w:cstheme="minorHAnsi"/>
          <w:spacing w:val="-3"/>
          <w:sz w:val="20"/>
          <w:szCs w:val="20"/>
          <w:lang w:val="en-GB"/>
        </w:rPr>
      </w:pPr>
    </w:p>
    <w:p w14:paraId="0E07D4DF" w14:textId="77777777" w:rsidR="00BF17D9" w:rsidRPr="00395073" w:rsidRDefault="00BF17D9" w:rsidP="00BF17D9">
      <w:pPr>
        <w:tabs>
          <w:tab w:val="left" w:pos="-720"/>
        </w:tabs>
        <w:suppressAutoHyphens/>
        <w:spacing w:after="0" w:line="240" w:lineRule="auto"/>
        <w:jc w:val="both"/>
        <w:rPr>
          <w:rFonts w:cstheme="minorHAnsi"/>
          <w:spacing w:val="-3"/>
          <w:sz w:val="24"/>
          <w:szCs w:val="24"/>
          <w:lang w:val="en-GB"/>
        </w:rPr>
      </w:pPr>
    </w:p>
    <w:p w14:paraId="5D7E36F1" w14:textId="77777777" w:rsidR="00BF17D9" w:rsidRPr="00395073" w:rsidRDefault="00841F26"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Foreign currency and foreign currency indexed assets and sources of funds are converted by HBOR into HRK equivalent value by applying the exchange rate of the Croatian National Bank valid at the reporting date</w:t>
      </w:r>
      <w:r w:rsidR="00BF17D9" w:rsidRPr="00395073">
        <w:rPr>
          <w:rFonts w:cstheme="minorHAnsi"/>
          <w:spacing w:val="-3"/>
          <w:sz w:val="24"/>
          <w:szCs w:val="24"/>
          <w:lang w:val="en-GB"/>
        </w:rPr>
        <w:t xml:space="preserve">. </w:t>
      </w:r>
    </w:p>
    <w:p w14:paraId="4E0EA3C7" w14:textId="77777777" w:rsidR="00BF17D9" w:rsidRPr="00395073" w:rsidRDefault="00BF17D9" w:rsidP="00BF17D9">
      <w:pPr>
        <w:tabs>
          <w:tab w:val="left" w:pos="-720"/>
        </w:tabs>
        <w:suppressAutoHyphens/>
        <w:spacing w:after="0" w:line="240" w:lineRule="auto"/>
        <w:jc w:val="both"/>
        <w:rPr>
          <w:rFonts w:cstheme="minorHAnsi"/>
          <w:spacing w:val="-3"/>
          <w:sz w:val="24"/>
          <w:szCs w:val="24"/>
          <w:lang w:val="en-GB"/>
        </w:rPr>
      </w:pPr>
    </w:p>
    <w:p w14:paraId="22ADD62C" w14:textId="77777777" w:rsidR="00BF17D9" w:rsidRPr="00395073" w:rsidRDefault="00841F26"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Foreign currency revenues and expenditures are converted in accordance with the exchange rate at the transaction date. The resulting foreign exchange gains or losses are recorded in the Statement of Profit or Loss and Other Comprehensive Income in net figures</w:t>
      </w:r>
      <w:r w:rsidR="00BF17D9" w:rsidRPr="00395073">
        <w:rPr>
          <w:rFonts w:cstheme="minorHAnsi"/>
          <w:spacing w:val="-3"/>
          <w:sz w:val="24"/>
          <w:szCs w:val="24"/>
          <w:lang w:val="en-GB"/>
        </w:rPr>
        <w:t>.</w:t>
      </w:r>
    </w:p>
    <w:p w14:paraId="01FE1767" w14:textId="77777777" w:rsidR="00BF17D9" w:rsidRPr="00395073" w:rsidRDefault="00BF17D9" w:rsidP="00BF17D9">
      <w:pPr>
        <w:spacing w:after="0" w:line="240" w:lineRule="auto"/>
        <w:jc w:val="both"/>
        <w:rPr>
          <w:rFonts w:eastAsia="Times New Roman" w:cs="Calibri"/>
          <w:b/>
          <w:i/>
          <w:sz w:val="24"/>
          <w:szCs w:val="24"/>
          <w:lang w:val="en-GB" w:eastAsia="hr-HR"/>
        </w:rPr>
        <w:sectPr w:rsidR="00BF17D9" w:rsidRPr="00395073">
          <w:footerReference w:type="default" r:id="rId32"/>
          <w:pgSz w:w="11906" w:h="16838"/>
          <w:pgMar w:top="1417" w:right="1417" w:bottom="1417" w:left="1417" w:header="708" w:footer="708" w:gutter="0"/>
          <w:cols w:space="708"/>
          <w:docGrid w:linePitch="360"/>
        </w:sectPr>
      </w:pPr>
    </w:p>
    <w:p w14:paraId="0BD46D7D" w14:textId="77777777" w:rsidR="00C96DAA" w:rsidRPr="00395073" w:rsidRDefault="00C96DAA" w:rsidP="00C96DAA">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lastRenderedPageBreak/>
        <w:t>Operating expenses</w:t>
      </w:r>
    </w:p>
    <w:p w14:paraId="6F79082F" w14:textId="77777777" w:rsidR="00C96DAA" w:rsidRPr="00395073" w:rsidRDefault="00C96DAA" w:rsidP="00C96DAA">
      <w:pPr>
        <w:spacing w:after="0" w:line="240" w:lineRule="auto"/>
        <w:jc w:val="both"/>
        <w:rPr>
          <w:rFonts w:eastAsia="Times New Roman" w:cs="Calibri"/>
          <w:b/>
          <w:sz w:val="18"/>
          <w:szCs w:val="20"/>
          <w:lang w:val="en-GB" w:eastAsia="hr-HR"/>
        </w:rPr>
      </w:pPr>
    </w:p>
    <w:p w14:paraId="113BF79E" w14:textId="5C30B9AC" w:rsidR="00C96DAA" w:rsidRPr="00FC3604" w:rsidRDefault="00C96DAA" w:rsidP="00C96DAA">
      <w:pPr>
        <w:tabs>
          <w:tab w:val="left" w:pos="-720"/>
        </w:tabs>
        <w:suppressAutoHyphens/>
        <w:spacing w:after="0" w:line="240" w:lineRule="auto"/>
        <w:jc w:val="both"/>
        <w:rPr>
          <w:rFonts w:cstheme="minorHAnsi"/>
          <w:spacing w:val="-3"/>
          <w:sz w:val="24"/>
          <w:szCs w:val="24"/>
          <w:lang w:val="en-GB"/>
        </w:rPr>
      </w:pPr>
      <w:bookmarkStart w:id="3" w:name="_Hlk530127950"/>
      <w:r w:rsidRPr="00395073">
        <w:rPr>
          <w:rFonts w:cstheme="minorHAnsi"/>
          <w:spacing w:val="-3"/>
          <w:sz w:val="24"/>
          <w:szCs w:val="24"/>
          <w:lang w:val="en-GB"/>
        </w:rPr>
        <w:t xml:space="preserve">Operating expenses that include general and administrative expenses and other operating expenses stood at HRK </w:t>
      </w:r>
      <w:r w:rsidR="00384E24" w:rsidRPr="00395073">
        <w:rPr>
          <w:rFonts w:cstheme="minorHAnsi"/>
          <w:spacing w:val="-3"/>
          <w:sz w:val="24"/>
          <w:szCs w:val="24"/>
          <w:lang w:val="en-GB"/>
        </w:rPr>
        <w:t>119</w:t>
      </w:r>
      <w:r w:rsidRPr="00395073">
        <w:rPr>
          <w:rFonts w:cstheme="minorHAnsi"/>
          <w:spacing w:val="-3"/>
          <w:sz w:val="24"/>
          <w:szCs w:val="24"/>
          <w:lang w:val="en-GB"/>
        </w:rPr>
        <w:t>.</w:t>
      </w:r>
      <w:r w:rsidR="00384E24" w:rsidRPr="00395073">
        <w:rPr>
          <w:rFonts w:cstheme="minorHAnsi"/>
          <w:spacing w:val="-3"/>
          <w:sz w:val="24"/>
          <w:szCs w:val="24"/>
          <w:lang w:val="en-GB"/>
        </w:rPr>
        <w:t>47</w:t>
      </w:r>
      <w:r w:rsidRPr="00395073">
        <w:rPr>
          <w:rFonts w:cstheme="minorHAnsi"/>
          <w:spacing w:val="-3"/>
          <w:sz w:val="24"/>
          <w:szCs w:val="24"/>
          <w:lang w:val="en-GB"/>
        </w:rPr>
        <w:t xml:space="preserve"> million, a</w:t>
      </w:r>
      <w:r w:rsidR="00C31940" w:rsidRPr="00395073">
        <w:rPr>
          <w:rFonts w:cstheme="minorHAnsi"/>
          <w:spacing w:val="-3"/>
          <w:sz w:val="24"/>
          <w:szCs w:val="24"/>
          <w:lang w:val="en-GB"/>
        </w:rPr>
        <w:t>n</w:t>
      </w:r>
      <w:r w:rsidRPr="00395073">
        <w:rPr>
          <w:rFonts w:cstheme="minorHAnsi"/>
          <w:spacing w:val="-3"/>
          <w:sz w:val="24"/>
          <w:szCs w:val="24"/>
          <w:lang w:val="en-GB"/>
        </w:rPr>
        <w:t xml:space="preserve"> </w:t>
      </w:r>
      <w:r w:rsidR="00384E24" w:rsidRPr="00395073">
        <w:rPr>
          <w:rFonts w:cstheme="minorHAnsi"/>
          <w:spacing w:val="-3"/>
          <w:sz w:val="24"/>
          <w:szCs w:val="24"/>
          <w:lang w:val="en-GB"/>
        </w:rPr>
        <w:t>in</w:t>
      </w:r>
      <w:r w:rsidRPr="00395073">
        <w:rPr>
          <w:rFonts w:cstheme="minorHAnsi"/>
          <w:spacing w:val="-3"/>
          <w:sz w:val="24"/>
          <w:szCs w:val="24"/>
          <w:lang w:val="en-GB"/>
        </w:rPr>
        <w:t xml:space="preserve">crease of </w:t>
      </w:r>
      <w:r w:rsidR="00C31940" w:rsidRPr="00395073">
        <w:rPr>
          <w:rFonts w:cstheme="minorHAnsi"/>
          <w:spacing w:val="-3"/>
          <w:sz w:val="24"/>
          <w:szCs w:val="24"/>
          <w:lang w:val="en-GB"/>
        </w:rPr>
        <w:t>11</w:t>
      </w:r>
      <w:r w:rsidRPr="00395073">
        <w:rPr>
          <w:rFonts w:cstheme="minorHAnsi"/>
          <w:spacing w:val="-3"/>
          <w:sz w:val="24"/>
          <w:szCs w:val="24"/>
          <w:lang w:val="en-GB"/>
        </w:rPr>
        <w:t>.</w:t>
      </w:r>
      <w:r w:rsidR="00C31940" w:rsidRPr="00395073">
        <w:rPr>
          <w:rFonts w:cstheme="minorHAnsi"/>
          <w:spacing w:val="-3"/>
          <w:sz w:val="24"/>
          <w:szCs w:val="24"/>
          <w:lang w:val="en-GB"/>
        </w:rPr>
        <w:t>34</w:t>
      </w:r>
      <w:r w:rsidRPr="00395073">
        <w:rPr>
          <w:rFonts w:cstheme="minorHAnsi"/>
          <w:spacing w:val="-3"/>
          <w:sz w:val="24"/>
          <w:szCs w:val="24"/>
          <w:lang w:val="en-GB"/>
        </w:rPr>
        <w:t xml:space="preserve"> percent compared with the same reporting period last year, mostly due to a</w:t>
      </w:r>
      <w:r w:rsidR="00C31940" w:rsidRPr="00395073">
        <w:rPr>
          <w:rFonts w:cstheme="minorHAnsi"/>
          <w:spacing w:val="-3"/>
          <w:sz w:val="24"/>
          <w:szCs w:val="24"/>
          <w:lang w:val="en-GB"/>
        </w:rPr>
        <w:t>n</w:t>
      </w:r>
      <w:r w:rsidRPr="00395073">
        <w:rPr>
          <w:rFonts w:cstheme="minorHAnsi"/>
          <w:spacing w:val="-3"/>
          <w:sz w:val="24"/>
          <w:szCs w:val="24"/>
          <w:lang w:val="en-GB"/>
        </w:rPr>
        <w:t xml:space="preserve"> </w:t>
      </w:r>
      <w:r w:rsidR="00C31940" w:rsidRPr="00395073">
        <w:rPr>
          <w:rFonts w:cstheme="minorHAnsi"/>
          <w:spacing w:val="-3"/>
          <w:sz w:val="24"/>
          <w:szCs w:val="24"/>
          <w:lang w:val="en-GB"/>
        </w:rPr>
        <w:t>in</w:t>
      </w:r>
      <w:r w:rsidRPr="00395073">
        <w:rPr>
          <w:rFonts w:cstheme="minorHAnsi"/>
          <w:spacing w:val="-3"/>
          <w:sz w:val="24"/>
          <w:szCs w:val="24"/>
          <w:lang w:val="en-GB"/>
        </w:rPr>
        <w:t xml:space="preserve">crease in the </w:t>
      </w:r>
      <w:r w:rsidR="00A6349B" w:rsidRPr="00395073">
        <w:rPr>
          <w:rFonts w:cstheme="minorHAnsi"/>
          <w:spacing w:val="-3"/>
          <w:sz w:val="24"/>
          <w:szCs w:val="24"/>
          <w:lang w:val="en-GB"/>
        </w:rPr>
        <w:t>other</w:t>
      </w:r>
      <w:r w:rsidRPr="00395073">
        <w:rPr>
          <w:rFonts w:cstheme="minorHAnsi"/>
          <w:spacing w:val="-3"/>
          <w:sz w:val="24"/>
          <w:szCs w:val="24"/>
          <w:lang w:val="en-GB"/>
        </w:rPr>
        <w:t xml:space="preserve"> expenses of HRK </w:t>
      </w:r>
      <w:r w:rsidR="00C31940" w:rsidRPr="00395073">
        <w:rPr>
          <w:rFonts w:cstheme="minorHAnsi"/>
          <w:spacing w:val="-3"/>
          <w:sz w:val="24"/>
          <w:szCs w:val="24"/>
          <w:lang w:val="en-GB"/>
        </w:rPr>
        <w:t>8</w:t>
      </w:r>
      <w:r w:rsidR="00A6349B" w:rsidRPr="00395073">
        <w:rPr>
          <w:rFonts w:cstheme="minorHAnsi"/>
          <w:spacing w:val="-3"/>
          <w:sz w:val="24"/>
          <w:szCs w:val="24"/>
          <w:lang w:val="en-GB"/>
        </w:rPr>
        <w:t>.</w:t>
      </w:r>
      <w:r w:rsidR="00C31940" w:rsidRPr="00395073">
        <w:rPr>
          <w:rFonts w:cstheme="minorHAnsi"/>
          <w:spacing w:val="-3"/>
          <w:sz w:val="24"/>
          <w:szCs w:val="24"/>
          <w:lang w:val="en-GB"/>
        </w:rPr>
        <w:t>39</w:t>
      </w:r>
      <w:r w:rsidR="00A6349B" w:rsidRPr="00395073">
        <w:rPr>
          <w:rFonts w:cstheme="minorHAnsi"/>
          <w:spacing w:val="-3"/>
          <w:sz w:val="24"/>
          <w:szCs w:val="24"/>
          <w:lang w:val="en-GB"/>
        </w:rPr>
        <w:t xml:space="preserve"> </w:t>
      </w:r>
      <w:r w:rsidRPr="00395073">
        <w:rPr>
          <w:rFonts w:cstheme="minorHAnsi"/>
          <w:spacing w:val="-3"/>
          <w:sz w:val="24"/>
          <w:szCs w:val="24"/>
          <w:lang w:val="en-GB"/>
        </w:rPr>
        <w:t>million</w:t>
      </w:r>
      <w:r w:rsidR="00C31940" w:rsidRPr="00FC3604">
        <w:rPr>
          <w:rFonts w:cstheme="minorHAnsi"/>
          <w:spacing w:val="-3"/>
          <w:sz w:val="24"/>
          <w:szCs w:val="24"/>
          <w:lang w:val="en-GB"/>
        </w:rPr>
        <w:t xml:space="preserve"> </w:t>
      </w:r>
      <w:r w:rsidR="004D51E3" w:rsidRPr="00020D59">
        <w:rPr>
          <w:sz w:val="24"/>
          <w:szCs w:val="24"/>
          <w:lang w:val="en-GB"/>
        </w:rPr>
        <w:t>that relate to recalculations of financial instruments</w:t>
      </w:r>
      <w:r w:rsidRPr="00FC3604">
        <w:rPr>
          <w:rFonts w:cstheme="minorHAnsi"/>
          <w:spacing w:val="-3"/>
          <w:sz w:val="24"/>
          <w:szCs w:val="24"/>
          <w:lang w:val="en-GB"/>
        </w:rPr>
        <w:t xml:space="preserve">. </w:t>
      </w:r>
      <w:bookmarkEnd w:id="3"/>
    </w:p>
    <w:p w14:paraId="44971907" w14:textId="77777777" w:rsidR="00C96DAA" w:rsidRPr="00395073" w:rsidRDefault="00C96DAA" w:rsidP="00C96DAA">
      <w:pPr>
        <w:tabs>
          <w:tab w:val="left" w:pos="-720"/>
        </w:tabs>
        <w:suppressAutoHyphens/>
        <w:spacing w:after="0" w:line="240" w:lineRule="auto"/>
        <w:jc w:val="both"/>
        <w:rPr>
          <w:rFonts w:cstheme="minorHAnsi"/>
          <w:spacing w:val="-3"/>
          <w:sz w:val="18"/>
          <w:szCs w:val="20"/>
          <w:lang w:val="en-GB"/>
        </w:rPr>
      </w:pPr>
    </w:p>
    <w:p w14:paraId="73A7F6F5" w14:textId="77777777" w:rsidR="00C96DAA" w:rsidRPr="00395073" w:rsidRDefault="004066A0" w:rsidP="00C96DAA">
      <w:pPr>
        <w:spacing w:after="0" w:line="240" w:lineRule="auto"/>
        <w:jc w:val="both"/>
        <w:rPr>
          <w:rFonts w:cstheme="minorHAnsi"/>
          <w:sz w:val="24"/>
          <w:szCs w:val="24"/>
          <w:lang w:val="en-GB"/>
        </w:rPr>
      </w:pPr>
      <w:r w:rsidRPr="00395073">
        <w:rPr>
          <w:rFonts w:cstheme="minorHAnsi"/>
          <w:sz w:val="24"/>
          <w:szCs w:val="24"/>
          <w:lang w:val="en-GB"/>
        </w:rPr>
        <w:t xml:space="preserve">As of 30 </w:t>
      </w:r>
      <w:r w:rsidR="00E26555" w:rsidRPr="00395073">
        <w:rPr>
          <w:rFonts w:cstheme="minorHAnsi"/>
          <w:sz w:val="24"/>
          <w:szCs w:val="24"/>
          <w:lang w:val="en-GB"/>
        </w:rPr>
        <w:t>September</w:t>
      </w:r>
      <w:r w:rsidRPr="00395073">
        <w:rPr>
          <w:rFonts w:cstheme="minorHAnsi"/>
          <w:sz w:val="24"/>
          <w:szCs w:val="24"/>
          <w:lang w:val="en-GB"/>
        </w:rPr>
        <w:t xml:space="preserve"> 2018, HBOR had 37</w:t>
      </w:r>
      <w:r w:rsidR="000A7F81" w:rsidRPr="00395073">
        <w:rPr>
          <w:rFonts w:cstheme="minorHAnsi"/>
          <w:sz w:val="24"/>
          <w:szCs w:val="24"/>
          <w:lang w:val="en-GB"/>
        </w:rPr>
        <w:t>1</w:t>
      </w:r>
      <w:r w:rsidRPr="00395073">
        <w:rPr>
          <w:rFonts w:cstheme="minorHAnsi"/>
          <w:sz w:val="24"/>
          <w:szCs w:val="24"/>
          <w:lang w:val="en-GB"/>
        </w:rPr>
        <w:t xml:space="preserve"> employees (as of 30 </w:t>
      </w:r>
      <w:r w:rsidR="00E26555" w:rsidRPr="00395073">
        <w:rPr>
          <w:rFonts w:cstheme="minorHAnsi"/>
          <w:sz w:val="24"/>
          <w:szCs w:val="24"/>
          <w:lang w:val="en-GB"/>
        </w:rPr>
        <w:t>September</w:t>
      </w:r>
      <w:r w:rsidRPr="00395073">
        <w:rPr>
          <w:rFonts w:cstheme="minorHAnsi"/>
          <w:sz w:val="24"/>
          <w:szCs w:val="24"/>
          <w:lang w:val="en-GB"/>
        </w:rPr>
        <w:t xml:space="preserve"> 2017: </w:t>
      </w:r>
      <w:r w:rsidR="00361545" w:rsidRPr="00395073">
        <w:rPr>
          <w:rFonts w:cstheme="minorHAnsi"/>
          <w:sz w:val="24"/>
          <w:szCs w:val="24"/>
          <w:lang w:val="en-GB"/>
        </w:rPr>
        <w:t xml:space="preserve">366 </w:t>
      </w:r>
      <w:r w:rsidRPr="00395073">
        <w:rPr>
          <w:rFonts w:cstheme="minorHAnsi"/>
          <w:sz w:val="24"/>
          <w:szCs w:val="24"/>
          <w:lang w:val="en-GB"/>
        </w:rPr>
        <w:t xml:space="preserve">employees), of which </w:t>
      </w:r>
      <w:r w:rsidR="00F34353" w:rsidRPr="00395073">
        <w:rPr>
          <w:rFonts w:cstheme="minorHAnsi"/>
          <w:sz w:val="24"/>
          <w:szCs w:val="24"/>
          <w:lang w:val="en-GB"/>
        </w:rPr>
        <w:t>5</w:t>
      </w:r>
      <w:r w:rsidRPr="00395073">
        <w:rPr>
          <w:rFonts w:cstheme="minorHAnsi"/>
          <w:sz w:val="24"/>
          <w:szCs w:val="24"/>
          <w:lang w:val="en-GB"/>
        </w:rPr>
        <w:t xml:space="preserve"> employees are in substitution for maternity leave, long-term sick leave and return from unpaid leave.</w:t>
      </w:r>
    </w:p>
    <w:p w14:paraId="0DBA17E8" w14:textId="77777777" w:rsidR="004066A0" w:rsidRPr="00395073" w:rsidRDefault="004066A0" w:rsidP="00C96DAA">
      <w:pPr>
        <w:spacing w:after="0" w:line="240" w:lineRule="auto"/>
        <w:jc w:val="both"/>
        <w:rPr>
          <w:rFonts w:eastAsia="Times New Roman" w:cs="Calibri"/>
          <w:b/>
          <w:i/>
          <w:spacing w:val="-3"/>
          <w:sz w:val="18"/>
          <w:szCs w:val="20"/>
          <w:lang w:val="en-GB" w:eastAsia="hr-HR"/>
        </w:rPr>
      </w:pPr>
    </w:p>
    <w:p w14:paraId="3733DF59" w14:textId="77777777" w:rsidR="00C96DAA" w:rsidRPr="00395073" w:rsidRDefault="00C96DAA" w:rsidP="00C96DAA">
      <w:pPr>
        <w:spacing w:after="0" w:line="240" w:lineRule="auto"/>
        <w:jc w:val="both"/>
        <w:rPr>
          <w:rFonts w:eastAsia="Times New Roman" w:cs="Calibri"/>
          <w:b/>
          <w:i/>
          <w:sz w:val="24"/>
          <w:szCs w:val="24"/>
          <w:lang w:val="en-GB" w:eastAsia="hr-HR"/>
        </w:rPr>
      </w:pPr>
      <w:r w:rsidRPr="00395073">
        <w:rPr>
          <w:rFonts w:eastAsia="Times New Roman" w:cs="Calibri"/>
          <w:b/>
          <w:i/>
          <w:spacing w:val="-3"/>
          <w:sz w:val="24"/>
          <w:szCs w:val="24"/>
          <w:lang w:val="en-GB" w:eastAsia="hr-HR"/>
        </w:rPr>
        <w:t xml:space="preserve">Impairment </w:t>
      </w:r>
      <w:r w:rsidR="00814233" w:rsidRPr="00395073">
        <w:rPr>
          <w:rFonts w:eastAsia="Times New Roman" w:cs="Calibri"/>
          <w:b/>
          <w:i/>
          <w:spacing w:val="-3"/>
          <w:sz w:val="24"/>
          <w:szCs w:val="24"/>
          <w:lang w:val="en-GB" w:eastAsia="hr-HR"/>
        </w:rPr>
        <w:t>gain</w:t>
      </w:r>
      <w:r w:rsidR="00BB46F5" w:rsidRPr="00395073">
        <w:rPr>
          <w:rFonts w:eastAsia="Times New Roman" w:cs="Calibri"/>
          <w:b/>
          <w:i/>
          <w:spacing w:val="-3"/>
          <w:sz w:val="24"/>
          <w:szCs w:val="24"/>
          <w:lang w:val="en-GB" w:eastAsia="hr-HR"/>
        </w:rPr>
        <w:t>/(loss)</w:t>
      </w:r>
      <w:r w:rsidR="00814233" w:rsidRPr="00395073">
        <w:rPr>
          <w:rFonts w:eastAsia="Times New Roman" w:cs="Calibri"/>
          <w:b/>
          <w:i/>
          <w:spacing w:val="-3"/>
          <w:sz w:val="24"/>
          <w:szCs w:val="24"/>
          <w:lang w:val="en-GB" w:eastAsia="hr-HR"/>
        </w:rPr>
        <w:t xml:space="preserve"> </w:t>
      </w:r>
      <w:r w:rsidRPr="00395073">
        <w:rPr>
          <w:rFonts w:eastAsia="Times New Roman" w:cs="Calibri"/>
          <w:b/>
          <w:i/>
          <w:spacing w:val="-3"/>
          <w:sz w:val="24"/>
          <w:szCs w:val="24"/>
          <w:lang w:val="en-GB" w:eastAsia="hr-HR"/>
        </w:rPr>
        <w:t>and provisions</w:t>
      </w:r>
      <w:r w:rsidRPr="00395073">
        <w:rPr>
          <w:rFonts w:eastAsia="Times New Roman" w:cs="Calibri"/>
          <w:b/>
          <w:i/>
          <w:sz w:val="24"/>
          <w:szCs w:val="24"/>
          <w:lang w:val="en-GB" w:eastAsia="hr-HR"/>
        </w:rPr>
        <w:t xml:space="preserve"> </w:t>
      </w:r>
    </w:p>
    <w:p w14:paraId="5C0C186C" w14:textId="77777777" w:rsidR="00C96DAA" w:rsidRPr="00395073" w:rsidRDefault="00C96DAA" w:rsidP="00C96DAA">
      <w:pPr>
        <w:spacing w:after="0" w:line="240" w:lineRule="auto"/>
        <w:jc w:val="both"/>
        <w:rPr>
          <w:rFonts w:eastAsia="Times New Roman" w:cs="Calibri"/>
          <w:b/>
          <w:i/>
          <w:sz w:val="18"/>
          <w:szCs w:val="20"/>
          <w:lang w:val="en-GB" w:eastAsia="hr-HR"/>
        </w:rPr>
      </w:pPr>
    </w:p>
    <w:p w14:paraId="5711BED3" w14:textId="77777777" w:rsidR="00C96DAA" w:rsidRPr="00395073" w:rsidRDefault="00C96DAA" w:rsidP="00C96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222222"/>
          <w:sz w:val="24"/>
          <w:szCs w:val="24"/>
          <w:lang w:val="en-GB"/>
        </w:rPr>
      </w:pPr>
      <w:r w:rsidRPr="00395073">
        <w:rPr>
          <w:rFonts w:cstheme="minorHAnsi"/>
          <w:color w:val="222222"/>
          <w:sz w:val="24"/>
          <w:szCs w:val="24"/>
          <w:lang w:val="en-GB"/>
        </w:rPr>
        <w:t xml:space="preserve">As of 1 January 2018, HBOR has applied the International Financial Reporting Standard (IFRS) 9 </w:t>
      </w:r>
      <w:r w:rsidRPr="00020D59">
        <w:rPr>
          <w:rFonts w:cstheme="minorHAnsi"/>
          <w:color w:val="222222"/>
          <w:sz w:val="24"/>
          <w:szCs w:val="24"/>
          <w:lang w:val="en-GB"/>
        </w:rPr>
        <w:t>Financial instruments</w:t>
      </w:r>
      <w:r w:rsidRPr="00395073">
        <w:rPr>
          <w:rFonts w:cstheme="minorHAnsi"/>
          <w:color w:val="222222"/>
          <w:sz w:val="24"/>
          <w:szCs w:val="24"/>
          <w:lang w:val="en-GB"/>
        </w:rPr>
        <w:t xml:space="preserve"> that introduces significant changes pertaining to the presentation of impairment compared with the previous manner of recognising impairment </w:t>
      </w:r>
      <w:proofErr w:type="gramStart"/>
      <w:r w:rsidRPr="00395073">
        <w:rPr>
          <w:rFonts w:cstheme="minorHAnsi"/>
          <w:color w:val="222222"/>
          <w:sz w:val="24"/>
          <w:szCs w:val="24"/>
          <w:lang w:val="en-GB"/>
        </w:rPr>
        <w:t>on the basis of</w:t>
      </w:r>
      <w:proofErr w:type="gramEnd"/>
      <w:r w:rsidRPr="00395073">
        <w:rPr>
          <w:rFonts w:cstheme="minorHAnsi"/>
          <w:color w:val="222222"/>
          <w:sz w:val="24"/>
          <w:szCs w:val="24"/>
          <w:lang w:val="en-GB"/>
        </w:rPr>
        <w:t xml:space="preserve"> IAS 39.</w:t>
      </w:r>
    </w:p>
    <w:p w14:paraId="5ED28B74" w14:textId="77777777" w:rsidR="00C96DAA" w:rsidRPr="00395073" w:rsidRDefault="00C96DAA" w:rsidP="00C96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18"/>
          <w:szCs w:val="20"/>
          <w:lang w:val="en-GB"/>
        </w:rPr>
      </w:pPr>
    </w:p>
    <w:p w14:paraId="4E3CC312" w14:textId="77777777" w:rsidR="00C96DAA" w:rsidRPr="00395073" w:rsidRDefault="00C96DAA" w:rsidP="00C96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GB"/>
        </w:rPr>
      </w:pPr>
      <w:proofErr w:type="gramStart"/>
      <w:r w:rsidRPr="00395073">
        <w:rPr>
          <w:sz w:val="24"/>
          <w:szCs w:val="24"/>
          <w:lang w:val="en-GB"/>
        </w:rPr>
        <w:t>For the purpose of</w:t>
      </w:r>
      <w:proofErr w:type="gramEnd"/>
      <w:r w:rsidRPr="00395073">
        <w:rPr>
          <w:sz w:val="24"/>
          <w:szCs w:val="24"/>
          <w:lang w:val="en-GB"/>
        </w:rPr>
        <w:t xml:space="preserve"> faster recognition of losses,</w:t>
      </w:r>
      <w:r w:rsidRPr="00395073">
        <w:rPr>
          <w:lang w:val="en-GB"/>
        </w:rPr>
        <w:t xml:space="preserve"> </w:t>
      </w:r>
      <w:r w:rsidRPr="00395073">
        <w:rPr>
          <w:sz w:val="24"/>
          <w:szCs w:val="24"/>
          <w:lang w:val="en-GB"/>
        </w:rPr>
        <w:t xml:space="preserve">a model based on the concept of expected losses was introduced pertaining to instruments that are measured at amortised cost and at fair value through other comprehensive income (non-equity instrument) instead of the previous concept of incurred losses pursuant to IAS 39. </w:t>
      </w:r>
    </w:p>
    <w:p w14:paraId="0C1472E4" w14:textId="77777777" w:rsidR="00C96DAA" w:rsidRPr="00395073" w:rsidRDefault="00C96DAA" w:rsidP="00C96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222222"/>
          <w:sz w:val="18"/>
          <w:szCs w:val="20"/>
          <w:lang w:val="en-GB"/>
        </w:rPr>
      </w:pPr>
    </w:p>
    <w:p w14:paraId="07885725" w14:textId="77777777" w:rsidR="00C96DAA" w:rsidRPr="00395073" w:rsidRDefault="00C96DAA" w:rsidP="00C96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pacing w:val="-3"/>
          <w:sz w:val="24"/>
          <w:szCs w:val="24"/>
          <w:lang w:val="en-GB"/>
        </w:rPr>
      </w:pPr>
      <w:r w:rsidRPr="00395073">
        <w:rPr>
          <w:rFonts w:cstheme="minorHAnsi"/>
          <w:color w:val="222222"/>
          <w:sz w:val="24"/>
          <w:szCs w:val="24"/>
          <w:lang w:val="en-GB"/>
        </w:rPr>
        <w:t xml:space="preserve">Pursuant to the above, as </w:t>
      </w:r>
      <w:proofErr w:type="gramStart"/>
      <w:r w:rsidRPr="00395073">
        <w:rPr>
          <w:rFonts w:cstheme="minorHAnsi"/>
          <w:color w:val="222222"/>
          <w:sz w:val="24"/>
          <w:szCs w:val="24"/>
          <w:lang w:val="en-GB"/>
        </w:rPr>
        <w:t>at</w:t>
      </w:r>
      <w:proofErr w:type="gramEnd"/>
      <w:r w:rsidRPr="00395073">
        <w:rPr>
          <w:rFonts w:cstheme="minorHAnsi"/>
          <w:color w:val="222222"/>
          <w:sz w:val="24"/>
          <w:szCs w:val="24"/>
          <w:lang w:val="en-GB"/>
        </w:rPr>
        <w:t xml:space="preserve"> 1 January 2018, the effects of the application of IFRS 9 were directly recognised in HBOR’s retained earnings and reserves in the amount of HRK 469.66 million.</w:t>
      </w:r>
      <w:r w:rsidRPr="00395073">
        <w:rPr>
          <w:rFonts w:cstheme="minorHAnsi"/>
          <w:spacing w:val="-3"/>
          <w:sz w:val="24"/>
          <w:szCs w:val="24"/>
          <w:lang w:val="en-GB"/>
        </w:rPr>
        <w:t xml:space="preserve"> </w:t>
      </w:r>
    </w:p>
    <w:p w14:paraId="1483D067" w14:textId="77777777" w:rsidR="00C96DAA" w:rsidRPr="00395073" w:rsidRDefault="00C96DAA" w:rsidP="00C96DAA">
      <w:pPr>
        <w:tabs>
          <w:tab w:val="left" w:pos="-720"/>
        </w:tabs>
        <w:spacing w:after="0" w:line="240" w:lineRule="auto"/>
        <w:jc w:val="both"/>
        <w:rPr>
          <w:rFonts w:cstheme="minorHAnsi"/>
          <w:spacing w:val="-3"/>
          <w:sz w:val="18"/>
          <w:szCs w:val="20"/>
          <w:lang w:val="en-GB"/>
        </w:rPr>
      </w:pPr>
    </w:p>
    <w:p w14:paraId="1FDECE78" w14:textId="77777777" w:rsidR="00C96DAA" w:rsidRPr="00395073" w:rsidRDefault="00C96DAA" w:rsidP="00C96DAA">
      <w:pPr>
        <w:tabs>
          <w:tab w:val="left" w:pos="-720"/>
        </w:tabs>
        <w:spacing w:after="0" w:line="240" w:lineRule="auto"/>
        <w:jc w:val="both"/>
        <w:rPr>
          <w:rFonts w:cstheme="minorHAnsi"/>
          <w:sz w:val="24"/>
          <w:szCs w:val="24"/>
          <w:lang w:val="en-GB"/>
        </w:rPr>
      </w:pPr>
      <w:r w:rsidRPr="00395073">
        <w:rPr>
          <w:rFonts w:cstheme="minorHAnsi"/>
          <w:spacing w:val="-3"/>
          <w:sz w:val="24"/>
          <w:szCs w:val="24"/>
          <w:lang w:val="en-GB"/>
        </w:rPr>
        <w:t xml:space="preserve">In the reporting period, net </w:t>
      </w:r>
      <w:r w:rsidR="00F34353" w:rsidRPr="00395073">
        <w:rPr>
          <w:rFonts w:cstheme="minorHAnsi"/>
          <w:spacing w:val="-3"/>
          <w:sz w:val="24"/>
          <w:szCs w:val="24"/>
          <w:lang w:val="en-GB"/>
        </w:rPr>
        <w:t>expenses</w:t>
      </w:r>
      <w:r w:rsidRPr="00395073">
        <w:rPr>
          <w:rFonts w:cstheme="minorHAnsi"/>
          <w:spacing w:val="-3"/>
          <w:sz w:val="24"/>
          <w:szCs w:val="24"/>
          <w:lang w:val="en-GB"/>
        </w:rPr>
        <w:t xml:space="preserve"> from the impairment of placements stood at HRK </w:t>
      </w:r>
      <w:r w:rsidR="00F34353" w:rsidRPr="00395073">
        <w:rPr>
          <w:rFonts w:cstheme="minorHAnsi"/>
          <w:spacing w:val="-3"/>
          <w:sz w:val="24"/>
          <w:szCs w:val="24"/>
          <w:lang w:val="en-GB"/>
        </w:rPr>
        <w:t>134</w:t>
      </w:r>
      <w:r w:rsidRPr="00395073">
        <w:rPr>
          <w:rFonts w:cstheme="minorHAnsi"/>
          <w:spacing w:val="-3"/>
          <w:sz w:val="24"/>
          <w:szCs w:val="24"/>
          <w:lang w:val="en-GB"/>
        </w:rPr>
        <w:t>.</w:t>
      </w:r>
      <w:r w:rsidR="00F34353" w:rsidRPr="00395073">
        <w:rPr>
          <w:rFonts w:cstheme="minorHAnsi"/>
          <w:spacing w:val="-3"/>
          <w:sz w:val="24"/>
          <w:szCs w:val="24"/>
          <w:lang w:val="en-GB"/>
        </w:rPr>
        <w:t>43</w:t>
      </w:r>
      <w:r w:rsidRPr="00395073">
        <w:rPr>
          <w:rFonts w:cstheme="minorHAnsi"/>
          <w:spacing w:val="-3"/>
          <w:sz w:val="24"/>
          <w:szCs w:val="24"/>
          <w:lang w:val="en-GB"/>
        </w:rPr>
        <w:t xml:space="preserve"> million.</w:t>
      </w:r>
    </w:p>
    <w:p w14:paraId="41A39D46" w14:textId="77777777" w:rsidR="00C96DAA" w:rsidRPr="00395073" w:rsidRDefault="00C96DAA" w:rsidP="00C96DAA">
      <w:pPr>
        <w:tabs>
          <w:tab w:val="left" w:pos="-720"/>
        </w:tabs>
        <w:spacing w:after="0" w:line="240" w:lineRule="auto"/>
        <w:jc w:val="both"/>
        <w:rPr>
          <w:rFonts w:cstheme="minorHAnsi"/>
          <w:spacing w:val="-3"/>
          <w:sz w:val="18"/>
          <w:szCs w:val="20"/>
          <w:lang w:val="en-GB"/>
        </w:rPr>
      </w:pPr>
    </w:p>
    <w:p w14:paraId="3CD54B70" w14:textId="77777777" w:rsidR="00C96DAA" w:rsidRPr="00395073" w:rsidRDefault="00C96DAA" w:rsidP="00C96DAA">
      <w:pPr>
        <w:tabs>
          <w:tab w:val="left" w:pos="-720"/>
        </w:tabs>
        <w:spacing w:after="0" w:line="240" w:lineRule="auto"/>
        <w:jc w:val="both"/>
        <w:rPr>
          <w:rFonts w:cstheme="minorHAnsi"/>
          <w:spacing w:val="-3"/>
          <w:sz w:val="24"/>
          <w:szCs w:val="24"/>
          <w:lang w:val="en-GB"/>
        </w:rPr>
      </w:pPr>
      <w:r w:rsidRPr="00395073">
        <w:rPr>
          <w:rFonts w:cstheme="minorHAnsi"/>
          <w:spacing w:val="-3"/>
          <w:sz w:val="24"/>
          <w:szCs w:val="24"/>
          <w:lang w:val="en-GB"/>
        </w:rPr>
        <w:t>The text to follow contains a breakdown of portfolio quality:</w:t>
      </w:r>
    </w:p>
    <w:p w14:paraId="5DBBECB0" w14:textId="77777777" w:rsidR="00C96DAA" w:rsidRPr="00395073" w:rsidRDefault="00C96DAA" w:rsidP="00C96DAA">
      <w:pPr>
        <w:tabs>
          <w:tab w:val="left" w:pos="-720"/>
        </w:tabs>
        <w:suppressAutoHyphens/>
        <w:spacing w:after="0" w:line="240" w:lineRule="auto"/>
        <w:jc w:val="both"/>
        <w:rPr>
          <w:sz w:val="18"/>
          <w:lang w:val="en-GB"/>
        </w:rPr>
      </w:pPr>
    </w:p>
    <w:p w14:paraId="0D741673" w14:textId="7AEC3DD4" w:rsidR="00B168EA" w:rsidRPr="00395073" w:rsidRDefault="002E2097" w:rsidP="00B168EA">
      <w:pPr>
        <w:tabs>
          <w:tab w:val="left" w:pos="4536"/>
        </w:tabs>
        <w:spacing w:after="0" w:line="240" w:lineRule="auto"/>
        <w:ind w:right="-285" w:hanging="284"/>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t xml:space="preserve">  </w:t>
      </w:r>
      <w:r w:rsidR="001D3926" w:rsidRPr="00395073">
        <w:rPr>
          <w:rFonts w:eastAsia="Times New Roman" w:cs="Calibri"/>
          <w:b/>
          <w:i/>
          <w:spacing w:val="-3"/>
          <w:sz w:val="24"/>
          <w:szCs w:val="24"/>
          <w:lang w:val="en-GB" w:eastAsia="hr-HR"/>
        </w:rPr>
        <w:t xml:space="preserve">     </w:t>
      </w:r>
      <w:r w:rsidRPr="00395073">
        <w:rPr>
          <w:rFonts w:eastAsia="Times New Roman" w:cs="Calibri"/>
          <w:b/>
          <w:i/>
          <w:spacing w:val="-3"/>
          <w:sz w:val="24"/>
          <w:szCs w:val="24"/>
          <w:lang w:val="en-GB" w:eastAsia="hr-HR"/>
        </w:rPr>
        <w:t xml:space="preserve">    </w:t>
      </w:r>
      <w:r w:rsidR="001648B5" w:rsidRPr="00395073">
        <w:rPr>
          <w:rFonts w:eastAsia="Times New Roman" w:cs="Calibri"/>
          <w:b/>
          <w:i/>
          <w:noProof/>
          <w:spacing w:val="-3"/>
          <w:sz w:val="24"/>
          <w:szCs w:val="24"/>
          <w:lang w:val="en-GB" w:eastAsia="hr-HR"/>
        </w:rPr>
        <w:drawing>
          <wp:inline distT="0" distB="0" distL="0" distR="0" wp14:anchorId="2B9C9072" wp14:editId="305E3B82">
            <wp:extent cx="2158365" cy="284734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58365" cy="2847340"/>
                    </a:xfrm>
                    <a:prstGeom prst="rect">
                      <a:avLst/>
                    </a:prstGeom>
                    <a:noFill/>
                  </pic:spPr>
                </pic:pic>
              </a:graphicData>
            </a:graphic>
          </wp:inline>
        </w:drawing>
      </w:r>
      <w:r w:rsidRPr="00395073">
        <w:rPr>
          <w:rFonts w:eastAsia="Times New Roman" w:cs="Calibri"/>
          <w:b/>
          <w:i/>
          <w:spacing w:val="-3"/>
          <w:sz w:val="24"/>
          <w:szCs w:val="24"/>
          <w:lang w:val="en-GB" w:eastAsia="hr-HR"/>
        </w:rPr>
        <w:t xml:space="preserve">  </w:t>
      </w:r>
      <w:r w:rsidR="001D3926" w:rsidRPr="00395073">
        <w:rPr>
          <w:rFonts w:eastAsia="Times New Roman" w:cs="Calibri"/>
          <w:b/>
          <w:i/>
          <w:spacing w:val="-3"/>
          <w:sz w:val="24"/>
          <w:szCs w:val="24"/>
          <w:lang w:val="en-GB" w:eastAsia="hr-HR"/>
        </w:rPr>
        <w:t xml:space="preserve">          </w:t>
      </w:r>
      <w:r w:rsidRPr="00395073">
        <w:rPr>
          <w:rFonts w:eastAsia="Times New Roman" w:cs="Calibri"/>
          <w:b/>
          <w:i/>
          <w:spacing w:val="-3"/>
          <w:sz w:val="24"/>
          <w:szCs w:val="24"/>
          <w:lang w:val="en-GB" w:eastAsia="hr-HR"/>
        </w:rPr>
        <w:t xml:space="preserve"> </w:t>
      </w:r>
      <w:r w:rsidR="00D31954" w:rsidRPr="00395073">
        <w:rPr>
          <w:rFonts w:eastAsia="Times New Roman" w:cs="Calibri"/>
          <w:b/>
          <w:i/>
          <w:spacing w:val="-3"/>
          <w:sz w:val="24"/>
          <w:szCs w:val="24"/>
          <w:lang w:val="en-GB" w:eastAsia="hr-HR"/>
        </w:rPr>
        <w:t xml:space="preserve"> </w:t>
      </w:r>
      <w:r w:rsidR="001648B5" w:rsidRPr="00395073">
        <w:rPr>
          <w:rFonts w:eastAsia="Times New Roman" w:cs="Calibri"/>
          <w:b/>
          <w:i/>
          <w:noProof/>
          <w:spacing w:val="-3"/>
          <w:sz w:val="24"/>
          <w:szCs w:val="24"/>
          <w:lang w:val="en-GB" w:eastAsia="hr-HR"/>
        </w:rPr>
        <w:drawing>
          <wp:inline distT="0" distB="0" distL="0" distR="0" wp14:anchorId="2A1DB8C1" wp14:editId="51458560">
            <wp:extent cx="2947615" cy="2844000"/>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47615" cy="2844000"/>
                    </a:xfrm>
                    <a:prstGeom prst="rect">
                      <a:avLst/>
                    </a:prstGeom>
                    <a:noFill/>
                  </pic:spPr>
                </pic:pic>
              </a:graphicData>
            </a:graphic>
          </wp:inline>
        </w:drawing>
      </w:r>
      <w:r w:rsidR="00D31954" w:rsidRPr="00395073">
        <w:rPr>
          <w:rFonts w:eastAsia="Times New Roman" w:cs="Calibri"/>
          <w:b/>
          <w:i/>
          <w:spacing w:val="-3"/>
          <w:sz w:val="24"/>
          <w:szCs w:val="24"/>
          <w:lang w:val="en-GB" w:eastAsia="hr-HR"/>
        </w:rPr>
        <w:t xml:space="preserve"> </w:t>
      </w:r>
      <w:r w:rsidRPr="00395073">
        <w:rPr>
          <w:rFonts w:eastAsia="Times New Roman" w:cs="Calibri"/>
          <w:b/>
          <w:i/>
          <w:spacing w:val="-3"/>
          <w:sz w:val="24"/>
          <w:szCs w:val="24"/>
          <w:lang w:val="en-GB" w:eastAsia="hr-HR"/>
        </w:rPr>
        <w:t xml:space="preserve"> </w:t>
      </w:r>
      <w:r w:rsidR="00C96DAA" w:rsidRPr="00395073">
        <w:rPr>
          <w:rFonts w:eastAsia="Times New Roman" w:cs="Calibri"/>
          <w:b/>
          <w:i/>
          <w:spacing w:val="-3"/>
          <w:sz w:val="24"/>
          <w:szCs w:val="24"/>
          <w:lang w:val="en-GB" w:eastAsia="hr-HR"/>
        </w:rPr>
        <w:t xml:space="preserve"> </w:t>
      </w:r>
      <w:r w:rsidRPr="00395073">
        <w:rPr>
          <w:rFonts w:eastAsia="Times New Roman" w:cs="Calibri"/>
          <w:b/>
          <w:i/>
          <w:spacing w:val="-3"/>
          <w:sz w:val="24"/>
          <w:szCs w:val="24"/>
          <w:lang w:val="en-GB" w:eastAsia="hr-HR"/>
        </w:rPr>
        <w:t xml:space="preserve"> </w:t>
      </w:r>
    </w:p>
    <w:p w14:paraId="398DEC94" w14:textId="77777777" w:rsidR="00B168EA" w:rsidRPr="00395073" w:rsidRDefault="00B168EA" w:rsidP="00B168EA">
      <w:pPr>
        <w:tabs>
          <w:tab w:val="left" w:pos="4536"/>
        </w:tabs>
        <w:spacing w:after="0" w:line="240" w:lineRule="auto"/>
        <w:ind w:right="-285"/>
        <w:jc w:val="both"/>
        <w:rPr>
          <w:rFonts w:eastAsia="Times New Roman" w:cs="Calibri"/>
          <w:spacing w:val="-3"/>
          <w:sz w:val="18"/>
          <w:szCs w:val="18"/>
          <w:lang w:val="en-GB" w:eastAsia="hr-HR"/>
        </w:rPr>
        <w:sectPr w:rsidR="00B168EA" w:rsidRPr="00395073">
          <w:footerReference w:type="default" r:id="rId35"/>
          <w:pgSz w:w="11906" w:h="16838"/>
          <w:pgMar w:top="1417" w:right="1417" w:bottom="1417" w:left="1417" w:header="708" w:footer="708" w:gutter="0"/>
          <w:cols w:space="708"/>
          <w:docGrid w:linePitch="360"/>
        </w:sectPr>
      </w:pPr>
      <w:r w:rsidRPr="00395073">
        <w:rPr>
          <w:rFonts w:eastAsia="Times New Roman" w:cs="Calibri"/>
          <w:spacing w:val="-3"/>
          <w:sz w:val="18"/>
          <w:szCs w:val="18"/>
          <w:lang w:val="en-GB" w:eastAsia="hr-HR"/>
        </w:rPr>
        <w:t xml:space="preserve">*The disclosed financial statements as at and for the year ended on 31 December 2017 under these positions </w:t>
      </w:r>
      <w:proofErr w:type="gramStart"/>
      <w:r w:rsidRPr="00395073">
        <w:rPr>
          <w:rFonts w:eastAsia="Times New Roman" w:cs="Calibri"/>
          <w:spacing w:val="-3"/>
          <w:sz w:val="18"/>
          <w:szCs w:val="18"/>
          <w:lang w:val="en-GB" w:eastAsia="hr-HR"/>
        </w:rPr>
        <w:t>included also</w:t>
      </w:r>
      <w:proofErr w:type="gramEnd"/>
      <w:r w:rsidRPr="00395073">
        <w:rPr>
          <w:rFonts w:eastAsia="Times New Roman" w:cs="Calibri"/>
          <w:spacing w:val="-3"/>
          <w:sz w:val="18"/>
          <w:szCs w:val="18"/>
          <w:lang w:val="en-GB" w:eastAsia="hr-HR"/>
        </w:rPr>
        <w:t xml:space="preserve"> investments in investment funds. </w:t>
      </w:r>
    </w:p>
    <w:p w14:paraId="14B9C974" w14:textId="77777777" w:rsidR="00C96DAA" w:rsidRPr="00395073" w:rsidRDefault="00C96DAA" w:rsidP="00C96DAA">
      <w:pPr>
        <w:spacing w:after="0" w:line="240" w:lineRule="auto"/>
        <w:rPr>
          <w:rFonts w:eastAsia="Times New Roman" w:cs="Calibri"/>
          <w:b/>
          <w:i/>
          <w:spacing w:val="-3"/>
          <w:sz w:val="24"/>
          <w:szCs w:val="24"/>
          <w:lang w:val="en-GB" w:eastAsia="hr-HR"/>
        </w:rPr>
      </w:pPr>
    </w:p>
    <w:tbl>
      <w:tblPr>
        <w:tblW w:w="9923" w:type="dxa"/>
        <w:tblInd w:w="-17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022"/>
        <w:gridCol w:w="1821"/>
        <w:gridCol w:w="1512"/>
        <w:gridCol w:w="2009"/>
        <w:gridCol w:w="1559"/>
      </w:tblGrid>
      <w:tr w:rsidR="007A50AB" w:rsidRPr="00395073" w14:paraId="1791FC06" w14:textId="77777777" w:rsidTr="009C0F17">
        <w:trPr>
          <w:trHeight w:val="267"/>
        </w:trPr>
        <w:tc>
          <w:tcPr>
            <w:tcW w:w="3022" w:type="dxa"/>
            <w:shd w:val="clear" w:color="auto" w:fill="auto"/>
            <w:vAlign w:val="center"/>
            <w:hideMark/>
          </w:tcPr>
          <w:p w14:paraId="367218E5" w14:textId="77777777" w:rsidR="007A50AB" w:rsidRPr="00395073" w:rsidRDefault="007A50AB" w:rsidP="007A50AB">
            <w:pPr>
              <w:spacing w:after="0" w:line="240" w:lineRule="auto"/>
              <w:rPr>
                <w:rFonts w:ascii="Times New Roman" w:eastAsia="Times New Roman" w:hAnsi="Times New Roman" w:cs="Times New Roman"/>
                <w:sz w:val="24"/>
                <w:szCs w:val="24"/>
                <w:lang w:val="en-GB" w:eastAsia="hr-HR"/>
              </w:rPr>
            </w:pPr>
          </w:p>
        </w:tc>
        <w:tc>
          <w:tcPr>
            <w:tcW w:w="3333" w:type="dxa"/>
            <w:gridSpan w:val="2"/>
            <w:shd w:val="clear" w:color="auto" w:fill="auto"/>
            <w:vAlign w:val="center"/>
            <w:hideMark/>
          </w:tcPr>
          <w:p w14:paraId="5231D40B" w14:textId="77777777" w:rsidR="007A50AB" w:rsidRPr="00395073" w:rsidRDefault="007A50AB" w:rsidP="007A50AB">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31 December 2017</w:t>
            </w:r>
          </w:p>
        </w:tc>
        <w:tc>
          <w:tcPr>
            <w:tcW w:w="3568" w:type="dxa"/>
            <w:gridSpan w:val="2"/>
            <w:shd w:val="clear" w:color="auto" w:fill="auto"/>
            <w:vAlign w:val="center"/>
            <w:hideMark/>
          </w:tcPr>
          <w:p w14:paraId="5CA09571" w14:textId="77777777" w:rsidR="007A50AB" w:rsidRPr="00395073" w:rsidRDefault="007A50AB" w:rsidP="007A50AB">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 xml:space="preserve">30 </w:t>
            </w:r>
            <w:r w:rsidR="00E26555" w:rsidRPr="00395073">
              <w:rPr>
                <w:rFonts w:ascii="Calibri" w:eastAsia="Times New Roman" w:hAnsi="Calibri" w:cs="Times New Roman"/>
                <w:b/>
                <w:bCs/>
                <w:color w:val="000000"/>
                <w:lang w:val="en-GB" w:eastAsia="hr-HR"/>
              </w:rPr>
              <w:t>September</w:t>
            </w:r>
            <w:r w:rsidRPr="00395073">
              <w:rPr>
                <w:rFonts w:ascii="Calibri" w:eastAsia="Times New Roman" w:hAnsi="Calibri" w:cs="Times New Roman"/>
                <w:b/>
                <w:bCs/>
                <w:color w:val="000000"/>
                <w:lang w:val="en-GB" w:eastAsia="hr-HR"/>
              </w:rPr>
              <w:t xml:space="preserve"> 2018</w:t>
            </w:r>
          </w:p>
        </w:tc>
      </w:tr>
      <w:tr w:rsidR="00C96DAA" w:rsidRPr="00395073" w14:paraId="142DC4E5" w14:textId="77777777" w:rsidTr="009C0F17">
        <w:trPr>
          <w:trHeight w:val="873"/>
        </w:trPr>
        <w:tc>
          <w:tcPr>
            <w:tcW w:w="3022" w:type="dxa"/>
            <w:shd w:val="clear" w:color="auto" w:fill="auto"/>
            <w:vAlign w:val="center"/>
            <w:hideMark/>
          </w:tcPr>
          <w:p w14:paraId="567E4234" w14:textId="77777777" w:rsidR="00C96DAA" w:rsidRPr="00395073" w:rsidRDefault="00C96DAA" w:rsidP="00DB4942">
            <w:pPr>
              <w:spacing w:after="0" w:line="240" w:lineRule="auto"/>
              <w:jc w:val="center"/>
              <w:rPr>
                <w:rFonts w:ascii="Calibri" w:eastAsia="Times New Roman" w:hAnsi="Calibri" w:cs="Times New Roman"/>
                <w:b/>
                <w:bCs/>
                <w:color w:val="000000"/>
                <w:lang w:val="en-GB" w:eastAsia="hr-HR"/>
              </w:rPr>
            </w:pPr>
          </w:p>
        </w:tc>
        <w:tc>
          <w:tcPr>
            <w:tcW w:w="1821" w:type="dxa"/>
            <w:shd w:val="clear" w:color="auto" w:fill="auto"/>
            <w:vAlign w:val="center"/>
            <w:hideMark/>
          </w:tcPr>
          <w:p w14:paraId="44BE9E6E" w14:textId="77777777" w:rsidR="00C96DAA" w:rsidRPr="00395073" w:rsidRDefault="00C96DAA" w:rsidP="00DB4942">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In HRK millions</w:t>
            </w:r>
          </w:p>
        </w:tc>
        <w:tc>
          <w:tcPr>
            <w:tcW w:w="1512" w:type="dxa"/>
            <w:shd w:val="clear" w:color="auto" w:fill="auto"/>
            <w:vAlign w:val="center"/>
            <w:hideMark/>
          </w:tcPr>
          <w:p w14:paraId="5FD0BE1F" w14:textId="77777777" w:rsidR="00C96DAA" w:rsidRPr="00395073" w:rsidRDefault="00C96DAA" w:rsidP="00DB4942">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Breakdown (percent)</w:t>
            </w:r>
          </w:p>
        </w:tc>
        <w:tc>
          <w:tcPr>
            <w:tcW w:w="2009" w:type="dxa"/>
            <w:shd w:val="clear" w:color="auto" w:fill="auto"/>
            <w:vAlign w:val="center"/>
            <w:hideMark/>
          </w:tcPr>
          <w:p w14:paraId="661A9522" w14:textId="77777777" w:rsidR="00C96DAA" w:rsidRPr="00395073" w:rsidRDefault="00C96DAA" w:rsidP="00DB4942">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 xml:space="preserve">In HRK millions </w:t>
            </w:r>
          </w:p>
        </w:tc>
        <w:tc>
          <w:tcPr>
            <w:tcW w:w="1559" w:type="dxa"/>
            <w:shd w:val="clear" w:color="auto" w:fill="auto"/>
            <w:vAlign w:val="center"/>
            <w:hideMark/>
          </w:tcPr>
          <w:p w14:paraId="24D82C72" w14:textId="77777777" w:rsidR="00C96DAA" w:rsidRPr="00395073" w:rsidRDefault="00C96DAA" w:rsidP="00DB4942">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Breakdown (percent)</w:t>
            </w:r>
          </w:p>
        </w:tc>
      </w:tr>
      <w:tr w:rsidR="00912050" w:rsidRPr="00395073" w14:paraId="4EBB6275" w14:textId="77777777" w:rsidTr="00395073">
        <w:trPr>
          <w:trHeight w:val="411"/>
        </w:trPr>
        <w:tc>
          <w:tcPr>
            <w:tcW w:w="3022" w:type="dxa"/>
            <w:shd w:val="clear" w:color="auto" w:fill="auto"/>
            <w:vAlign w:val="bottom"/>
            <w:hideMark/>
          </w:tcPr>
          <w:p w14:paraId="3AE73080" w14:textId="77777777" w:rsidR="00912050" w:rsidRPr="00395073" w:rsidRDefault="00912050" w:rsidP="00912050">
            <w:pPr>
              <w:spacing w:after="0" w:line="240" w:lineRule="auto"/>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Total gross portfolio</w:t>
            </w:r>
          </w:p>
        </w:tc>
        <w:tc>
          <w:tcPr>
            <w:tcW w:w="1821" w:type="dxa"/>
            <w:tcBorders>
              <w:top w:val="single" w:sz="2" w:space="0" w:color="A6A6A6"/>
              <w:left w:val="single" w:sz="2" w:space="0" w:color="A6A6A6"/>
              <w:bottom w:val="single" w:sz="2" w:space="0" w:color="A6A6A6"/>
              <w:right w:val="single" w:sz="2" w:space="0" w:color="A6A6A6"/>
            </w:tcBorders>
            <w:shd w:val="clear" w:color="auto" w:fill="auto"/>
            <w:vAlign w:val="bottom"/>
          </w:tcPr>
          <w:p w14:paraId="523C77E3" w14:textId="77777777" w:rsidR="00912050" w:rsidRPr="00395073" w:rsidRDefault="00912050" w:rsidP="00912050">
            <w:pPr>
              <w:spacing w:after="0" w:line="240" w:lineRule="auto"/>
              <w:jc w:val="center"/>
              <w:rPr>
                <w:rFonts w:ascii="Calibri" w:eastAsia="Times New Roman" w:hAnsi="Calibri" w:cs="Times New Roman"/>
                <w:b/>
                <w:bCs/>
                <w:color w:val="000000"/>
                <w:lang w:val="en-GB" w:eastAsia="hr-HR"/>
              </w:rPr>
            </w:pPr>
            <w:r w:rsidRPr="00395073">
              <w:rPr>
                <w:b/>
                <w:bCs/>
                <w:color w:val="000000"/>
                <w:lang w:val="en-GB"/>
              </w:rPr>
              <w:t>36,039.89</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74D0340D" w14:textId="77777777" w:rsidR="00912050" w:rsidRPr="00395073" w:rsidRDefault="00912050" w:rsidP="00912050">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100.00</w:t>
            </w:r>
          </w:p>
        </w:tc>
        <w:tc>
          <w:tcPr>
            <w:tcW w:w="2009" w:type="dxa"/>
            <w:shd w:val="clear" w:color="auto" w:fill="auto"/>
            <w:vAlign w:val="bottom"/>
          </w:tcPr>
          <w:p w14:paraId="7269C8D6" w14:textId="77777777" w:rsidR="00912050" w:rsidRPr="00395073" w:rsidRDefault="00912050" w:rsidP="00912050">
            <w:pPr>
              <w:spacing w:after="0" w:line="240" w:lineRule="auto"/>
              <w:jc w:val="center"/>
              <w:rPr>
                <w:b/>
                <w:bCs/>
                <w:color w:val="000000"/>
                <w:lang w:val="en-GB"/>
              </w:rPr>
            </w:pPr>
            <w:r w:rsidRPr="00395073">
              <w:rPr>
                <w:b/>
                <w:bCs/>
                <w:color w:val="000000"/>
                <w:lang w:val="en-GB"/>
              </w:rPr>
              <w:t>35,181.88</w:t>
            </w:r>
          </w:p>
        </w:tc>
        <w:tc>
          <w:tcPr>
            <w:tcW w:w="1559" w:type="dxa"/>
            <w:shd w:val="clear" w:color="auto" w:fill="auto"/>
            <w:vAlign w:val="bottom"/>
          </w:tcPr>
          <w:p w14:paraId="5F4AAC28" w14:textId="77777777" w:rsidR="00912050" w:rsidRPr="00395073" w:rsidRDefault="00912050" w:rsidP="00912050">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100.00</w:t>
            </w:r>
          </w:p>
        </w:tc>
      </w:tr>
      <w:tr w:rsidR="00912050" w:rsidRPr="00395073" w14:paraId="7D43928F" w14:textId="77777777" w:rsidTr="009C0F17">
        <w:trPr>
          <w:trHeight w:val="246"/>
        </w:trPr>
        <w:tc>
          <w:tcPr>
            <w:tcW w:w="3022" w:type="dxa"/>
            <w:shd w:val="clear" w:color="auto" w:fill="auto"/>
            <w:vAlign w:val="bottom"/>
            <w:hideMark/>
          </w:tcPr>
          <w:p w14:paraId="05BCF9E0" w14:textId="77777777" w:rsidR="00912050" w:rsidRPr="00395073" w:rsidRDefault="00912050" w:rsidP="00912050">
            <w:pPr>
              <w:spacing w:after="0" w:line="240" w:lineRule="auto"/>
              <w:rPr>
                <w:rFonts w:ascii="Calibri" w:eastAsia="Times New Roman" w:hAnsi="Calibri" w:cs="Times New Roman"/>
                <w:color w:val="000000"/>
                <w:lang w:val="en-GB" w:eastAsia="hr-HR"/>
              </w:rPr>
            </w:pPr>
            <w:r w:rsidRPr="00395073">
              <w:rPr>
                <w:rFonts w:ascii="Calibri" w:eastAsia="Times New Roman" w:hAnsi="Calibri" w:cs="Times New Roman"/>
                <w:color w:val="000000"/>
                <w:lang w:val="en-GB" w:eastAsia="hr-HR"/>
              </w:rPr>
              <w:t xml:space="preserve"> Of which:</w:t>
            </w:r>
          </w:p>
        </w:tc>
        <w:tc>
          <w:tcPr>
            <w:tcW w:w="1821" w:type="dxa"/>
            <w:tcBorders>
              <w:top w:val="single" w:sz="2" w:space="0" w:color="A6A6A6"/>
              <w:left w:val="single" w:sz="2" w:space="0" w:color="A6A6A6"/>
              <w:bottom w:val="single" w:sz="2" w:space="0" w:color="A6A6A6"/>
              <w:right w:val="single" w:sz="2" w:space="0" w:color="A6A6A6"/>
            </w:tcBorders>
            <w:shd w:val="clear" w:color="auto" w:fill="auto"/>
            <w:vAlign w:val="center"/>
          </w:tcPr>
          <w:p w14:paraId="3DCAB1E9" w14:textId="77777777" w:rsidR="00912050" w:rsidRPr="00395073" w:rsidRDefault="00912050" w:rsidP="00912050">
            <w:pPr>
              <w:spacing w:after="0" w:line="240" w:lineRule="auto"/>
              <w:jc w:val="center"/>
              <w:rPr>
                <w:rFonts w:ascii="Calibri" w:eastAsia="Times New Roman" w:hAnsi="Calibri" w:cs="Times New Roman"/>
                <w:color w:val="00000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2417FF94" w14:textId="77777777" w:rsidR="00912050" w:rsidRPr="00395073" w:rsidRDefault="00912050" w:rsidP="00912050">
            <w:pPr>
              <w:spacing w:after="0" w:line="240" w:lineRule="auto"/>
              <w:jc w:val="center"/>
              <w:rPr>
                <w:rFonts w:ascii="Times New Roman" w:eastAsia="Times New Roman" w:hAnsi="Times New Roman" w:cs="Times New Roman"/>
                <w:sz w:val="20"/>
                <w:szCs w:val="20"/>
                <w:lang w:val="en-GB" w:eastAsia="hr-HR"/>
              </w:rPr>
            </w:pPr>
          </w:p>
        </w:tc>
        <w:tc>
          <w:tcPr>
            <w:tcW w:w="2009" w:type="dxa"/>
            <w:shd w:val="clear" w:color="auto" w:fill="auto"/>
            <w:vAlign w:val="bottom"/>
          </w:tcPr>
          <w:p w14:paraId="47B492A1" w14:textId="77777777" w:rsidR="00912050" w:rsidRPr="00395073" w:rsidRDefault="00912050" w:rsidP="00912050">
            <w:pPr>
              <w:spacing w:after="0" w:line="240" w:lineRule="auto"/>
              <w:jc w:val="center"/>
              <w:rPr>
                <w:b/>
                <w:bCs/>
                <w:color w:val="000000"/>
                <w:lang w:val="en-GB"/>
              </w:rPr>
            </w:pPr>
          </w:p>
        </w:tc>
        <w:tc>
          <w:tcPr>
            <w:tcW w:w="1559" w:type="dxa"/>
            <w:shd w:val="clear" w:color="auto" w:fill="auto"/>
            <w:vAlign w:val="bottom"/>
          </w:tcPr>
          <w:p w14:paraId="7569F75D" w14:textId="77777777" w:rsidR="00912050" w:rsidRPr="00395073" w:rsidRDefault="00912050" w:rsidP="00912050">
            <w:pPr>
              <w:spacing w:after="0" w:line="240" w:lineRule="auto"/>
              <w:jc w:val="center"/>
              <w:rPr>
                <w:rFonts w:ascii="Calibri" w:eastAsia="Times New Roman" w:hAnsi="Calibri" w:cs="Times New Roman"/>
                <w:b/>
                <w:bCs/>
                <w:color w:val="000000"/>
                <w:lang w:val="en-GB" w:eastAsia="hr-HR"/>
              </w:rPr>
            </w:pPr>
          </w:p>
        </w:tc>
      </w:tr>
      <w:tr w:rsidR="009C0F17" w:rsidRPr="00395073" w14:paraId="6667B2DF" w14:textId="77777777" w:rsidTr="009C0F17">
        <w:trPr>
          <w:trHeight w:val="246"/>
        </w:trPr>
        <w:tc>
          <w:tcPr>
            <w:tcW w:w="3022" w:type="dxa"/>
            <w:shd w:val="clear" w:color="auto" w:fill="auto"/>
            <w:vAlign w:val="bottom"/>
            <w:hideMark/>
          </w:tcPr>
          <w:p w14:paraId="245A67D2" w14:textId="77777777" w:rsidR="009C0F17" w:rsidRPr="00395073" w:rsidRDefault="009C0F17" w:rsidP="009C0F17">
            <w:pPr>
              <w:spacing w:after="0" w:line="240" w:lineRule="auto"/>
              <w:rPr>
                <w:rFonts w:ascii="Calibri" w:eastAsia="Times New Roman" w:hAnsi="Calibri" w:cs="Times New Roman"/>
                <w:color w:val="000000"/>
                <w:lang w:val="en-GB" w:eastAsia="hr-HR"/>
              </w:rPr>
            </w:pPr>
            <w:r w:rsidRPr="00395073">
              <w:rPr>
                <w:rFonts w:ascii="Calibri" w:eastAsia="Times New Roman" w:hAnsi="Calibri" w:cs="Times New Roman"/>
                <w:color w:val="000000"/>
                <w:lang w:val="en-GB" w:eastAsia="hr-HR"/>
              </w:rPr>
              <w:t xml:space="preserve">    - financial institutions</w:t>
            </w:r>
          </w:p>
        </w:tc>
        <w:tc>
          <w:tcPr>
            <w:tcW w:w="1821" w:type="dxa"/>
            <w:tcBorders>
              <w:top w:val="single" w:sz="2" w:space="0" w:color="A6A6A6"/>
              <w:left w:val="single" w:sz="2" w:space="0" w:color="A6A6A6"/>
              <w:bottom w:val="single" w:sz="2" w:space="0" w:color="A6A6A6"/>
              <w:right w:val="single" w:sz="2" w:space="0" w:color="A6A6A6"/>
            </w:tcBorders>
            <w:shd w:val="clear" w:color="auto" w:fill="auto"/>
            <w:vAlign w:val="center"/>
          </w:tcPr>
          <w:p w14:paraId="3B4D9E1C" w14:textId="77777777" w:rsidR="009C0F17" w:rsidRPr="00395073" w:rsidRDefault="009C0F17" w:rsidP="009C0F17">
            <w:pPr>
              <w:spacing w:after="0" w:line="240" w:lineRule="auto"/>
              <w:jc w:val="center"/>
              <w:rPr>
                <w:rFonts w:ascii="Calibri" w:eastAsia="Times New Roman" w:hAnsi="Calibri" w:cs="Times New Roman"/>
                <w:color w:val="000000"/>
                <w:lang w:val="en-GB" w:eastAsia="hr-HR"/>
              </w:rPr>
            </w:pPr>
            <w:r w:rsidRPr="00395073">
              <w:rPr>
                <w:color w:val="000000"/>
                <w:lang w:val="en-GB"/>
              </w:rPr>
              <w:t>14,374.59</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2BB76234" w14:textId="77777777" w:rsidR="009C0F17" w:rsidRPr="00395073" w:rsidRDefault="009C0F17" w:rsidP="009C0F17">
            <w:pPr>
              <w:spacing w:after="0" w:line="240" w:lineRule="auto"/>
              <w:jc w:val="center"/>
              <w:rPr>
                <w:rFonts w:ascii="Calibri" w:eastAsia="Times New Roman" w:hAnsi="Calibri" w:cs="Times New Roman"/>
                <w:color w:val="000000"/>
                <w:lang w:val="en-GB" w:eastAsia="hr-HR"/>
              </w:rPr>
            </w:pPr>
            <w:r w:rsidRPr="00395073">
              <w:rPr>
                <w:rFonts w:ascii="Calibri" w:eastAsia="Times New Roman" w:hAnsi="Calibri" w:cs="Times New Roman"/>
                <w:color w:val="000000"/>
                <w:lang w:val="en-GB" w:eastAsia="hr-HR"/>
              </w:rPr>
              <w:t>39.89</w:t>
            </w:r>
          </w:p>
        </w:tc>
        <w:tc>
          <w:tcPr>
            <w:tcW w:w="2009" w:type="dxa"/>
            <w:shd w:val="clear" w:color="auto" w:fill="auto"/>
            <w:vAlign w:val="bottom"/>
          </w:tcPr>
          <w:p w14:paraId="353F2A0D" w14:textId="77777777" w:rsidR="009C0F17" w:rsidRPr="00395073" w:rsidRDefault="009C0F17" w:rsidP="009C0F17">
            <w:pPr>
              <w:spacing w:after="0" w:line="240" w:lineRule="auto"/>
              <w:jc w:val="center"/>
              <w:rPr>
                <w:bCs/>
                <w:color w:val="000000"/>
                <w:lang w:val="en-GB"/>
              </w:rPr>
            </w:pPr>
            <w:r w:rsidRPr="00395073">
              <w:rPr>
                <w:bCs/>
                <w:color w:val="000000"/>
                <w:lang w:val="en-GB"/>
              </w:rPr>
              <w:t>13,255.69</w:t>
            </w:r>
          </w:p>
        </w:tc>
        <w:tc>
          <w:tcPr>
            <w:tcW w:w="1559" w:type="dxa"/>
            <w:shd w:val="clear" w:color="auto" w:fill="auto"/>
            <w:vAlign w:val="bottom"/>
          </w:tcPr>
          <w:p w14:paraId="533D014C" w14:textId="77777777" w:rsidR="009C0F17" w:rsidRPr="00395073" w:rsidRDefault="009C0F17" w:rsidP="009C0F17">
            <w:pPr>
              <w:spacing w:after="0" w:line="240" w:lineRule="auto"/>
              <w:jc w:val="center"/>
              <w:rPr>
                <w:rFonts w:ascii="Calibri" w:eastAsia="Times New Roman" w:hAnsi="Calibri" w:cs="Times New Roman"/>
                <w:bCs/>
                <w:color w:val="000000"/>
                <w:lang w:val="en-GB" w:eastAsia="hr-HR"/>
              </w:rPr>
            </w:pPr>
            <w:r w:rsidRPr="00395073">
              <w:rPr>
                <w:color w:val="000000"/>
                <w:lang w:val="en-GB"/>
              </w:rPr>
              <w:t>37.68</w:t>
            </w:r>
          </w:p>
        </w:tc>
      </w:tr>
      <w:tr w:rsidR="009C0F17" w:rsidRPr="00395073" w14:paraId="779A3FD3" w14:textId="77777777" w:rsidTr="009C0F17">
        <w:trPr>
          <w:trHeight w:val="205"/>
        </w:trPr>
        <w:tc>
          <w:tcPr>
            <w:tcW w:w="3022" w:type="dxa"/>
            <w:shd w:val="clear" w:color="auto" w:fill="auto"/>
            <w:vAlign w:val="bottom"/>
            <w:hideMark/>
          </w:tcPr>
          <w:p w14:paraId="3346154A" w14:textId="77777777" w:rsidR="009C0F17" w:rsidRPr="00395073" w:rsidRDefault="009C0F17" w:rsidP="009C0F17">
            <w:pPr>
              <w:spacing w:after="0" w:line="240" w:lineRule="auto"/>
              <w:rPr>
                <w:rFonts w:ascii="Calibri" w:eastAsia="Times New Roman" w:hAnsi="Calibri" w:cs="Times New Roman"/>
                <w:color w:val="000000"/>
                <w:lang w:val="en-GB" w:eastAsia="hr-HR"/>
              </w:rPr>
            </w:pPr>
            <w:r w:rsidRPr="00395073">
              <w:rPr>
                <w:rFonts w:ascii="Calibri" w:eastAsia="Times New Roman" w:hAnsi="Calibri" w:cs="Times New Roman"/>
                <w:color w:val="000000"/>
                <w:lang w:val="en-GB" w:eastAsia="hr-HR"/>
              </w:rPr>
              <w:t xml:space="preserve">    - direct</w:t>
            </w:r>
          </w:p>
        </w:tc>
        <w:tc>
          <w:tcPr>
            <w:tcW w:w="1821"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2AB9086" w14:textId="77777777" w:rsidR="009C0F17" w:rsidRPr="00395073" w:rsidRDefault="009C0F17" w:rsidP="009C0F17">
            <w:pPr>
              <w:spacing w:after="0" w:line="240" w:lineRule="auto"/>
              <w:jc w:val="center"/>
              <w:rPr>
                <w:rFonts w:ascii="Calibri" w:eastAsia="Times New Roman" w:hAnsi="Calibri" w:cs="Times New Roman"/>
                <w:color w:val="000000"/>
                <w:lang w:val="en-GB" w:eastAsia="hr-HR"/>
              </w:rPr>
            </w:pPr>
            <w:r w:rsidRPr="00395073">
              <w:rPr>
                <w:color w:val="000000"/>
                <w:lang w:val="en-GB"/>
              </w:rPr>
              <w:t>21,665.30</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2AD439F3" w14:textId="77777777" w:rsidR="009C0F17" w:rsidRPr="00395073" w:rsidRDefault="009C0F17" w:rsidP="009C0F17">
            <w:pPr>
              <w:spacing w:after="0" w:line="240" w:lineRule="auto"/>
              <w:jc w:val="center"/>
              <w:rPr>
                <w:rFonts w:ascii="Calibri" w:eastAsia="Times New Roman" w:hAnsi="Calibri" w:cs="Times New Roman"/>
                <w:color w:val="000000"/>
                <w:lang w:val="en-GB" w:eastAsia="hr-HR"/>
              </w:rPr>
            </w:pPr>
            <w:r w:rsidRPr="00395073">
              <w:rPr>
                <w:rFonts w:ascii="Calibri" w:eastAsia="Times New Roman" w:hAnsi="Calibri" w:cs="Times New Roman"/>
                <w:color w:val="000000"/>
                <w:lang w:val="en-GB" w:eastAsia="hr-HR"/>
              </w:rPr>
              <w:t>60.11</w:t>
            </w:r>
          </w:p>
        </w:tc>
        <w:tc>
          <w:tcPr>
            <w:tcW w:w="2009" w:type="dxa"/>
            <w:shd w:val="clear" w:color="auto" w:fill="auto"/>
            <w:vAlign w:val="bottom"/>
          </w:tcPr>
          <w:p w14:paraId="2ABFEDE1" w14:textId="77777777" w:rsidR="009C0F17" w:rsidRPr="00395073" w:rsidRDefault="009C0F17" w:rsidP="009C0F17">
            <w:pPr>
              <w:spacing w:after="0" w:line="240" w:lineRule="auto"/>
              <w:jc w:val="center"/>
              <w:rPr>
                <w:bCs/>
                <w:color w:val="000000"/>
                <w:lang w:val="en-GB"/>
              </w:rPr>
            </w:pPr>
            <w:r w:rsidRPr="00395073">
              <w:rPr>
                <w:bCs/>
                <w:color w:val="000000"/>
                <w:lang w:val="en-GB"/>
              </w:rPr>
              <w:t>21,926.19</w:t>
            </w:r>
          </w:p>
        </w:tc>
        <w:tc>
          <w:tcPr>
            <w:tcW w:w="1559" w:type="dxa"/>
            <w:shd w:val="clear" w:color="auto" w:fill="auto"/>
            <w:vAlign w:val="bottom"/>
          </w:tcPr>
          <w:p w14:paraId="201598F9" w14:textId="77777777" w:rsidR="009C0F17" w:rsidRPr="00395073" w:rsidRDefault="009C0F17" w:rsidP="009C0F17">
            <w:pPr>
              <w:spacing w:after="0" w:line="240" w:lineRule="auto"/>
              <w:jc w:val="center"/>
              <w:rPr>
                <w:rFonts w:ascii="Calibri" w:eastAsia="Times New Roman" w:hAnsi="Calibri" w:cs="Times New Roman"/>
                <w:bCs/>
                <w:color w:val="000000"/>
                <w:lang w:val="en-GB" w:eastAsia="hr-HR"/>
              </w:rPr>
            </w:pPr>
            <w:r w:rsidRPr="00395073">
              <w:rPr>
                <w:color w:val="000000"/>
                <w:lang w:val="en-GB"/>
              </w:rPr>
              <w:t>62.32</w:t>
            </w:r>
          </w:p>
        </w:tc>
      </w:tr>
      <w:tr w:rsidR="009C0F17" w:rsidRPr="00395073" w14:paraId="528AD94C" w14:textId="77777777" w:rsidTr="009C0F17">
        <w:trPr>
          <w:trHeight w:val="205"/>
        </w:trPr>
        <w:tc>
          <w:tcPr>
            <w:tcW w:w="3022" w:type="dxa"/>
            <w:shd w:val="clear" w:color="auto" w:fill="auto"/>
            <w:vAlign w:val="bottom"/>
            <w:hideMark/>
          </w:tcPr>
          <w:p w14:paraId="738F8AC5" w14:textId="77777777" w:rsidR="009C0F17" w:rsidRPr="00395073" w:rsidRDefault="009C0F17" w:rsidP="009C0F17">
            <w:pPr>
              <w:spacing w:after="0" w:line="240" w:lineRule="auto"/>
              <w:rPr>
                <w:rFonts w:ascii="Calibri" w:eastAsia="Times New Roman" w:hAnsi="Calibri" w:cs="Times New Roman"/>
                <w:color w:val="000000"/>
                <w:lang w:val="en-GB" w:eastAsia="hr-HR"/>
              </w:rPr>
            </w:pPr>
          </w:p>
        </w:tc>
        <w:tc>
          <w:tcPr>
            <w:tcW w:w="1821" w:type="dxa"/>
            <w:shd w:val="clear" w:color="auto" w:fill="auto"/>
            <w:vAlign w:val="bottom"/>
          </w:tcPr>
          <w:p w14:paraId="64CB90FD" w14:textId="77777777" w:rsidR="009C0F17" w:rsidRPr="00395073" w:rsidRDefault="009C0F17" w:rsidP="009C0F17">
            <w:pPr>
              <w:spacing w:after="0" w:line="240" w:lineRule="auto"/>
              <w:jc w:val="center"/>
              <w:rPr>
                <w:rFonts w:ascii="Times New Roman" w:eastAsia="Times New Roman" w:hAnsi="Times New Roman" w:cs="Times New Roman"/>
                <w:sz w:val="20"/>
                <w:szCs w:val="2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708629A0" w14:textId="77777777" w:rsidR="009C0F17" w:rsidRPr="00395073" w:rsidRDefault="009C0F17" w:rsidP="009C0F17">
            <w:pPr>
              <w:spacing w:after="0" w:line="240" w:lineRule="auto"/>
              <w:jc w:val="center"/>
              <w:rPr>
                <w:rFonts w:ascii="Times New Roman" w:eastAsia="Times New Roman" w:hAnsi="Times New Roman" w:cs="Times New Roman"/>
                <w:sz w:val="20"/>
                <w:szCs w:val="20"/>
                <w:lang w:val="en-GB" w:eastAsia="hr-HR"/>
              </w:rPr>
            </w:pPr>
          </w:p>
        </w:tc>
        <w:tc>
          <w:tcPr>
            <w:tcW w:w="2009" w:type="dxa"/>
            <w:shd w:val="clear" w:color="auto" w:fill="auto"/>
            <w:vAlign w:val="bottom"/>
          </w:tcPr>
          <w:p w14:paraId="65F7D8A8" w14:textId="77777777" w:rsidR="009C0F17" w:rsidRPr="00395073" w:rsidRDefault="009C0F17" w:rsidP="009C0F17">
            <w:pPr>
              <w:spacing w:after="0" w:line="240" w:lineRule="auto"/>
              <w:jc w:val="center"/>
              <w:rPr>
                <w:b/>
                <w:bCs/>
                <w:color w:val="000000"/>
                <w:lang w:val="en-GB"/>
              </w:rPr>
            </w:pPr>
          </w:p>
        </w:tc>
        <w:tc>
          <w:tcPr>
            <w:tcW w:w="1559" w:type="dxa"/>
            <w:shd w:val="clear" w:color="auto" w:fill="auto"/>
            <w:vAlign w:val="bottom"/>
          </w:tcPr>
          <w:p w14:paraId="703F96D8" w14:textId="77777777" w:rsidR="009C0F17" w:rsidRPr="00395073" w:rsidRDefault="009C0F17" w:rsidP="009C0F17">
            <w:pPr>
              <w:spacing w:after="0" w:line="240" w:lineRule="auto"/>
              <w:jc w:val="center"/>
              <w:rPr>
                <w:rFonts w:ascii="Calibri" w:eastAsia="Times New Roman" w:hAnsi="Calibri" w:cs="Times New Roman"/>
                <w:b/>
                <w:bCs/>
                <w:color w:val="000000"/>
                <w:lang w:val="en-GB" w:eastAsia="hr-HR"/>
              </w:rPr>
            </w:pPr>
          </w:p>
        </w:tc>
      </w:tr>
      <w:tr w:rsidR="009C0F17" w:rsidRPr="00395073" w14:paraId="323113E8" w14:textId="77777777" w:rsidTr="009C0F17">
        <w:trPr>
          <w:trHeight w:val="375"/>
        </w:trPr>
        <w:tc>
          <w:tcPr>
            <w:tcW w:w="3022" w:type="dxa"/>
            <w:shd w:val="clear" w:color="auto" w:fill="auto"/>
            <w:vAlign w:val="bottom"/>
            <w:hideMark/>
          </w:tcPr>
          <w:p w14:paraId="33BF2A20" w14:textId="77777777" w:rsidR="009C0F17" w:rsidRPr="00395073" w:rsidRDefault="009C0F17" w:rsidP="009C0F17">
            <w:pPr>
              <w:spacing w:after="0" w:line="240" w:lineRule="auto"/>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Total provisions</w:t>
            </w:r>
          </w:p>
        </w:tc>
        <w:tc>
          <w:tcPr>
            <w:tcW w:w="1821" w:type="dxa"/>
            <w:tcBorders>
              <w:top w:val="single" w:sz="2" w:space="0" w:color="A6A6A6"/>
              <w:left w:val="single" w:sz="2" w:space="0" w:color="A6A6A6"/>
              <w:bottom w:val="single" w:sz="2" w:space="0" w:color="A6A6A6"/>
              <w:right w:val="single" w:sz="2" w:space="0" w:color="A6A6A6"/>
            </w:tcBorders>
            <w:shd w:val="clear" w:color="auto" w:fill="auto"/>
            <w:vAlign w:val="bottom"/>
          </w:tcPr>
          <w:p w14:paraId="47BFEE95" w14:textId="77777777" w:rsidR="009C0F17" w:rsidRPr="00395073" w:rsidRDefault="009C0F17" w:rsidP="009C0F17">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3,201.97</w:t>
            </w: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bottom"/>
          </w:tcPr>
          <w:p w14:paraId="2930A59E" w14:textId="77777777" w:rsidR="009C0F17" w:rsidRPr="00395073" w:rsidRDefault="009C0F17" w:rsidP="009C0F17">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100.00</w:t>
            </w:r>
          </w:p>
        </w:tc>
        <w:tc>
          <w:tcPr>
            <w:tcW w:w="2009" w:type="dxa"/>
            <w:shd w:val="clear" w:color="auto" w:fill="auto"/>
            <w:vAlign w:val="center"/>
          </w:tcPr>
          <w:p w14:paraId="4A4E6FEC" w14:textId="77777777" w:rsidR="009C0F17" w:rsidRPr="00395073" w:rsidRDefault="009C0F17" w:rsidP="009C0F17">
            <w:pPr>
              <w:spacing w:after="0" w:line="240" w:lineRule="auto"/>
              <w:jc w:val="center"/>
              <w:rPr>
                <w:b/>
                <w:bCs/>
                <w:color w:val="000000"/>
                <w:lang w:val="en-GB"/>
              </w:rPr>
            </w:pPr>
            <w:r w:rsidRPr="00395073">
              <w:rPr>
                <w:b/>
                <w:bCs/>
                <w:color w:val="000000"/>
                <w:lang w:val="en-GB"/>
              </w:rPr>
              <w:t>3,920.15</w:t>
            </w:r>
          </w:p>
        </w:tc>
        <w:tc>
          <w:tcPr>
            <w:tcW w:w="1559" w:type="dxa"/>
            <w:shd w:val="clear" w:color="auto" w:fill="auto"/>
            <w:noWrap/>
            <w:vAlign w:val="bottom"/>
          </w:tcPr>
          <w:p w14:paraId="3E287C30" w14:textId="77777777" w:rsidR="009C0F17" w:rsidRPr="00395073" w:rsidRDefault="009C0F17" w:rsidP="009C0F17">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100.00</w:t>
            </w:r>
          </w:p>
        </w:tc>
      </w:tr>
      <w:tr w:rsidR="009C0F17" w:rsidRPr="00395073" w14:paraId="7EC5373A" w14:textId="77777777" w:rsidTr="009C0F17">
        <w:trPr>
          <w:trHeight w:val="235"/>
        </w:trPr>
        <w:tc>
          <w:tcPr>
            <w:tcW w:w="3022" w:type="dxa"/>
            <w:shd w:val="clear" w:color="auto" w:fill="auto"/>
            <w:vAlign w:val="bottom"/>
            <w:hideMark/>
          </w:tcPr>
          <w:p w14:paraId="1FD57649" w14:textId="77777777" w:rsidR="009C0F17" w:rsidRPr="00395073" w:rsidRDefault="009C0F17" w:rsidP="009C0F17">
            <w:pPr>
              <w:spacing w:after="0" w:line="240" w:lineRule="auto"/>
              <w:rPr>
                <w:rFonts w:ascii="Calibri" w:eastAsia="Times New Roman" w:hAnsi="Calibri" w:cs="Times New Roman"/>
                <w:color w:val="000000"/>
                <w:lang w:val="en-GB" w:eastAsia="hr-HR"/>
              </w:rPr>
            </w:pPr>
            <w:r w:rsidRPr="00395073">
              <w:rPr>
                <w:rFonts w:ascii="Calibri" w:eastAsia="Times New Roman" w:hAnsi="Calibri" w:cs="Times New Roman"/>
                <w:color w:val="000000"/>
                <w:lang w:val="en-GB" w:eastAsia="hr-HR"/>
              </w:rPr>
              <w:t>Of which:</w:t>
            </w:r>
          </w:p>
        </w:tc>
        <w:tc>
          <w:tcPr>
            <w:tcW w:w="1821" w:type="dxa"/>
            <w:tcBorders>
              <w:top w:val="single" w:sz="2" w:space="0" w:color="A6A6A6"/>
              <w:left w:val="single" w:sz="2" w:space="0" w:color="A6A6A6"/>
              <w:bottom w:val="single" w:sz="2" w:space="0" w:color="A6A6A6"/>
              <w:right w:val="single" w:sz="2" w:space="0" w:color="A6A6A6"/>
            </w:tcBorders>
            <w:shd w:val="clear" w:color="auto" w:fill="auto"/>
            <w:vAlign w:val="bottom"/>
          </w:tcPr>
          <w:p w14:paraId="5B27A18A" w14:textId="77777777" w:rsidR="009C0F17" w:rsidRPr="00395073" w:rsidRDefault="009C0F17" w:rsidP="009C0F17">
            <w:pPr>
              <w:spacing w:after="0" w:line="240" w:lineRule="auto"/>
              <w:jc w:val="center"/>
              <w:rPr>
                <w:rFonts w:ascii="Calibri" w:eastAsia="Times New Roman" w:hAnsi="Calibri" w:cs="Times New Roman"/>
                <w:color w:val="00000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bottom"/>
          </w:tcPr>
          <w:p w14:paraId="1A6D0EDD" w14:textId="77777777" w:rsidR="009C0F17" w:rsidRPr="00395073" w:rsidRDefault="009C0F17" w:rsidP="009C0F17">
            <w:pPr>
              <w:spacing w:after="0" w:line="240" w:lineRule="auto"/>
              <w:jc w:val="center"/>
              <w:rPr>
                <w:rFonts w:ascii="Times New Roman" w:eastAsia="Times New Roman" w:hAnsi="Times New Roman" w:cs="Times New Roman"/>
                <w:sz w:val="20"/>
                <w:szCs w:val="20"/>
                <w:lang w:val="en-GB" w:eastAsia="hr-HR"/>
              </w:rPr>
            </w:pPr>
          </w:p>
        </w:tc>
        <w:tc>
          <w:tcPr>
            <w:tcW w:w="2009" w:type="dxa"/>
            <w:shd w:val="clear" w:color="auto" w:fill="auto"/>
            <w:vAlign w:val="bottom"/>
          </w:tcPr>
          <w:p w14:paraId="64E0050E" w14:textId="77777777" w:rsidR="009C0F17" w:rsidRPr="00395073" w:rsidRDefault="009C0F17" w:rsidP="009C0F17">
            <w:pPr>
              <w:spacing w:after="0" w:line="240" w:lineRule="auto"/>
              <w:jc w:val="center"/>
              <w:rPr>
                <w:b/>
                <w:bCs/>
                <w:color w:val="000000"/>
                <w:lang w:val="en-GB"/>
              </w:rPr>
            </w:pPr>
          </w:p>
        </w:tc>
        <w:tc>
          <w:tcPr>
            <w:tcW w:w="1559" w:type="dxa"/>
            <w:shd w:val="clear" w:color="auto" w:fill="auto"/>
            <w:noWrap/>
            <w:vAlign w:val="bottom"/>
          </w:tcPr>
          <w:p w14:paraId="012EE2F3" w14:textId="77777777" w:rsidR="009C0F17" w:rsidRPr="00395073" w:rsidRDefault="009C0F17" w:rsidP="009C0F17">
            <w:pPr>
              <w:spacing w:after="0" w:line="240" w:lineRule="auto"/>
              <w:jc w:val="center"/>
              <w:rPr>
                <w:rFonts w:ascii="Calibri" w:eastAsia="Times New Roman" w:hAnsi="Calibri" w:cs="Times New Roman"/>
                <w:b/>
                <w:bCs/>
                <w:color w:val="000000"/>
                <w:lang w:val="en-GB" w:eastAsia="hr-HR"/>
              </w:rPr>
            </w:pPr>
          </w:p>
        </w:tc>
      </w:tr>
      <w:tr w:rsidR="009C0F17" w:rsidRPr="00395073" w14:paraId="36C4BF7C" w14:textId="77777777" w:rsidTr="009C0F17">
        <w:trPr>
          <w:trHeight w:val="267"/>
        </w:trPr>
        <w:tc>
          <w:tcPr>
            <w:tcW w:w="3022" w:type="dxa"/>
            <w:shd w:val="clear" w:color="auto" w:fill="auto"/>
            <w:vAlign w:val="bottom"/>
            <w:hideMark/>
          </w:tcPr>
          <w:p w14:paraId="6EE499B0" w14:textId="77777777" w:rsidR="009C0F17" w:rsidRPr="00395073" w:rsidRDefault="009C0F17" w:rsidP="009C0F17">
            <w:pPr>
              <w:spacing w:after="0" w:line="240" w:lineRule="auto"/>
              <w:ind w:firstLineChars="100" w:firstLine="220"/>
              <w:rPr>
                <w:rFonts w:ascii="Calibri" w:eastAsia="Times New Roman" w:hAnsi="Calibri" w:cs="Times New Roman"/>
                <w:color w:val="000000"/>
                <w:lang w:val="en-GB" w:eastAsia="hr-HR"/>
              </w:rPr>
            </w:pPr>
            <w:r w:rsidRPr="00395073">
              <w:rPr>
                <w:rFonts w:ascii="Calibri" w:eastAsia="Times New Roman" w:hAnsi="Calibri" w:cs="Times New Roman"/>
                <w:color w:val="000000"/>
                <w:lang w:val="en-GB" w:eastAsia="hr-HR"/>
              </w:rPr>
              <w:t>- financial institutions</w:t>
            </w:r>
          </w:p>
        </w:tc>
        <w:tc>
          <w:tcPr>
            <w:tcW w:w="1821" w:type="dxa"/>
            <w:tcBorders>
              <w:top w:val="single" w:sz="2" w:space="0" w:color="A6A6A6"/>
              <w:left w:val="single" w:sz="2" w:space="0" w:color="A6A6A6"/>
              <w:bottom w:val="single" w:sz="2" w:space="0" w:color="A6A6A6"/>
              <w:right w:val="single" w:sz="2" w:space="0" w:color="A6A6A6"/>
            </w:tcBorders>
            <w:shd w:val="clear" w:color="auto" w:fill="auto"/>
            <w:vAlign w:val="bottom"/>
          </w:tcPr>
          <w:p w14:paraId="52E8F6CA" w14:textId="77777777" w:rsidR="009C0F17" w:rsidRPr="00395073" w:rsidRDefault="009C0F17" w:rsidP="009C0F17">
            <w:pPr>
              <w:spacing w:after="0" w:line="240" w:lineRule="auto"/>
              <w:jc w:val="center"/>
              <w:rPr>
                <w:rFonts w:ascii="Calibri" w:eastAsia="Times New Roman" w:hAnsi="Calibri" w:cs="Times New Roman"/>
                <w:color w:val="000000"/>
                <w:lang w:val="en-GB" w:eastAsia="hr-HR"/>
              </w:rPr>
            </w:pPr>
            <w:r w:rsidRPr="00395073">
              <w:rPr>
                <w:rFonts w:ascii="Calibri" w:eastAsia="Times New Roman" w:hAnsi="Calibri" w:cs="Times New Roman"/>
                <w:color w:val="000000"/>
                <w:lang w:val="en-GB" w:eastAsia="hr-HR"/>
              </w:rPr>
              <w:t>259.82</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4E5074FB" w14:textId="77777777" w:rsidR="009C0F17" w:rsidRPr="00395073" w:rsidRDefault="009C0F17" w:rsidP="009C0F17">
            <w:pPr>
              <w:spacing w:after="0" w:line="240" w:lineRule="auto"/>
              <w:jc w:val="center"/>
              <w:rPr>
                <w:rFonts w:ascii="Calibri" w:eastAsia="Times New Roman" w:hAnsi="Calibri" w:cs="Times New Roman"/>
                <w:color w:val="000000"/>
                <w:lang w:val="en-GB" w:eastAsia="hr-HR"/>
              </w:rPr>
            </w:pPr>
            <w:r w:rsidRPr="00395073">
              <w:rPr>
                <w:rFonts w:ascii="Calibri" w:eastAsia="Times New Roman" w:hAnsi="Calibri" w:cs="Times New Roman"/>
                <w:color w:val="000000"/>
                <w:lang w:val="en-GB" w:eastAsia="hr-HR"/>
              </w:rPr>
              <w:t>8.11</w:t>
            </w:r>
          </w:p>
        </w:tc>
        <w:tc>
          <w:tcPr>
            <w:tcW w:w="2009" w:type="dxa"/>
            <w:shd w:val="clear" w:color="auto" w:fill="auto"/>
            <w:vAlign w:val="bottom"/>
          </w:tcPr>
          <w:p w14:paraId="7FA4939A" w14:textId="77777777" w:rsidR="009C0F17" w:rsidRPr="00395073" w:rsidRDefault="009C0F17" w:rsidP="009C0F17">
            <w:pPr>
              <w:spacing w:after="0" w:line="240" w:lineRule="auto"/>
              <w:jc w:val="center"/>
              <w:rPr>
                <w:bCs/>
                <w:color w:val="000000"/>
                <w:lang w:val="en-GB"/>
              </w:rPr>
            </w:pPr>
            <w:r w:rsidRPr="00395073">
              <w:rPr>
                <w:bCs/>
                <w:color w:val="000000"/>
                <w:lang w:val="en-GB"/>
              </w:rPr>
              <w:t>120.05</w:t>
            </w:r>
          </w:p>
        </w:tc>
        <w:tc>
          <w:tcPr>
            <w:tcW w:w="1559" w:type="dxa"/>
            <w:shd w:val="clear" w:color="auto" w:fill="auto"/>
            <w:noWrap/>
            <w:vAlign w:val="bottom"/>
          </w:tcPr>
          <w:p w14:paraId="67BF73A7" w14:textId="77777777" w:rsidR="009C0F17" w:rsidRPr="00395073" w:rsidRDefault="009C0F17" w:rsidP="009C0F17">
            <w:pPr>
              <w:spacing w:after="0" w:line="240" w:lineRule="auto"/>
              <w:jc w:val="center"/>
              <w:rPr>
                <w:rFonts w:ascii="Calibri" w:eastAsia="Times New Roman" w:hAnsi="Calibri" w:cs="Times New Roman"/>
                <w:bCs/>
                <w:color w:val="000000"/>
                <w:lang w:val="en-GB" w:eastAsia="hr-HR"/>
              </w:rPr>
            </w:pPr>
            <w:r w:rsidRPr="00395073">
              <w:rPr>
                <w:bCs/>
                <w:color w:val="000000"/>
                <w:lang w:val="en-GB"/>
              </w:rPr>
              <w:t>3.06</w:t>
            </w:r>
          </w:p>
        </w:tc>
      </w:tr>
      <w:tr w:rsidR="009C0F17" w:rsidRPr="00395073" w14:paraId="459B355E" w14:textId="77777777" w:rsidTr="009C0F17">
        <w:trPr>
          <w:trHeight w:val="205"/>
        </w:trPr>
        <w:tc>
          <w:tcPr>
            <w:tcW w:w="3022" w:type="dxa"/>
            <w:shd w:val="clear" w:color="auto" w:fill="auto"/>
            <w:vAlign w:val="bottom"/>
            <w:hideMark/>
          </w:tcPr>
          <w:p w14:paraId="34F2CE84" w14:textId="77777777" w:rsidR="009C0F17" w:rsidRPr="00395073" w:rsidRDefault="009C0F17" w:rsidP="009C0F17">
            <w:pPr>
              <w:spacing w:after="0" w:line="240" w:lineRule="auto"/>
              <w:ind w:firstLineChars="100" w:firstLine="220"/>
              <w:rPr>
                <w:rFonts w:ascii="Calibri" w:eastAsia="Times New Roman" w:hAnsi="Calibri" w:cs="Times New Roman"/>
                <w:color w:val="000000"/>
                <w:lang w:val="en-GB" w:eastAsia="hr-HR"/>
              </w:rPr>
            </w:pPr>
            <w:r w:rsidRPr="00395073">
              <w:rPr>
                <w:rFonts w:ascii="Calibri" w:eastAsia="Times New Roman" w:hAnsi="Calibri" w:cs="Times New Roman"/>
                <w:color w:val="000000"/>
                <w:lang w:val="en-GB" w:eastAsia="hr-HR"/>
              </w:rPr>
              <w:t>- direct</w:t>
            </w:r>
          </w:p>
        </w:tc>
        <w:tc>
          <w:tcPr>
            <w:tcW w:w="1821" w:type="dxa"/>
            <w:tcBorders>
              <w:top w:val="single" w:sz="2" w:space="0" w:color="A6A6A6"/>
              <w:left w:val="single" w:sz="2" w:space="0" w:color="A6A6A6"/>
              <w:bottom w:val="single" w:sz="2" w:space="0" w:color="A6A6A6"/>
              <w:right w:val="single" w:sz="2" w:space="0" w:color="A6A6A6"/>
            </w:tcBorders>
            <w:shd w:val="clear" w:color="auto" w:fill="auto"/>
            <w:vAlign w:val="bottom"/>
          </w:tcPr>
          <w:p w14:paraId="61E968F4" w14:textId="77777777" w:rsidR="009C0F17" w:rsidRPr="00395073" w:rsidRDefault="009C0F17" w:rsidP="009C0F17">
            <w:pPr>
              <w:spacing w:after="0" w:line="240" w:lineRule="auto"/>
              <w:jc w:val="center"/>
              <w:rPr>
                <w:rFonts w:ascii="Calibri" w:eastAsia="Times New Roman" w:hAnsi="Calibri" w:cs="Times New Roman"/>
                <w:color w:val="000000"/>
                <w:lang w:val="en-GB" w:eastAsia="hr-HR"/>
              </w:rPr>
            </w:pPr>
            <w:r w:rsidRPr="00395073">
              <w:rPr>
                <w:rFonts w:ascii="Calibri" w:eastAsia="Times New Roman" w:hAnsi="Calibri" w:cs="Times New Roman"/>
                <w:color w:val="000000"/>
                <w:lang w:val="en-GB" w:eastAsia="hr-HR"/>
              </w:rPr>
              <w:t>2,942.15</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526C5206" w14:textId="77777777" w:rsidR="009C0F17" w:rsidRPr="00395073" w:rsidRDefault="009C0F17" w:rsidP="009C0F17">
            <w:pPr>
              <w:spacing w:after="0" w:line="240" w:lineRule="auto"/>
              <w:jc w:val="center"/>
              <w:rPr>
                <w:rFonts w:ascii="Calibri" w:eastAsia="Times New Roman" w:hAnsi="Calibri" w:cs="Times New Roman"/>
                <w:color w:val="000000"/>
                <w:lang w:val="en-GB" w:eastAsia="hr-HR"/>
              </w:rPr>
            </w:pPr>
            <w:r w:rsidRPr="00395073">
              <w:rPr>
                <w:rFonts w:ascii="Calibri" w:eastAsia="Times New Roman" w:hAnsi="Calibri" w:cs="Times New Roman"/>
                <w:color w:val="000000"/>
                <w:lang w:val="en-GB" w:eastAsia="hr-HR"/>
              </w:rPr>
              <w:t>91.89</w:t>
            </w:r>
          </w:p>
        </w:tc>
        <w:tc>
          <w:tcPr>
            <w:tcW w:w="2009" w:type="dxa"/>
            <w:shd w:val="clear" w:color="auto" w:fill="auto"/>
            <w:vAlign w:val="bottom"/>
          </w:tcPr>
          <w:p w14:paraId="209393E9" w14:textId="77777777" w:rsidR="009C0F17" w:rsidRPr="00395073" w:rsidRDefault="009C0F17" w:rsidP="009C0F17">
            <w:pPr>
              <w:spacing w:after="0" w:line="240" w:lineRule="auto"/>
              <w:jc w:val="center"/>
              <w:rPr>
                <w:bCs/>
                <w:color w:val="000000"/>
                <w:lang w:val="en-GB"/>
              </w:rPr>
            </w:pPr>
            <w:r w:rsidRPr="00395073">
              <w:rPr>
                <w:bCs/>
                <w:color w:val="000000"/>
                <w:lang w:val="en-GB"/>
              </w:rPr>
              <w:t>3,800.10</w:t>
            </w:r>
          </w:p>
        </w:tc>
        <w:tc>
          <w:tcPr>
            <w:tcW w:w="1559" w:type="dxa"/>
            <w:shd w:val="clear" w:color="auto" w:fill="auto"/>
            <w:noWrap/>
            <w:vAlign w:val="bottom"/>
          </w:tcPr>
          <w:p w14:paraId="589E226B" w14:textId="77777777" w:rsidR="009C0F17" w:rsidRPr="00395073" w:rsidRDefault="009C0F17" w:rsidP="009C0F17">
            <w:pPr>
              <w:spacing w:after="0" w:line="240" w:lineRule="auto"/>
              <w:jc w:val="center"/>
              <w:rPr>
                <w:rFonts w:ascii="Calibri" w:eastAsia="Times New Roman" w:hAnsi="Calibri" w:cs="Times New Roman"/>
                <w:bCs/>
                <w:color w:val="000000"/>
                <w:lang w:val="en-GB" w:eastAsia="hr-HR"/>
              </w:rPr>
            </w:pPr>
            <w:r w:rsidRPr="00395073">
              <w:rPr>
                <w:bCs/>
                <w:color w:val="000000"/>
                <w:lang w:val="en-GB"/>
              </w:rPr>
              <w:t>96.94</w:t>
            </w:r>
          </w:p>
        </w:tc>
      </w:tr>
      <w:tr w:rsidR="009C0F17" w:rsidRPr="00395073" w14:paraId="11389717" w14:textId="77777777" w:rsidTr="009C0F17">
        <w:trPr>
          <w:trHeight w:val="205"/>
        </w:trPr>
        <w:tc>
          <w:tcPr>
            <w:tcW w:w="3022" w:type="dxa"/>
            <w:shd w:val="clear" w:color="auto" w:fill="auto"/>
            <w:vAlign w:val="bottom"/>
            <w:hideMark/>
          </w:tcPr>
          <w:p w14:paraId="6E5B3076" w14:textId="77777777" w:rsidR="009C0F17" w:rsidRPr="00395073" w:rsidRDefault="009C0F17" w:rsidP="009C0F17">
            <w:pPr>
              <w:spacing w:after="0" w:line="240" w:lineRule="auto"/>
              <w:rPr>
                <w:rFonts w:ascii="Calibri" w:eastAsia="Times New Roman" w:hAnsi="Calibri" w:cs="Times New Roman"/>
                <w:color w:val="000000"/>
                <w:lang w:val="en-GB" w:eastAsia="hr-HR"/>
              </w:rPr>
            </w:pPr>
          </w:p>
        </w:tc>
        <w:tc>
          <w:tcPr>
            <w:tcW w:w="1821" w:type="dxa"/>
            <w:tcBorders>
              <w:top w:val="single" w:sz="2" w:space="0" w:color="A6A6A6"/>
              <w:left w:val="single" w:sz="2" w:space="0" w:color="A6A6A6"/>
              <w:bottom w:val="single" w:sz="2" w:space="0" w:color="A6A6A6"/>
              <w:right w:val="single" w:sz="2" w:space="0" w:color="A6A6A6"/>
            </w:tcBorders>
            <w:shd w:val="clear" w:color="auto" w:fill="auto"/>
            <w:vAlign w:val="bottom"/>
          </w:tcPr>
          <w:p w14:paraId="3B5F0C7D" w14:textId="77777777" w:rsidR="009C0F17" w:rsidRPr="00395073" w:rsidRDefault="009C0F17" w:rsidP="009C0F17">
            <w:pPr>
              <w:spacing w:after="0" w:line="240" w:lineRule="auto"/>
              <w:ind w:firstLineChars="100" w:firstLine="200"/>
              <w:jc w:val="center"/>
              <w:rPr>
                <w:rFonts w:ascii="Times New Roman" w:eastAsia="Times New Roman" w:hAnsi="Times New Roman" w:cs="Times New Roman"/>
                <w:sz w:val="20"/>
                <w:szCs w:val="2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bottom"/>
          </w:tcPr>
          <w:p w14:paraId="486EE75C" w14:textId="77777777" w:rsidR="009C0F17" w:rsidRPr="00395073" w:rsidRDefault="009C0F17" w:rsidP="009C0F17">
            <w:pPr>
              <w:spacing w:after="0" w:line="240" w:lineRule="auto"/>
              <w:jc w:val="center"/>
              <w:rPr>
                <w:rFonts w:ascii="Times New Roman" w:eastAsia="Times New Roman" w:hAnsi="Times New Roman" w:cs="Times New Roman"/>
                <w:sz w:val="20"/>
                <w:szCs w:val="20"/>
                <w:lang w:val="en-GB" w:eastAsia="hr-HR"/>
              </w:rPr>
            </w:pPr>
          </w:p>
        </w:tc>
        <w:tc>
          <w:tcPr>
            <w:tcW w:w="2009" w:type="dxa"/>
            <w:shd w:val="clear" w:color="auto" w:fill="auto"/>
            <w:vAlign w:val="bottom"/>
          </w:tcPr>
          <w:p w14:paraId="61AE86FE" w14:textId="77777777" w:rsidR="009C0F17" w:rsidRPr="00395073" w:rsidRDefault="009C0F17" w:rsidP="009C0F17">
            <w:pPr>
              <w:spacing w:after="0" w:line="240" w:lineRule="auto"/>
              <w:jc w:val="center"/>
              <w:rPr>
                <w:b/>
                <w:bCs/>
                <w:color w:val="000000"/>
                <w:lang w:val="en-GB"/>
              </w:rPr>
            </w:pPr>
          </w:p>
        </w:tc>
        <w:tc>
          <w:tcPr>
            <w:tcW w:w="1559" w:type="dxa"/>
            <w:shd w:val="clear" w:color="auto" w:fill="auto"/>
            <w:noWrap/>
            <w:vAlign w:val="bottom"/>
          </w:tcPr>
          <w:p w14:paraId="7F7D9E8E" w14:textId="77777777" w:rsidR="009C0F17" w:rsidRPr="00395073" w:rsidRDefault="009C0F17" w:rsidP="009C0F17">
            <w:pPr>
              <w:spacing w:after="0" w:line="240" w:lineRule="auto"/>
              <w:jc w:val="center"/>
              <w:rPr>
                <w:rFonts w:ascii="Calibri" w:eastAsia="Times New Roman" w:hAnsi="Calibri" w:cs="Times New Roman"/>
                <w:b/>
                <w:bCs/>
                <w:color w:val="000000"/>
                <w:lang w:val="en-GB" w:eastAsia="hr-HR"/>
              </w:rPr>
            </w:pPr>
          </w:p>
        </w:tc>
      </w:tr>
      <w:tr w:rsidR="009C0F17" w:rsidRPr="00395073" w14:paraId="7BF2B22B" w14:textId="77777777" w:rsidTr="00395073">
        <w:trPr>
          <w:trHeight w:val="410"/>
        </w:trPr>
        <w:tc>
          <w:tcPr>
            <w:tcW w:w="3022" w:type="dxa"/>
            <w:shd w:val="clear" w:color="auto" w:fill="auto"/>
            <w:vAlign w:val="bottom"/>
            <w:hideMark/>
          </w:tcPr>
          <w:p w14:paraId="4308F73E" w14:textId="77777777" w:rsidR="009C0F17" w:rsidRPr="00395073" w:rsidRDefault="009C0F17" w:rsidP="009C0F17">
            <w:pPr>
              <w:spacing w:after="0" w:line="240" w:lineRule="auto"/>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Provisions/gross portfolio</w:t>
            </w:r>
          </w:p>
        </w:tc>
        <w:tc>
          <w:tcPr>
            <w:tcW w:w="1821" w:type="dxa"/>
            <w:tcBorders>
              <w:top w:val="single" w:sz="2" w:space="0" w:color="A6A6A6"/>
              <w:left w:val="single" w:sz="2" w:space="0" w:color="A6A6A6"/>
              <w:bottom w:val="single" w:sz="2" w:space="0" w:color="A6A6A6"/>
              <w:right w:val="single" w:sz="2" w:space="0" w:color="A6A6A6"/>
            </w:tcBorders>
            <w:shd w:val="clear" w:color="auto" w:fill="auto"/>
            <w:vAlign w:val="bottom"/>
          </w:tcPr>
          <w:p w14:paraId="4A01CD9B" w14:textId="77777777" w:rsidR="009C0F17" w:rsidRPr="00395073" w:rsidRDefault="009C0F17" w:rsidP="009C0F17">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8.88 percent</w:t>
            </w: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bottom"/>
          </w:tcPr>
          <w:p w14:paraId="4239831B" w14:textId="77777777" w:rsidR="009C0F17" w:rsidRPr="00395073" w:rsidRDefault="009C0F17" w:rsidP="009C0F17">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w:t>
            </w:r>
          </w:p>
        </w:tc>
        <w:tc>
          <w:tcPr>
            <w:tcW w:w="2009" w:type="dxa"/>
            <w:shd w:val="clear" w:color="auto" w:fill="auto"/>
            <w:vAlign w:val="bottom"/>
          </w:tcPr>
          <w:p w14:paraId="33678DCF" w14:textId="77777777" w:rsidR="009C0F17" w:rsidRPr="00395073" w:rsidRDefault="009C0F17" w:rsidP="009C0F17">
            <w:pPr>
              <w:spacing w:after="0" w:line="240" w:lineRule="auto"/>
              <w:jc w:val="center"/>
              <w:rPr>
                <w:b/>
                <w:bCs/>
                <w:color w:val="000000"/>
                <w:lang w:val="en-GB"/>
              </w:rPr>
            </w:pPr>
            <w:r w:rsidRPr="00395073">
              <w:rPr>
                <w:b/>
                <w:bCs/>
                <w:color w:val="000000"/>
                <w:lang w:val="en-GB"/>
              </w:rPr>
              <w:t>11.14 percent</w:t>
            </w:r>
          </w:p>
        </w:tc>
        <w:tc>
          <w:tcPr>
            <w:tcW w:w="1559" w:type="dxa"/>
            <w:shd w:val="clear" w:color="auto" w:fill="auto"/>
            <w:noWrap/>
            <w:vAlign w:val="bottom"/>
          </w:tcPr>
          <w:p w14:paraId="26B8005D" w14:textId="77777777" w:rsidR="009C0F17" w:rsidRPr="00395073" w:rsidRDefault="009C0F17" w:rsidP="009C0F17">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w:t>
            </w:r>
          </w:p>
        </w:tc>
      </w:tr>
    </w:tbl>
    <w:p w14:paraId="28AA1947" w14:textId="77777777" w:rsidR="00C96DAA" w:rsidRPr="00395073" w:rsidRDefault="00C96DAA" w:rsidP="00C96DAA">
      <w:pPr>
        <w:spacing w:after="0" w:line="240" w:lineRule="auto"/>
        <w:rPr>
          <w:rFonts w:eastAsia="Times New Roman" w:cs="Calibri"/>
          <w:b/>
          <w:i/>
          <w:spacing w:val="-3"/>
          <w:sz w:val="24"/>
          <w:szCs w:val="24"/>
          <w:lang w:val="en-GB" w:eastAsia="hr-HR"/>
        </w:rPr>
      </w:pPr>
    </w:p>
    <w:p w14:paraId="209883CC" w14:textId="77777777" w:rsidR="00C96DAA" w:rsidRPr="00395073" w:rsidRDefault="00C96DAA" w:rsidP="00C96DAA">
      <w:pPr>
        <w:spacing w:after="0" w:line="240" w:lineRule="auto"/>
        <w:rPr>
          <w:rFonts w:eastAsia="Times New Roman" w:cs="Calibri"/>
          <w:spacing w:val="-3"/>
          <w:sz w:val="24"/>
          <w:szCs w:val="24"/>
          <w:lang w:val="en-GB" w:eastAsia="hr-HR"/>
        </w:rPr>
      </w:pPr>
    </w:p>
    <w:p w14:paraId="1604FC22" w14:textId="77777777" w:rsidR="00C96DAA" w:rsidRPr="00395073" w:rsidRDefault="00C96DAA" w:rsidP="00C96DAA">
      <w:pPr>
        <w:spacing w:after="0" w:line="240" w:lineRule="auto"/>
        <w:jc w:val="both"/>
        <w:rPr>
          <w:rFonts w:eastAsia="Times New Roman" w:cs="Calibri"/>
          <w:spacing w:val="-3"/>
          <w:sz w:val="24"/>
          <w:szCs w:val="24"/>
          <w:lang w:val="en-GB" w:eastAsia="hr-HR"/>
        </w:rPr>
        <w:sectPr w:rsidR="00C96DAA" w:rsidRPr="00395073">
          <w:footerReference w:type="default" r:id="rId36"/>
          <w:pgSz w:w="11906" w:h="16838"/>
          <w:pgMar w:top="1417" w:right="1417" w:bottom="1417" w:left="1417" w:header="708" w:footer="708" w:gutter="0"/>
          <w:cols w:space="708"/>
          <w:docGrid w:linePitch="360"/>
        </w:sectPr>
      </w:pPr>
    </w:p>
    <w:p w14:paraId="584961B7" w14:textId="77777777" w:rsidR="00C96DAA" w:rsidRPr="00395073" w:rsidRDefault="00C96DAA" w:rsidP="00C96DAA">
      <w:pPr>
        <w:tabs>
          <w:tab w:val="left" w:pos="-720"/>
        </w:tabs>
        <w:spacing w:after="0" w:line="240" w:lineRule="auto"/>
        <w:jc w:val="both"/>
        <w:rPr>
          <w:rFonts w:ascii="Calibri" w:hAnsi="Calibri" w:cs="Calibri"/>
          <w:b/>
          <w:spacing w:val="-3"/>
          <w:sz w:val="24"/>
          <w:szCs w:val="24"/>
          <w:lang w:val="en-GB"/>
        </w:rPr>
      </w:pPr>
      <w:r w:rsidRPr="00395073">
        <w:rPr>
          <w:rFonts w:ascii="Calibri" w:hAnsi="Calibri" w:cs="Calibri"/>
          <w:b/>
          <w:spacing w:val="-3"/>
          <w:sz w:val="24"/>
          <w:szCs w:val="24"/>
          <w:lang w:val="en-GB"/>
        </w:rPr>
        <w:lastRenderedPageBreak/>
        <w:t>Significant changes in financial position</w:t>
      </w:r>
    </w:p>
    <w:p w14:paraId="1236A09F" w14:textId="77777777" w:rsidR="00C96DAA" w:rsidRPr="00395073" w:rsidRDefault="00C96DAA" w:rsidP="00C96DAA">
      <w:pPr>
        <w:spacing w:after="0" w:line="240" w:lineRule="auto"/>
        <w:jc w:val="both"/>
        <w:rPr>
          <w:rFonts w:eastAsia="Times New Roman" w:cs="Calibri"/>
          <w:spacing w:val="-3"/>
          <w:sz w:val="24"/>
          <w:szCs w:val="24"/>
          <w:lang w:val="en-GB" w:eastAsia="hr-HR"/>
        </w:rPr>
      </w:pPr>
    </w:p>
    <w:p w14:paraId="54BC9FE5" w14:textId="7FC06D0F" w:rsidR="00EE3113" w:rsidRPr="00395073" w:rsidRDefault="00C96DAA" w:rsidP="00EE3113">
      <w:pPr>
        <w:tabs>
          <w:tab w:val="left" w:pos="-720"/>
        </w:tabs>
        <w:suppressAutoHyphens/>
        <w:spacing w:after="0" w:line="240" w:lineRule="auto"/>
        <w:jc w:val="both"/>
        <w:rPr>
          <w:rFonts w:ascii="Calibri" w:eastAsia="Times New Roman" w:hAnsi="Calibri" w:cs="Calibri"/>
          <w:sz w:val="24"/>
          <w:szCs w:val="24"/>
          <w:highlight w:val="yellow"/>
          <w:lang w:val="en-GB" w:eastAsia="hr-HR"/>
        </w:rPr>
      </w:pPr>
      <w:r w:rsidRPr="00395073">
        <w:rPr>
          <w:rFonts w:cstheme="minorHAnsi"/>
          <w:spacing w:val="-3"/>
          <w:sz w:val="24"/>
          <w:szCs w:val="24"/>
          <w:lang w:val="en-GB"/>
        </w:rPr>
        <w:t xml:space="preserve">Total assets of HBOR as </w:t>
      </w:r>
      <w:proofErr w:type="gramStart"/>
      <w:r w:rsidRPr="00395073">
        <w:rPr>
          <w:rFonts w:cstheme="minorHAnsi"/>
          <w:spacing w:val="-3"/>
          <w:sz w:val="24"/>
          <w:szCs w:val="24"/>
          <w:lang w:val="en-GB"/>
        </w:rPr>
        <w:t>at</w:t>
      </w:r>
      <w:proofErr w:type="gramEnd"/>
      <w:r w:rsidRPr="00395073">
        <w:rPr>
          <w:rFonts w:cstheme="minorHAnsi"/>
          <w:spacing w:val="-3"/>
          <w:sz w:val="24"/>
          <w:szCs w:val="24"/>
          <w:lang w:val="en-GB"/>
        </w:rPr>
        <w:t xml:space="preserve"> 30 </w:t>
      </w:r>
      <w:r w:rsidR="00E26555" w:rsidRPr="00395073">
        <w:rPr>
          <w:rFonts w:cstheme="minorHAnsi"/>
          <w:spacing w:val="-3"/>
          <w:sz w:val="24"/>
          <w:szCs w:val="24"/>
          <w:lang w:val="en-GB"/>
        </w:rPr>
        <w:t>September</w:t>
      </w:r>
      <w:r w:rsidRPr="00395073">
        <w:rPr>
          <w:rFonts w:cstheme="minorHAnsi"/>
          <w:spacing w:val="-3"/>
          <w:sz w:val="24"/>
          <w:szCs w:val="24"/>
          <w:lang w:val="en-GB"/>
        </w:rPr>
        <w:t xml:space="preserve"> 2018 amounted to HRK 2</w:t>
      </w:r>
      <w:r w:rsidR="001D1195" w:rsidRPr="00395073">
        <w:rPr>
          <w:rFonts w:cstheme="minorHAnsi"/>
          <w:spacing w:val="-3"/>
          <w:sz w:val="24"/>
          <w:szCs w:val="24"/>
          <w:lang w:val="en-GB"/>
        </w:rPr>
        <w:t>7</w:t>
      </w:r>
      <w:r w:rsidRPr="00395073">
        <w:rPr>
          <w:rFonts w:cstheme="minorHAnsi"/>
          <w:spacing w:val="-3"/>
          <w:sz w:val="24"/>
          <w:szCs w:val="24"/>
          <w:lang w:val="en-GB"/>
        </w:rPr>
        <w:t>,</w:t>
      </w:r>
      <w:r w:rsidR="001D1195" w:rsidRPr="00395073">
        <w:rPr>
          <w:rFonts w:cstheme="minorHAnsi"/>
          <w:spacing w:val="-3"/>
          <w:sz w:val="24"/>
          <w:szCs w:val="24"/>
          <w:lang w:val="en-GB"/>
        </w:rPr>
        <w:t>068</w:t>
      </w:r>
      <w:r w:rsidRPr="00395073">
        <w:rPr>
          <w:rFonts w:cstheme="minorHAnsi"/>
          <w:spacing w:val="-3"/>
          <w:sz w:val="24"/>
          <w:szCs w:val="24"/>
          <w:lang w:val="en-GB"/>
        </w:rPr>
        <w:t>.</w:t>
      </w:r>
      <w:r w:rsidR="001D1195" w:rsidRPr="00395073">
        <w:rPr>
          <w:rFonts w:cstheme="minorHAnsi"/>
          <w:spacing w:val="-3"/>
          <w:sz w:val="24"/>
          <w:szCs w:val="24"/>
          <w:lang w:val="en-GB"/>
        </w:rPr>
        <w:t>86</w:t>
      </w:r>
      <w:r w:rsidRPr="00395073">
        <w:rPr>
          <w:rFonts w:cstheme="minorHAnsi"/>
          <w:spacing w:val="-3"/>
          <w:sz w:val="24"/>
          <w:szCs w:val="24"/>
          <w:lang w:val="en-GB"/>
        </w:rPr>
        <w:t xml:space="preserve"> million, a decrease of 3.</w:t>
      </w:r>
      <w:r w:rsidR="001D1195" w:rsidRPr="00395073">
        <w:rPr>
          <w:rFonts w:cstheme="minorHAnsi"/>
          <w:spacing w:val="-3"/>
          <w:sz w:val="24"/>
          <w:szCs w:val="24"/>
          <w:lang w:val="en-GB"/>
        </w:rPr>
        <w:t>52</w:t>
      </w:r>
      <w:r w:rsidRPr="00395073">
        <w:rPr>
          <w:rFonts w:cstheme="minorHAnsi"/>
          <w:spacing w:val="-3"/>
          <w:sz w:val="24"/>
          <w:szCs w:val="24"/>
          <w:lang w:val="en-GB"/>
        </w:rPr>
        <w:t xml:space="preserve"> percent compared with 31 December 2017, mostly due to </w:t>
      </w:r>
      <w:r w:rsidR="001D1195" w:rsidRPr="00395073">
        <w:rPr>
          <w:rFonts w:ascii="Calibri" w:eastAsia="Times New Roman" w:hAnsi="Calibri" w:cs="Calibri"/>
          <w:spacing w:val="-3"/>
          <w:sz w:val="24"/>
          <w:szCs w:val="24"/>
          <w:lang w:val="en-GB" w:eastAsia="hr-HR"/>
        </w:rPr>
        <w:t>prepayments of loans</w:t>
      </w:r>
      <w:r w:rsidR="001D1195" w:rsidRPr="005A20A6">
        <w:rPr>
          <w:rFonts w:ascii="Calibri" w:eastAsia="Times New Roman" w:hAnsi="Calibri" w:cs="Calibri"/>
          <w:spacing w:val="-3"/>
          <w:sz w:val="24"/>
          <w:szCs w:val="24"/>
          <w:lang w:val="en-GB" w:eastAsia="hr-HR"/>
        </w:rPr>
        <w:t xml:space="preserve">, the volume of which </w:t>
      </w:r>
      <w:r w:rsidR="00936E72" w:rsidRPr="005A20A6">
        <w:rPr>
          <w:rFonts w:ascii="Calibri" w:eastAsia="Times New Roman" w:hAnsi="Calibri" w:cs="Calibri"/>
          <w:spacing w:val="-3"/>
          <w:sz w:val="24"/>
          <w:szCs w:val="24"/>
          <w:lang w:val="en-GB" w:eastAsia="hr-HR"/>
        </w:rPr>
        <w:t xml:space="preserve">for </w:t>
      </w:r>
      <w:r w:rsidR="001D1195" w:rsidRPr="005A20A6">
        <w:rPr>
          <w:rFonts w:ascii="Calibri" w:eastAsia="Times New Roman" w:hAnsi="Calibri" w:cs="Calibri"/>
          <w:spacing w:val="-3"/>
          <w:sz w:val="24"/>
          <w:szCs w:val="24"/>
          <w:lang w:val="en-GB" w:eastAsia="hr-HR"/>
        </w:rPr>
        <w:t xml:space="preserve">9 months </w:t>
      </w:r>
      <w:r w:rsidR="00D40EA6" w:rsidRPr="005A20A6">
        <w:rPr>
          <w:rFonts w:ascii="Calibri" w:eastAsia="Times New Roman" w:hAnsi="Calibri" w:cs="Calibri"/>
          <w:spacing w:val="-3"/>
          <w:sz w:val="24"/>
          <w:szCs w:val="24"/>
          <w:lang w:val="en-GB" w:eastAsia="hr-HR"/>
        </w:rPr>
        <w:t xml:space="preserve">2018 </w:t>
      </w:r>
      <w:r w:rsidR="00423483" w:rsidRPr="00020D59">
        <w:rPr>
          <w:rFonts w:ascii="Calibri" w:eastAsia="Times New Roman" w:hAnsi="Calibri" w:cs="Calibri"/>
          <w:spacing w:val="-3"/>
          <w:sz w:val="24"/>
          <w:szCs w:val="24"/>
          <w:lang w:val="en-GB" w:eastAsia="hr-HR"/>
        </w:rPr>
        <w:t xml:space="preserve">amounted to </w:t>
      </w:r>
      <w:r w:rsidR="00423483" w:rsidRPr="005A20A6">
        <w:rPr>
          <w:rFonts w:ascii="Calibri" w:eastAsia="Times New Roman" w:hAnsi="Calibri" w:cs="Calibri"/>
          <w:spacing w:val="-3"/>
          <w:sz w:val="24"/>
          <w:szCs w:val="24"/>
          <w:lang w:val="en-GB" w:eastAsia="hr-HR"/>
        </w:rPr>
        <w:t>HRK</w:t>
      </w:r>
      <w:r w:rsidR="00423483" w:rsidRPr="00020D59">
        <w:rPr>
          <w:rFonts w:ascii="Calibri" w:eastAsia="Times New Roman" w:hAnsi="Calibri" w:cs="Calibri"/>
          <w:spacing w:val="-3"/>
          <w:sz w:val="24"/>
          <w:szCs w:val="24"/>
          <w:lang w:val="en-GB" w:eastAsia="hr-HR"/>
        </w:rPr>
        <w:t xml:space="preserve"> 2,049.98 million. </w:t>
      </w:r>
      <w:r w:rsidR="009A6A27" w:rsidRPr="00395073">
        <w:rPr>
          <w:sz w:val="24"/>
          <w:szCs w:val="24"/>
          <w:lang w:val="en-GB"/>
        </w:rPr>
        <w:t xml:space="preserve">In addition, a significant effect </w:t>
      </w:r>
      <w:r w:rsidR="003947FD" w:rsidRPr="00395073">
        <w:rPr>
          <w:sz w:val="24"/>
          <w:szCs w:val="24"/>
          <w:lang w:val="en-GB"/>
        </w:rPr>
        <w:t>ha</w:t>
      </w:r>
      <w:r w:rsidR="003947FD">
        <w:rPr>
          <w:sz w:val="24"/>
          <w:szCs w:val="24"/>
          <w:lang w:val="en-GB"/>
        </w:rPr>
        <w:t>s</w:t>
      </w:r>
      <w:r w:rsidR="003947FD" w:rsidRPr="00395073">
        <w:rPr>
          <w:sz w:val="24"/>
          <w:szCs w:val="24"/>
          <w:lang w:val="en-GB"/>
        </w:rPr>
        <w:t xml:space="preserve"> </w:t>
      </w:r>
      <w:r w:rsidR="009A6A27" w:rsidRPr="00395073">
        <w:rPr>
          <w:sz w:val="24"/>
          <w:szCs w:val="24"/>
          <w:lang w:val="en-GB"/>
        </w:rPr>
        <w:t>the application of IFRS 9 from 1 January 2018 due to an increase in the provisions for financial instruments of HRK 469,66 million.</w:t>
      </w:r>
    </w:p>
    <w:p w14:paraId="634EED81" w14:textId="77777777" w:rsidR="00C96DAA" w:rsidRPr="00395073" w:rsidRDefault="00C96DAA" w:rsidP="00C96DAA">
      <w:pPr>
        <w:keepNext/>
        <w:tabs>
          <w:tab w:val="left" w:pos="426"/>
        </w:tabs>
        <w:spacing w:after="0" w:line="240" w:lineRule="auto"/>
        <w:jc w:val="both"/>
        <w:rPr>
          <w:rFonts w:eastAsia="Times New Roman" w:cstheme="minorHAnsi"/>
          <w:b/>
          <w:bCs/>
          <w:i/>
          <w:sz w:val="24"/>
          <w:szCs w:val="20"/>
          <w:lang w:val="en-GB" w:eastAsia="hr-HR"/>
        </w:rPr>
      </w:pPr>
    </w:p>
    <w:p w14:paraId="65FA5B7B" w14:textId="77777777" w:rsidR="00C96DAA" w:rsidRPr="00395073" w:rsidRDefault="00C96DAA" w:rsidP="00C96DAA">
      <w:pPr>
        <w:keepNext/>
        <w:tabs>
          <w:tab w:val="left" w:pos="426"/>
        </w:tabs>
        <w:spacing w:after="0" w:line="240" w:lineRule="auto"/>
        <w:jc w:val="both"/>
        <w:rPr>
          <w:rFonts w:cstheme="minorHAnsi"/>
          <w:b/>
          <w:bCs/>
          <w:i/>
          <w:sz w:val="24"/>
          <w:szCs w:val="24"/>
          <w:lang w:val="en-GB"/>
        </w:rPr>
      </w:pPr>
      <w:r w:rsidRPr="00395073">
        <w:rPr>
          <w:rFonts w:cstheme="minorHAnsi"/>
          <w:b/>
          <w:bCs/>
          <w:i/>
          <w:sz w:val="24"/>
          <w:szCs w:val="24"/>
          <w:lang w:val="en-GB"/>
        </w:rPr>
        <w:t>Classification of financial assets</w:t>
      </w:r>
    </w:p>
    <w:p w14:paraId="509473EB" w14:textId="77777777" w:rsidR="00C96DAA" w:rsidRPr="00395073" w:rsidRDefault="00C96DAA" w:rsidP="00C96DAA">
      <w:pPr>
        <w:spacing w:after="0" w:line="240" w:lineRule="auto"/>
        <w:jc w:val="both"/>
        <w:rPr>
          <w:rFonts w:cs="Arial"/>
          <w:b/>
          <w:sz w:val="24"/>
          <w:szCs w:val="24"/>
          <w:lang w:val="en-GB"/>
        </w:rPr>
      </w:pPr>
    </w:p>
    <w:p w14:paraId="6A2FF056" w14:textId="77777777" w:rsidR="00C96DAA" w:rsidRPr="00395073" w:rsidRDefault="00C96DAA" w:rsidP="00C96DAA">
      <w:pPr>
        <w:spacing w:after="0" w:line="240" w:lineRule="auto"/>
        <w:jc w:val="both"/>
        <w:rPr>
          <w:rFonts w:cstheme="minorHAnsi"/>
          <w:sz w:val="24"/>
          <w:szCs w:val="24"/>
          <w:lang w:val="en-GB"/>
        </w:rPr>
      </w:pPr>
      <w:r w:rsidRPr="00395073">
        <w:rPr>
          <w:rFonts w:cstheme="minorHAnsi"/>
          <w:sz w:val="24"/>
          <w:szCs w:val="24"/>
          <w:lang w:val="en-GB"/>
        </w:rPr>
        <w:t>By the application of IFRS 9 since 1 January 2018, all financial assets are classified based on the allocation of financial assets to business models and SPPI test as assets measured subsequently at:</w:t>
      </w:r>
    </w:p>
    <w:p w14:paraId="4C23F7A5" w14:textId="77777777" w:rsidR="00C96DAA" w:rsidRPr="00395073" w:rsidRDefault="00C96DAA" w:rsidP="00C96DAA">
      <w:pPr>
        <w:spacing w:after="0" w:line="240" w:lineRule="auto"/>
        <w:jc w:val="both"/>
        <w:rPr>
          <w:rFonts w:cstheme="minorHAnsi"/>
          <w:sz w:val="24"/>
          <w:szCs w:val="24"/>
          <w:lang w:val="en-GB"/>
        </w:rPr>
      </w:pPr>
    </w:p>
    <w:p w14:paraId="1AE05E12" w14:textId="77777777" w:rsidR="00C96DAA" w:rsidRPr="00395073" w:rsidRDefault="00C96DAA" w:rsidP="00C96DAA">
      <w:pPr>
        <w:spacing w:after="0" w:line="240" w:lineRule="auto"/>
        <w:jc w:val="both"/>
        <w:rPr>
          <w:rFonts w:cstheme="minorHAnsi"/>
          <w:sz w:val="24"/>
          <w:szCs w:val="24"/>
          <w:lang w:val="en-GB"/>
        </w:rPr>
      </w:pPr>
      <w:r w:rsidRPr="00395073">
        <w:rPr>
          <w:rFonts w:cstheme="minorHAnsi"/>
          <w:sz w:val="24"/>
          <w:szCs w:val="24"/>
          <w:lang w:val="en-GB"/>
        </w:rPr>
        <w:t xml:space="preserve">1) amortised </w:t>
      </w:r>
      <w:proofErr w:type="gramStart"/>
      <w:r w:rsidRPr="00395073">
        <w:rPr>
          <w:rFonts w:cstheme="minorHAnsi"/>
          <w:sz w:val="24"/>
          <w:szCs w:val="24"/>
          <w:lang w:val="en-GB"/>
        </w:rPr>
        <w:t>cost, if</w:t>
      </w:r>
      <w:proofErr w:type="gramEnd"/>
      <w:r w:rsidRPr="00395073">
        <w:rPr>
          <w:rFonts w:cstheme="minorHAnsi"/>
          <w:sz w:val="24"/>
          <w:szCs w:val="24"/>
          <w:lang w:val="en-GB"/>
        </w:rPr>
        <w:t xml:space="preserve"> both conditions are fulfilled:</w:t>
      </w:r>
    </w:p>
    <w:p w14:paraId="2C8585F2" w14:textId="77777777" w:rsidR="00C96DAA" w:rsidRPr="00395073" w:rsidRDefault="00C96DAA" w:rsidP="00C96DAA">
      <w:pPr>
        <w:spacing w:after="0" w:line="240" w:lineRule="auto"/>
        <w:jc w:val="both"/>
        <w:rPr>
          <w:rFonts w:cstheme="minorHAnsi"/>
          <w:sz w:val="24"/>
          <w:szCs w:val="24"/>
          <w:lang w:val="en-GB"/>
        </w:rPr>
      </w:pPr>
    </w:p>
    <w:p w14:paraId="1970719A" w14:textId="77777777" w:rsidR="00C96DAA" w:rsidRPr="00395073" w:rsidRDefault="00C96DAA" w:rsidP="00C96DAA">
      <w:pPr>
        <w:spacing w:after="0" w:line="240" w:lineRule="auto"/>
        <w:jc w:val="both"/>
        <w:rPr>
          <w:rFonts w:cstheme="minorHAnsi"/>
          <w:sz w:val="24"/>
          <w:szCs w:val="24"/>
          <w:lang w:val="en-GB"/>
        </w:rPr>
      </w:pPr>
      <w:r w:rsidRPr="00395073">
        <w:rPr>
          <w:rFonts w:cstheme="minorHAnsi"/>
          <w:sz w:val="24"/>
          <w:szCs w:val="24"/>
          <w:lang w:val="en-GB"/>
        </w:rPr>
        <w:t xml:space="preserve">- financial assets are allocated to the business model whose objective is the holding of assets for the purpose of collecting the contracted cash flows, and </w:t>
      </w:r>
    </w:p>
    <w:p w14:paraId="09C2EEE0" w14:textId="77777777" w:rsidR="00C96DAA" w:rsidRPr="00395073" w:rsidRDefault="00C96DAA" w:rsidP="00C96DAA">
      <w:pPr>
        <w:spacing w:after="0" w:line="240" w:lineRule="auto"/>
        <w:jc w:val="both"/>
        <w:rPr>
          <w:rFonts w:cstheme="minorHAnsi"/>
          <w:sz w:val="24"/>
          <w:szCs w:val="24"/>
          <w:lang w:val="en-GB"/>
        </w:rPr>
      </w:pPr>
      <w:r w:rsidRPr="00395073">
        <w:rPr>
          <w:rFonts w:cstheme="minorHAnsi"/>
          <w:sz w:val="24"/>
          <w:szCs w:val="24"/>
          <w:lang w:val="en-GB"/>
        </w:rPr>
        <w:t>- SPPI test generated positive results – for financial assets, cash flows are established that are solely payment of principal and interest on unsettled principal amount.</w:t>
      </w:r>
    </w:p>
    <w:p w14:paraId="1652B742" w14:textId="77777777" w:rsidR="00C96DAA" w:rsidRPr="00395073" w:rsidRDefault="00C96DAA" w:rsidP="00C96DAA">
      <w:pPr>
        <w:spacing w:after="0" w:line="240" w:lineRule="auto"/>
        <w:jc w:val="both"/>
        <w:rPr>
          <w:rFonts w:cstheme="minorHAnsi"/>
          <w:sz w:val="24"/>
          <w:szCs w:val="24"/>
          <w:lang w:val="en-GB"/>
        </w:rPr>
      </w:pPr>
    </w:p>
    <w:p w14:paraId="7E4D1512" w14:textId="77777777" w:rsidR="00C96DAA" w:rsidRPr="00395073" w:rsidRDefault="00C96DAA" w:rsidP="00C96DAA">
      <w:pPr>
        <w:spacing w:after="0" w:line="240" w:lineRule="auto"/>
        <w:jc w:val="both"/>
        <w:rPr>
          <w:rFonts w:cstheme="minorHAnsi"/>
          <w:sz w:val="24"/>
          <w:szCs w:val="24"/>
          <w:lang w:val="en-GB"/>
        </w:rPr>
      </w:pPr>
      <w:r w:rsidRPr="00395073">
        <w:rPr>
          <w:rFonts w:cstheme="minorHAnsi"/>
          <w:sz w:val="24"/>
          <w:szCs w:val="24"/>
          <w:lang w:val="en-GB"/>
        </w:rPr>
        <w:t xml:space="preserve">2) fair value through other comprehensive </w:t>
      </w:r>
      <w:proofErr w:type="gramStart"/>
      <w:r w:rsidRPr="00395073">
        <w:rPr>
          <w:rFonts w:cstheme="minorHAnsi"/>
          <w:sz w:val="24"/>
          <w:szCs w:val="24"/>
          <w:lang w:val="en-GB"/>
        </w:rPr>
        <w:t>income, if</w:t>
      </w:r>
      <w:proofErr w:type="gramEnd"/>
      <w:r w:rsidRPr="00395073">
        <w:rPr>
          <w:rFonts w:cstheme="minorHAnsi"/>
          <w:sz w:val="24"/>
          <w:szCs w:val="24"/>
          <w:lang w:val="en-GB"/>
        </w:rPr>
        <w:t xml:space="preserve"> both conditions are fulfilled:</w:t>
      </w:r>
    </w:p>
    <w:p w14:paraId="6E2E5949" w14:textId="77777777" w:rsidR="00C96DAA" w:rsidRPr="00395073" w:rsidRDefault="00C96DAA" w:rsidP="00C96DAA">
      <w:pPr>
        <w:spacing w:after="0" w:line="240" w:lineRule="auto"/>
        <w:jc w:val="both"/>
        <w:rPr>
          <w:rFonts w:cstheme="minorHAnsi"/>
          <w:sz w:val="24"/>
          <w:szCs w:val="24"/>
          <w:lang w:val="en-GB"/>
        </w:rPr>
      </w:pPr>
    </w:p>
    <w:p w14:paraId="03242834" w14:textId="77777777" w:rsidR="00C96DAA" w:rsidRPr="00395073" w:rsidRDefault="00C96DAA" w:rsidP="00C96DAA">
      <w:pPr>
        <w:spacing w:after="0" w:line="240" w:lineRule="auto"/>
        <w:jc w:val="both"/>
        <w:rPr>
          <w:rFonts w:cstheme="minorHAnsi"/>
          <w:sz w:val="24"/>
          <w:szCs w:val="24"/>
          <w:lang w:val="en-GB"/>
        </w:rPr>
      </w:pPr>
      <w:r w:rsidRPr="00395073">
        <w:rPr>
          <w:rFonts w:cstheme="minorHAnsi"/>
          <w:sz w:val="24"/>
          <w:szCs w:val="24"/>
          <w:lang w:val="en-GB"/>
        </w:rPr>
        <w:t xml:space="preserve">- financial assets are allocated to the business model whose objective is the collecting of the contracted cash flows and the selling of financial assets, and </w:t>
      </w:r>
    </w:p>
    <w:p w14:paraId="1D270EE9" w14:textId="77777777" w:rsidR="00C96DAA" w:rsidRPr="00395073" w:rsidRDefault="00C96DAA" w:rsidP="00C96DAA">
      <w:pPr>
        <w:spacing w:after="0" w:line="240" w:lineRule="auto"/>
        <w:jc w:val="both"/>
        <w:rPr>
          <w:rFonts w:cstheme="minorHAnsi"/>
          <w:sz w:val="24"/>
          <w:szCs w:val="24"/>
          <w:lang w:val="en-GB"/>
        </w:rPr>
      </w:pPr>
      <w:r w:rsidRPr="00395073">
        <w:rPr>
          <w:rFonts w:cstheme="minorHAnsi"/>
          <w:sz w:val="24"/>
          <w:szCs w:val="24"/>
          <w:lang w:val="en-GB"/>
        </w:rPr>
        <w:t>- SPPI test generated positive result – for financial assets, cash flows are established that are solely payment of principal and interest on unsettled principal amount.</w:t>
      </w:r>
    </w:p>
    <w:p w14:paraId="7E73C713" w14:textId="77777777" w:rsidR="00C96DAA" w:rsidRPr="00395073" w:rsidRDefault="00C96DAA" w:rsidP="00C96DAA">
      <w:pPr>
        <w:spacing w:after="0" w:line="240" w:lineRule="auto"/>
        <w:jc w:val="both"/>
        <w:rPr>
          <w:rFonts w:cstheme="minorHAnsi"/>
          <w:sz w:val="24"/>
          <w:szCs w:val="24"/>
          <w:lang w:val="en-GB"/>
        </w:rPr>
      </w:pPr>
    </w:p>
    <w:p w14:paraId="3AA93138" w14:textId="77777777" w:rsidR="00C96DAA" w:rsidRPr="00395073" w:rsidRDefault="00C96DAA" w:rsidP="00C96DAA">
      <w:pPr>
        <w:spacing w:after="0" w:line="240" w:lineRule="auto"/>
        <w:jc w:val="both"/>
        <w:rPr>
          <w:rFonts w:cstheme="minorHAnsi"/>
          <w:sz w:val="24"/>
          <w:szCs w:val="24"/>
          <w:lang w:val="en-GB"/>
        </w:rPr>
      </w:pPr>
      <w:r w:rsidRPr="00395073">
        <w:rPr>
          <w:rFonts w:cstheme="minorHAnsi"/>
          <w:sz w:val="24"/>
          <w:szCs w:val="24"/>
          <w:lang w:val="en-GB"/>
        </w:rPr>
        <w:t>3) fair value through profit or loss</w:t>
      </w:r>
    </w:p>
    <w:p w14:paraId="07D1FB01" w14:textId="77777777" w:rsidR="00C96DAA" w:rsidRPr="00395073" w:rsidRDefault="00C96DAA" w:rsidP="00C96DAA">
      <w:pPr>
        <w:spacing w:after="0" w:line="240" w:lineRule="auto"/>
        <w:jc w:val="both"/>
        <w:rPr>
          <w:rFonts w:cstheme="minorHAnsi"/>
          <w:sz w:val="24"/>
          <w:szCs w:val="24"/>
          <w:lang w:val="en-GB"/>
        </w:rPr>
      </w:pPr>
    </w:p>
    <w:p w14:paraId="1D96F7AF" w14:textId="77777777" w:rsidR="00C96DAA" w:rsidRPr="00395073" w:rsidRDefault="00C96DAA" w:rsidP="00C96DAA">
      <w:pPr>
        <w:spacing w:after="0" w:line="240" w:lineRule="auto"/>
        <w:jc w:val="both"/>
        <w:rPr>
          <w:rFonts w:cstheme="minorHAnsi"/>
          <w:sz w:val="24"/>
          <w:szCs w:val="24"/>
          <w:lang w:val="en-GB"/>
        </w:rPr>
      </w:pPr>
      <w:r w:rsidRPr="00395073">
        <w:rPr>
          <w:rFonts w:cstheme="minorHAnsi"/>
          <w:sz w:val="24"/>
          <w:szCs w:val="24"/>
          <w:lang w:val="en-GB"/>
        </w:rPr>
        <w:t>Financial assets are subsequently measured at fair value through the statement of profit or loss if not subsequently measured at amortised cost or at fair value through other comprehensive income. As an exception, for investments in equity instruments that would otherwise be measured at fair value through profit or loss, at the initial recognition there is a possibility of irrevocable option of stating the changes in fair value through other comprehensive income. In such a case, the reserves recognised under other comprehensive income will never be transferred to the statement of profit or loss, even if a financial instrument is derecognised (financial assets valued at fair value through other comprehensive income without “recycling”). The Bank has used this possibility for a portion of equity instruments</w:t>
      </w:r>
      <w:r w:rsidRPr="00395073">
        <w:rPr>
          <w:rFonts w:cstheme="minorHAnsi"/>
          <w:bCs/>
          <w:sz w:val="24"/>
          <w:szCs w:val="24"/>
          <w:lang w:val="en-GB"/>
        </w:rPr>
        <w:t>.</w:t>
      </w:r>
    </w:p>
    <w:p w14:paraId="43A8AF65" w14:textId="77777777" w:rsidR="00C96DAA" w:rsidRPr="00395073" w:rsidRDefault="00C96DAA" w:rsidP="00C96DAA">
      <w:pPr>
        <w:keepNext/>
        <w:tabs>
          <w:tab w:val="left" w:pos="709"/>
          <w:tab w:val="left" w:pos="851"/>
          <w:tab w:val="left" w:pos="1985"/>
        </w:tabs>
        <w:spacing w:after="0" w:line="240" w:lineRule="auto"/>
        <w:ind w:right="-1"/>
        <w:rPr>
          <w:rFonts w:cs="Arial"/>
          <w:bCs/>
          <w:sz w:val="24"/>
          <w:szCs w:val="24"/>
          <w:lang w:val="en-GB"/>
        </w:rPr>
      </w:pPr>
    </w:p>
    <w:p w14:paraId="395D7FB9" w14:textId="77777777" w:rsidR="00C96DAA" w:rsidRPr="00395073" w:rsidRDefault="00C96DAA" w:rsidP="00C96DAA">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 xml:space="preserve">Cash on hand and deposits with other banks </w:t>
      </w:r>
    </w:p>
    <w:p w14:paraId="52F9A15D" w14:textId="77777777" w:rsidR="00C96DAA" w:rsidRPr="00395073" w:rsidRDefault="00C96DAA" w:rsidP="00C96DAA">
      <w:pPr>
        <w:spacing w:after="0" w:line="240" w:lineRule="auto"/>
        <w:jc w:val="both"/>
        <w:rPr>
          <w:rFonts w:eastAsia="Times New Roman" w:cs="Calibri"/>
          <w:b/>
          <w:sz w:val="24"/>
          <w:szCs w:val="24"/>
          <w:lang w:val="en-GB" w:eastAsia="hr-HR"/>
        </w:rPr>
      </w:pPr>
    </w:p>
    <w:p w14:paraId="4DB05FBA" w14:textId="77777777" w:rsidR="00C96DAA" w:rsidRPr="00395073" w:rsidRDefault="00C96DAA" w:rsidP="00C96DAA">
      <w:pPr>
        <w:spacing w:after="0" w:line="240" w:lineRule="auto"/>
        <w:jc w:val="both"/>
        <w:rPr>
          <w:rFonts w:eastAsia="Times New Roman" w:cs="Calibri"/>
          <w:sz w:val="24"/>
          <w:szCs w:val="24"/>
          <w:lang w:val="en-GB" w:eastAsia="hr-HR"/>
        </w:rPr>
        <w:sectPr w:rsidR="00C96DAA" w:rsidRPr="00395073" w:rsidSect="00F11426">
          <w:footerReference w:type="default" r:id="rId37"/>
          <w:pgSz w:w="11906" w:h="16838"/>
          <w:pgMar w:top="1417" w:right="1416" w:bottom="1417" w:left="1417" w:header="708" w:footer="708" w:gutter="0"/>
          <w:cols w:space="708"/>
          <w:docGrid w:linePitch="360"/>
        </w:sectPr>
      </w:pPr>
      <w:r w:rsidRPr="00395073">
        <w:rPr>
          <w:rFonts w:cstheme="minorHAnsi"/>
          <w:sz w:val="24"/>
          <w:szCs w:val="24"/>
          <w:lang w:val="en-GB"/>
        </w:rPr>
        <w:t xml:space="preserve">As </w:t>
      </w:r>
      <w:proofErr w:type="gramStart"/>
      <w:r w:rsidRPr="00395073">
        <w:rPr>
          <w:rFonts w:cstheme="minorHAnsi"/>
          <w:sz w:val="24"/>
          <w:szCs w:val="24"/>
          <w:lang w:val="en-GB"/>
        </w:rPr>
        <w:t>at</w:t>
      </w:r>
      <w:proofErr w:type="gramEnd"/>
      <w:r w:rsidRPr="00395073">
        <w:rPr>
          <w:rFonts w:cstheme="minorHAnsi"/>
          <w:sz w:val="24"/>
          <w:szCs w:val="24"/>
          <w:lang w:val="en-GB"/>
        </w:rPr>
        <w:t xml:space="preserve"> 30 </w:t>
      </w:r>
      <w:r w:rsidR="00E26555" w:rsidRPr="00395073">
        <w:rPr>
          <w:rFonts w:cstheme="minorHAnsi"/>
          <w:sz w:val="24"/>
          <w:szCs w:val="24"/>
          <w:lang w:val="en-GB"/>
        </w:rPr>
        <w:t>September</w:t>
      </w:r>
      <w:r w:rsidRPr="00395073">
        <w:rPr>
          <w:rFonts w:cstheme="minorHAnsi"/>
          <w:sz w:val="24"/>
          <w:szCs w:val="24"/>
          <w:lang w:val="en-GB"/>
        </w:rPr>
        <w:t xml:space="preserve"> 2018, cash on hand and deposits with other banks amounted to HRK </w:t>
      </w:r>
      <w:r w:rsidR="00692504" w:rsidRPr="00395073">
        <w:rPr>
          <w:rFonts w:cstheme="minorHAnsi"/>
          <w:sz w:val="24"/>
          <w:szCs w:val="24"/>
          <w:lang w:val="en-GB"/>
        </w:rPr>
        <w:t>1,140.39</w:t>
      </w:r>
      <w:r w:rsidRPr="00395073">
        <w:rPr>
          <w:rFonts w:cstheme="minorHAnsi"/>
          <w:sz w:val="24"/>
          <w:szCs w:val="24"/>
          <w:lang w:val="en-GB"/>
        </w:rPr>
        <w:t xml:space="preserve"> million representing </w:t>
      </w:r>
      <w:r w:rsidR="00692504" w:rsidRPr="00395073">
        <w:rPr>
          <w:rFonts w:cstheme="minorHAnsi"/>
          <w:sz w:val="24"/>
          <w:szCs w:val="24"/>
          <w:lang w:val="en-GB"/>
        </w:rPr>
        <w:t>4</w:t>
      </w:r>
      <w:r w:rsidRPr="00395073">
        <w:rPr>
          <w:rFonts w:cstheme="minorHAnsi"/>
          <w:sz w:val="24"/>
          <w:szCs w:val="24"/>
          <w:lang w:val="en-GB"/>
        </w:rPr>
        <w:t>.</w:t>
      </w:r>
      <w:r w:rsidR="00692504" w:rsidRPr="00395073">
        <w:rPr>
          <w:rFonts w:cstheme="minorHAnsi"/>
          <w:sz w:val="24"/>
          <w:szCs w:val="24"/>
          <w:lang w:val="en-GB"/>
        </w:rPr>
        <w:t>21</w:t>
      </w:r>
      <w:r w:rsidRPr="00395073">
        <w:rPr>
          <w:rFonts w:cstheme="minorHAnsi"/>
          <w:sz w:val="24"/>
          <w:szCs w:val="24"/>
          <w:lang w:val="en-GB"/>
        </w:rPr>
        <w:t xml:space="preserve"> percent of total assets, a decrease of </w:t>
      </w:r>
      <w:r w:rsidR="00692504" w:rsidRPr="00395073">
        <w:rPr>
          <w:rFonts w:cstheme="minorHAnsi"/>
          <w:sz w:val="24"/>
          <w:szCs w:val="24"/>
          <w:lang w:val="en-GB"/>
        </w:rPr>
        <w:t>20</w:t>
      </w:r>
      <w:r w:rsidRPr="00395073">
        <w:rPr>
          <w:rFonts w:cstheme="minorHAnsi"/>
          <w:sz w:val="24"/>
          <w:szCs w:val="24"/>
          <w:lang w:val="en-GB"/>
        </w:rPr>
        <w:t>.</w:t>
      </w:r>
      <w:r w:rsidR="00692504" w:rsidRPr="00395073">
        <w:rPr>
          <w:rFonts w:cstheme="minorHAnsi"/>
          <w:sz w:val="24"/>
          <w:szCs w:val="24"/>
          <w:lang w:val="en-GB"/>
        </w:rPr>
        <w:t>27</w:t>
      </w:r>
      <w:r w:rsidRPr="00395073">
        <w:rPr>
          <w:rFonts w:cstheme="minorHAnsi"/>
          <w:sz w:val="24"/>
          <w:szCs w:val="24"/>
          <w:lang w:val="en-GB"/>
        </w:rPr>
        <w:t xml:space="preserve"> percent compared with 31 December 2017 as a result of reallocation of liquidity reserve funds.</w:t>
      </w:r>
    </w:p>
    <w:p w14:paraId="02552E7A" w14:textId="77777777" w:rsidR="00C96DAA" w:rsidRPr="00395073" w:rsidRDefault="00C96DAA" w:rsidP="00C96DAA">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lastRenderedPageBreak/>
        <w:t xml:space="preserve">Loans to financial institutions and other customers </w:t>
      </w:r>
    </w:p>
    <w:p w14:paraId="18E4B1E0" w14:textId="77777777" w:rsidR="00C96DAA" w:rsidRPr="00395073" w:rsidRDefault="00C96DAA" w:rsidP="00C96DAA">
      <w:pPr>
        <w:spacing w:after="0" w:line="240" w:lineRule="auto"/>
        <w:jc w:val="both"/>
        <w:rPr>
          <w:rFonts w:eastAsia="Times New Roman" w:cs="Calibri"/>
          <w:sz w:val="24"/>
          <w:szCs w:val="24"/>
          <w:lang w:val="en-GB" w:eastAsia="hr-HR"/>
        </w:rPr>
      </w:pPr>
    </w:p>
    <w:p w14:paraId="188890A8" w14:textId="77777777" w:rsidR="00C96DAA" w:rsidRPr="00395073" w:rsidRDefault="00C96DAA" w:rsidP="00C96DAA">
      <w:pPr>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As </w:t>
      </w:r>
      <w:proofErr w:type="gramStart"/>
      <w:r w:rsidRPr="00395073">
        <w:rPr>
          <w:rFonts w:cstheme="minorHAnsi"/>
          <w:spacing w:val="-3"/>
          <w:sz w:val="24"/>
          <w:szCs w:val="24"/>
          <w:lang w:val="en-GB"/>
        </w:rPr>
        <w:t>at</w:t>
      </w:r>
      <w:proofErr w:type="gramEnd"/>
      <w:r w:rsidRPr="00395073">
        <w:rPr>
          <w:rFonts w:cstheme="minorHAnsi"/>
          <w:spacing w:val="-3"/>
          <w:sz w:val="24"/>
          <w:szCs w:val="24"/>
          <w:lang w:val="en-GB"/>
        </w:rPr>
        <w:t xml:space="preserve"> 30 </w:t>
      </w:r>
      <w:r w:rsidR="00E26555" w:rsidRPr="00395073">
        <w:rPr>
          <w:rFonts w:cstheme="minorHAnsi"/>
          <w:spacing w:val="-3"/>
          <w:sz w:val="24"/>
          <w:szCs w:val="24"/>
          <w:lang w:val="en-GB"/>
        </w:rPr>
        <w:t>September</w:t>
      </w:r>
      <w:r w:rsidRPr="00395073">
        <w:rPr>
          <w:rFonts w:cstheme="minorHAnsi"/>
          <w:spacing w:val="-3"/>
          <w:sz w:val="24"/>
          <w:szCs w:val="24"/>
          <w:lang w:val="en-GB"/>
        </w:rPr>
        <w:t xml:space="preserve"> 2018, total net loans amounted to HRK 22,</w:t>
      </w:r>
      <w:r w:rsidR="00CA6376" w:rsidRPr="00395073">
        <w:rPr>
          <w:rFonts w:cstheme="minorHAnsi"/>
          <w:spacing w:val="-3"/>
          <w:sz w:val="24"/>
          <w:szCs w:val="24"/>
          <w:lang w:val="en-GB"/>
        </w:rPr>
        <w:t>221</w:t>
      </w:r>
      <w:r w:rsidRPr="00395073">
        <w:rPr>
          <w:rFonts w:cstheme="minorHAnsi"/>
          <w:spacing w:val="-3"/>
          <w:sz w:val="24"/>
          <w:szCs w:val="24"/>
          <w:lang w:val="en-GB"/>
        </w:rPr>
        <w:t>.</w:t>
      </w:r>
      <w:r w:rsidR="00CA6376" w:rsidRPr="00395073">
        <w:rPr>
          <w:rFonts w:cstheme="minorHAnsi"/>
          <w:spacing w:val="-3"/>
          <w:sz w:val="24"/>
          <w:szCs w:val="24"/>
          <w:lang w:val="en-GB"/>
        </w:rPr>
        <w:t>21</w:t>
      </w:r>
      <w:r w:rsidRPr="00395073">
        <w:rPr>
          <w:rFonts w:cstheme="minorHAnsi"/>
          <w:spacing w:val="-3"/>
          <w:sz w:val="24"/>
          <w:szCs w:val="24"/>
          <w:lang w:val="en-GB"/>
        </w:rPr>
        <w:t xml:space="preserve"> million representing 82.</w:t>
      </w:r>
      <w:r w:rsidR="00CA6376" w:rsidRPr="00395073">
        <w:rPr>
          <w:rFonts w:cstheme="minorHAnsi"/>
          <w:spacing w:val="-3"/>
          <w:sz w:val="24"/>
          <w:szCs w:val="24"/>
          <w:lang w:val="en-GB"/>
        </w:rPr>
        <w:t>09</w:t>
      </w:r>
      <w:r w:rsidRPr="00395073">
        <w:rPr>
          <w:rFonts w:cstheme="minorHAnsi"/>
          <w:spacing w:val="-3"/>
          <w:sz w:val="24"/>
          <w:szCs w:val="24"/>
          <w:lang w:val="en-GB"/>
        </w:rPr>
        <w:t xml:space="preserve"> percent of total assets, a decrease of </w:t>
      </w:r>
      <w:r w:rsidR="00CA6376" w:rsidRPr="00395073">
        <w:rPr>
          <w:rFonts w:cstheme="minorHAnsi"/>
          <w:spacing w:val="-3"/>
          <w:sz w:val="24"/>
          <w:szCs w:val="24"/>
          <w:lang w:val="en-GB"/>
        </w:rPr>
        <w:t>4</w:t>
      </w:r>
      <w:r w:rsidRPr="00395073">
        <w:rPr>
          <w:rFonts w:cstheme="minorHAnsi"/>
          <w:spacing w:val="-3"/>
          <w:sz w:val="24"/>
          <w:szCs w:val="24"/>
          <w:lang w:val="en-GB"/>
        </w:rPr>
        <w:t>.</w:t>
      </w:r>
      <w:r w:rsidR="00CA6376" w:rsidRPr="00395073">
        <w:rPr>
          <w:rFonts w:cstheme="minorHAnsi"/>
          <w:spacing w:val="-3"/>
          <w:sz w:val="24"/>
          <w:szCs w:val="24"/>
          <w:lang w:val="en-GB"/>
        </w:rPr>
        <w:t>30</w:t>
      </w:r>
      <w:r w:rsidRPr="00395073">
        <w:rPr>
          <w:rFonts w:cstheme="minorHAnsi"/>
          <w:spacing w:val="-3"/>
          <w:sz w:val="24"/>
          <w:szCs w:val="24"/>
          <w:lang w:val="en-GB"/>
        </w:rPr>
        <w:t xml:space="preserve"> percent on the beginning of the year. </w:t>
      </w:r>
    </w:p>
    <w:p w14:paraId="4A2242F0" w14:textId="77777777" w:rsidR="00C96DAA" w:rsidRPr="00395073" w:rsidRDefault="00C96DAA" w:rsidP="00C96DAA">
      <w:pPr>
        <w:spacing w:after="0" w:line="240" w:lineRule="auto"/>
        <w:jc w:val="both"/>
        <w:rPr>
          <w:rFonts w:cstheme="minorHAnsi"/>
          <w:spacing w:val="-3"/>
          <w:sz w:val="24"/>
          <w:szCs w:val="24"/>
          <w:lang w:val="en-GB"/>
        </w:rPr>
      </w:pPr>
    </w:p>
    <w:p w14:paraId="1F6EDD16" w14:textId="77777777" w:rsidR="00C96DAA" w:rsidRPr="00395073" w:rsidRDefault="00C96DAA" w:rsidP="00C96DAA">
      <w:pPr>
        <w:spacing w:after="0" w:line="240" w:lineRule="auto"/>
        <w:jc w:val="both"/>
        <w:rPr>
          <w:rFonts w:cstheme="minorHAnsi"/>
          <w:spacing w:val="-3"/>
          <w:sz w:val="24"/>
          <w:szCs w:val="24"/>
          <w:lang w:val="en-GB"/>
        </w:rPr>
      </w:pPr>
      <w:r w:rsidRPr="00395073">
        <w:rPr>
          <w:rFonts w:cstheme="minorHAnsi"/>
          <w:spacing w:val="-3"/>
          <w:sz w:val="24"/>
          <w:szCs w:val="24"/>
          <w:lang w:val="en-GB"/>
        </w:rPr>
        <w:t>Total gross loans amounted to HRK 25,8</w:t>
      </w:r>
      <w:r w:rsidR="007C7812" w:rsidRPr="00395073">
        <w:rPr>
          <w:rFonts w:cstheme="minorHAnsi"/>
          <w:spacing w:val="-3"/>
          <w:sz w:val="24"/>
          <w:szCs w:val="24"/>
          <w:lang w:val="en-GB"/>
        </w:rPr>
        <w:t>6</w:t>
      </w:r>
      <w:r w:rsidRPr="00395073">
        <w:rPr>
          <w:rFonts w:cstheme="minorHAnsi"/>
          <w:spacing w:val="-3"/>
          <w:sz w:val="24"/>
          <w:szCs w:val="24"/>
          <w:lang w:val="en-GB"/>
        </w:rPr>
        <w:t>3.</w:t>
      </w:r>
      <w:r w:rsidR="007C7812" w:rsidRPr="00395073">
        <w:rPr>
          <w:rFonts w:cstheme="minorHAnsi"/>
          <w:spacing w:val="-3"/>
          <w:sz w:val="24"/>
          <w:szCs w:val="24"/>
          <w:lang w:val="en-GB"/>
        </w:rPr>
        <w:t>02</w:t>
      </w:r>
      <w:r w:rsidRPr="00395073">
        <w:rPr>
          <w:rFonts w:cstheme="minorHAnsi"/>
          <w:spacing w:val="-3"/>
          <w:sz w:val="24"/>
          <w:szCs w:val="24"/>
          <w:lang w:val="en-GB"/>
        </w:rPr>
        <w:t xml:space="preserve"> million, a decrease of 1.7</w:t>
      </w:r>
      <w:r w:rsidR="007C7812" w:rsidRPr="00395073">
        <w:rPr>
          <w:rFonts w:cstheme="minorHAnsi"/>
          <w:spacing w:val="-3"/>
          <w:sz w:val="24"/>
          <w:szCs w:val="24"/>
          <w:lang w:val="en-GB"/>
        </w:rPr>
        <w:t>8</w:t>
      </w:r>
      <w:r w:rsidRPr="00395073">
        <w:rPr>
          <w:rFonts w:cstheme="minorHAnsi"/>
          <w:spacing w:val="-3"/>
          <w:sz w:val="24"/>
          <w:szCs w:val="24"/>
          <w:lang w:val="en-GB"/>
        </w:rPr>
        <w:t xml:space="preserve"> percent compared with 31 December 2107.</w:t>
      </w:r>
      <w:r w:rsidRPr="00395073">
        <w:rPr>
          <w:rFonts w:eastAsia="Times New Roman" w:cs="Calibri"/>
          <w:sz w:val="24"/>
          <w:szCs w:val="24"/>
          <w:lang w:val="en-GB" w:eastAsia="hr-HR"/>
        </w:rPr>
        <w:t xml:space="preserve"> Gross loans to other customers increased by </w:t>
      </w:r>
      <w:r w:rsidR="007C7812" w:rsidRPr="00395073">
        <w:rPr>
          <w:rFonts w:eastAsia="Times New Roman" w:cs="Calibri"/>
          <w:sz w:val="24"/>
          <w:szCs w:val="24"/>
          <w:lang w:val="en-GB" w:eastAsia="hr-HR"/>
        </w:rPr>
        <w:t>2</w:t>
      </w:r>
      <w:r w:rsidRPr="00395073">
        <w:rPr>
          <w:rFonts w:eastAsia="Times New Roman" w:cs="Calibri"/>
          <w:sz w:val="24"/>
          <w:szCs w:val="24"/>
          <w:lang w:val="en-GB" w:eastAsia="hr-HR"/>
        </w:rPr>
        <w:t>.</w:t>
      </w:r>
      <w:r w:rsidR="007C7812" w:rsidRPr="00395073">
        <w:rPr>
          <w:rFonts w:eastAsia="Times New Roman" w:cs="Calibri"/>
          <w:sz w:val="24"/>
          <w:szCs w:val="24"/>
          <w:lang w:val="en-GB" w:eastAsia="hr-HR"/>
        </w:rPr>
        <w:t>7</w:t>
      </w:r>
      <w:r w:rsidRPr="00395073">
        <w:rPr>
          <w:rFonts w:eastAsia="Times New Roman" w:cs="Calibri"/>
          <w:sz w:val="24"/>
          <w:szCs w:val="24"/>
          <w:lang w:val="en-GB" w:eastAsia="hr-HR"/>
        </w:rPr>
        <w:t xml:space="preserve">1 percent compared with the end of 2017. Gross loans to financial institutions decreased by </w:t>
      </w:r>
      <w:r w:rsidR="007C7812" w:rsidRPr="00395073">
        <w:rPr>
          <w:rFonts w:eastAsia="Times New Roman" w:cs="Calibri"/>
          <w:sz w:val="24"/>
          <w:szCs w:val="24"/>
          <w:lang w:val="en-GB" w:eastAsia="hr-HR"/>
        </w:rPr>
        <w:t>7</w:t>
      </w:r>
      <w:r w:rsidRPr="00395073">
        <w:rPr>
          <w:rFonts w:cstheme="minorHAnsi"/>
          <w:spacing w:val="-3"/>
          <w:sz w:val="24"/>
          <w:szCs w:val="24"/>
          <w:lang w:val="en-GB"/>
        </w:rPr>
        <w:t>.</w:t>
      </w:r>
      <w:r w:rsidR="007C7812" w:rsidRPr="00395073">
        <w:rPr>
          <w:rFonts w:cstheme="minorHAnsi"/>
          <w:spacing w:val="-3"/>
          <w:sz w:val="24"/>
          <w:szCs w:val="24"/>
          <w:lang w:val="en-GB"/>
        </w:rPr>
        <w:t>98</w:t>
      </w:r>
      <w:r w:rsidRPr="00395073">
        <w:rPr>
          <w:rFonts w:cstheme="minorHAnsi"/>
          <w:spacing w:val="-3"/>
          <w:sz w:val="24"/>
          <w:szCs w:val="24"/>
          <w:lang w:val="en-GB"/>
        </w:rPr>
        <w:t xml:space="preserve"> percent compared with the end of 2017 </w:t>
      </w:r>
      <w:proofErr w:type="gramStart"/>
      <w:r w:rsidRPr="00395073">
        <w:rPr>
          <w:rFonts w:cstheme="minorHAnsi"/>
          <w:spacing w:val="-3"/>
          <w:sz w:val="24"/>
          <w:szCs w:val="24"/>
          <w:lang w:val="en-GB"/>
        </w:rPr>
        <w:t>as a result of</w:t>
      </w:r>
      <w:proofErr w:type="gramEnd"/>
      <w:r w:rsidRPr="00395073">
        <w:rPr>
          <w:rFonts w:cstheme="minorHAnsi"/>
          <w:spacing w:val="-3"/>
          <w:sz w:val="24"/>
          <w:szCs w:val="24"/>
          <w:lang w:val="en-GB"/>
        </w:rPr>
        <w:t xml:space="preserve"> premature repayments of loans.</w:t>
      </w:r>
    </w:p>
    <w:p w14:paraId="7B245E0B" w14:textId="77777777" w:rsidR="00C96DAA" w:rsidRPr="00395073" w:rsidRDefault="00C96DAA" w:rsidP="00C96DAA">
      <w:pPr>
        <w:spacing w:after="0" w:line="240" w:lineRule="auto"/>
        <w:jc w:val="both"/>
        <w:rPr>
          <w:rFonts w:eastAsia="Times New Roman" w:cs="Calibri"/>
          <w:b/>
          <w:i/>
          <w:spacing w:val="-3"/>
          <w:sz w:val="24"/>
          <w:szCs w:val="24"/>
          <w:lang w:val="en-GB" w:eastAsia="hr-HR"/>
        </w:rPr>
      </w:pPr>
    </w:p>
    <w:p w14:paraId="3D38D005" w14:textId="77777777" w:rsidR="00C96DAA" w:rsidRPr="00395073" w:rsidRDefault="00C96DAA" w:rsidP="00C96DAA">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Financial assets at fair value through profit or loss</w:t>
      </w:r>
    </w:p>
    <w:p w14:paraId="47912BC1" w14:textId="77777777" w:rsidR="00C96DAA" w:rsidRPr="00395073" w:rsidRDefault="00C96DAA" w:rsidP="00C96DAA">
      <w:pPr>
        <w:tabs>
          <w:tab w:val="left" w:pos="-720"/>
        </w:tabs>
        <w:suppressAutoHyphens/>
        <w:spacing w:after="0" w:line="240" w:lineRule="auto"/>
        <w:jc w:val="both"/>
        <w:rPr>
          <w:rFonts w:cs="Arial"/>
          <w:b/>
          <w:sz w:val="24"/>
          <w:szCs w:val="24"/>
          <w:lang w:val="en-GB"/>
        </w:rPr>
      </w:pPr>
    </w:p>
    <w:p w14:paraId="27486015" w14:textId="77777777" w:rsidR="00C96DAA" w:rsidRPr="00395073" w:rsidRDefault="00C96DAA" w:rsidP="00C96DAA">
      <w:pPr>
        <w:tabs>
          <w:tab w:val="left" w:pos="-720"/>
        </w:tabs>
        <w:suppressAutoHyphens/>
        <w:spacing w:after="0" w:line="240" w:lineRule="auto"/>
        <w:jc w:val="both"/>
        <w:rPr>
          <w:rFonts w:cs="Arial"/>
          <w:sz w:val="24"/>
          <w:szCs w:val="24"/>
          <w:lang w:val="en-GB"/>
        </w:rPr>
      </w:pPr>
      <w:r w:rsidRPr="00395073">
        <w:rPr>
          <w:rFonts w:cstheme="minorHAnsi"/>
          <w:sz w:val="24"/>
          <w:szCs w:val="24"/>
          <w:lang w:val="en-GB"/>
        </w:rPr>
        <w:t xml:space="preserve">Loans at fair value (HBOR has determined that mezzanine loans are classified here), investments in investment funds (obligatory pursuant to IFRS) and a part of equity instruments are classified to these assets. As </w:t>
      </w:r>
      <w:proofErr w:type="gramStart"/>
      <w:r w:rsidRPr="00395073">
        <w:rPr>
          <w:rFonts w:cstheme="minorHAnsi"/>
          <w:sz w:val="24"/>
          <w:szCs w:val="24"/>
          <w:lang w:val="en-GB"/>
        </w:rPr>
        <w:t>at</w:t>
      </w:r>
      <w:proofErr w:type="gramEnd"/>
      <w:r w:rsidRPr="00395073">
        <w:rPr>
          <w:rFonts w:cstheme="minorHAnsi"/>
          <w:sz w:val="24"/>
          <w:szCs w:val="24"/>
          <w:lang w:val="en-GB"/>
        </w:rPr>
        <w:t xml:space="preserve"> 30 </w:t>
      </w:r>
      <w:r w:rsidR="00E26555" w:rsidRPr="00395073">
        <w:rPr>
          <w:rFonts w:cstheme="minorHAnsi"/>
          <w:sz w:val="24"/>
          <w:szCs w:val="24"/>
          <w:lang w:val="en-GB"/>
        </w:rPr>
        <w:t>September</w:t>
      </w:r>
      <w:r w:rsidRPr="00395073">
        <w:rPr>
          <w:rFonts w:cstheme="minorHAnsi"/>
          <w:sz w:val="24"/>
          <w:szCs w:val="24"/>
          <w:lang w:val="en-GB"/>
        </w:rPr>
        <w:t xml:space="preserve"> 2018, the total amount of these assets was HRK 6</w:t>
      </w:r>
      <w:r w:rsidR="007C7812" w:rsidRPr="00395073">
        <w:rPr>
          <w:rFonts w:cstheme="minorHAnsi"/>
          <w:sz w:val="24"/>
          <w:szCs w:val="24"/>
          <w:lang w:val="en-GB"/>
        </w:rPr>
        <w:t>36</w:t>
      </w:r>
      <w:r w:rsidRPr="00395073">
        <w:rPr>
          <w:rFonts w:cstheme="minorHAnsi"/>
          <w:sz w:val="24"/>
          <w:szCs w:val="24"/>
          <w:lang w:val="en-GB"/>
        </w:rPr>
        <w:t>.</w:t>
      </w:r>
      <w:r w:rsidR="007C7812" w:rsidRPr="00395073">
        <w:rPr>
          <w:rFonts w:cstheme="minorHAnsi"/>
          <w:sz w:val="24"/>
          <w:szCs w:val="24"/>
          <w:lang w:val="en-GB"/>
        </w:rPr>
        <w:t>58</w:t>
      </w:r>
      <w:r w:rsidRPr="00395073">
        <w:rPr>
          <w:rFonts w:cstheme="minorHAnsi"/>
          <w:sz w:val="24"/>
          <w:szCs w:val="24"/>
          <w:lang w:val="en-GB"/>
        </w:rPr>
        <w:t xml:space="preserve"> million representing 2.</w:t>
      </w:r>
      <w:r w:rsidR="007C7812" w:rsidRPr="00395073">
        <w:rPr>
          <w:rFonts w:cstheme="minorHAnsi"/>
          <w:sz w:val="24"/>
          <w:szCs w:val="24"/>
          <w:lang w:val="en-GB"/>
        </w:rPr>
        <w:t>35</w:t>
      </w:r>
      <w:r w:rsidRPr="00395073">
        <w:rPr>
          <w:rFonts w:cstheme="minorHAnsi"/>
          <w:sz w:val="24"/>
          <w:szCs w:val="24"/>
          <w:lang w:val="en-GB"/>
        </w:rPr>
        <w:t xml:space="preserve"> percent of total assets.</w:t>
      </w:r>
      <w:r w:rsidRPr="00395073">
        <w:rPr>
          <w:rFonts w:cs="Arial"/>
          <w:sz w:val="24"/>
          <w:szCs w:val="24"/>
          <w:lang w:val="en-GB"/>
        </w:rPr>
        <w:t xml:space="preserve"> </w:t>
      </w:r>
    </w:p>
    <w:p w14:paraId="1E9ADEB9" w14:textId="77777777" w:rsidR="00C96DAA" w:rsidRPr="00395073" w:rsidRDefault="00C96DAA" w:rsidP="00C96DAA">
      <w:pPr>
        <w:tabs>
          <w:tab w:val="left" w:pos="-720"/>
        </w:tabs>
        <w:suppressAutoHyphens/>
        <w:spacing w:after="0" w:line="240" w:lineRule="auto"/>
        <w:jc w:val="both"/>
        <w:rPr>
          <w:rFonts w:cs="Arial"/>
          <w:sz w:val="24"/>
          <w:szCs w:val="24"/>
          <w:lang w:val="en-GB"/>
        </w:rPr>
      </w:pPr>
    </w:p>
    <w:p w14:paraId="365F118F" w14:textId="77777777" w:rsidR="00C96DAA" w:rsidRPr="00395073" w:rsidRDefault="00C96DAA" w:rsidP="00C96DAA">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 xml:space="preserve">Financial assets at fair value through other comprehensive income </w:t>
      </w:r>
    </w:p>
    <w:p w14:paraId="7831772F" w14:textId="77777777" w:rsidR="00C96DAA" w:rsidRPr="00395073" w:rsidRDefault="00C96DAA" w:rsidP="00C96DAA">
      <w:pPr>
        <w:tabs>
          <w:tab w:val="left" w:pos="-720"/>
        </w:tabs>
        <w:suppressAutoHyphens/>
        <w:spacing w:after="0" w:line="240" w:lineRule="auto"/>
        <w:jc w:val="both"/>
        <w:rPr>
          <w:rFonts w:cstheme="minorHAnsi"/>
          <w:b/>
          <w:i/>
          <w:sz w:val="24"/>
          <w:szCs w:val="24"/>
          <w:lang w:val="en-GB"/>
        </w:rPr>
      </w:pPr>
    </w:p>
    <w:p w14:paraId="1CB636EB" w14:textId="77777777" w:rsidR="00C96DAA" w:rsidRPr="00395073" w:rsidRDefault="00C96DAA" w:rsidP="00C96DAA">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 xml:space="preserve">a) Debt </w:t>
      </w:r>
      <w:r w:rsidR="00F4218F" w:rsidRPr="00395073">
        <w:rPr>
          <w:rFonts w:cstheme="minorHAnsi"/>
          <w:b/>
          <w:i/>
          <w:sz w:val="24"/>
          <w:szCs w:val="24"/>
          <w:lang w:val="en-GB"/>
        </w:rPr>
        <w:t xml:space="preserve">instruments </w:t>
      </w:r>
    </w:p>
    <w:p w14:paraId="15659E21" w14:textId="77777777" w:rsidR="00C96DAA" w:rsidRPr="00395073" w:rsidRDefault="00C96DAA" w:rsidP="00C96DAA">
      <w:pPr>
        <w:tabs>
          <w:tab w:val="left" w:pos="-720"/>
        </w:tabs>
        <w:suppressAutoHyphens/>
        <w:spacing w:after="0" w:line="240" w:lineRule="auto"/>
        <w:jc w:val="both"/>
        <w:rPr>
          <w:rFonts w:cstheme="minorHAnsi"/>
          <w:b/>
          <w:i/>
          <w:sz w:val="24"/>
          <w:szCs w:val="24"/>
          <w:lang w:val="en-GB"/>
        </w:rPr>
      </w:pPr>
    </w:p>
    <w:p w14:paraId="767019C6" w14:textId="4014BFBD" w:rsidR="00C96DAA" w:rsidRPr="00395073" w:rsidRDefault="00C96DAA" w:rsidP="00C96DAA">
      <w:pPr>
        <w:spacing w:after="0" w:line="240" w:lineRule="auto"/>
        <w:jc w:val="both"/>
        <w:rPr>
          <w:rFonts w:cstheme="minorHAnsi"/>
          <w:sz w:val="24"/>
          <w:szCs w:val="24"/>
          <w:lang w:val="en-GB"/>
        </w:rPr>
      </w:pPr>
      <w:r w:rsidRPr="00395073">
        <w:rPr>
          <w:rFonts w:cstheme="minorHAnsi"/>
          <w:sz w:val="24"/>
          <w:szCs w:val="24"/>
          <w:lang w:val="en-GB"/>
        </w:rPr>
        <w:t xml:space="preserve">Bonds of the Republic of Croatia and treasury bills of the Ministry of Finance as part of liquidity reserve as well as bonds of a company are classified to these assets. On the reporting date, they amounted to HRK </w:t>
      </w:r>
      <w:r w:rsidR="00554637" w:rsidRPr="00020D59">
        <w:rPr>
          <w:rFonts w:cstheme="minorHAnsi"/>
          <w:sz w:val="24"/>
          <w:szCs w:val="24"/>
          <w:lang w:val="en-GB"/>
        </w:rPr>
        <w:t>2</w:t>
      </w:r>
      <w:r w:rsidRPr="00020D59">
        <w:rPr>
          <w:rFonts w:cstheme="minorHAnsi"/>
          <w:sz w:val="24"/>
          <w:szCs w:val="24"/>
          <w:lang w:val="en-GB"/>
        </w:rPr>
        <w:t>,</w:t>
      </w:r>
      <w:r w:rsidR="0076639F" w:rsidRPr="00020D59">
        <w:rPr>
          <w:rFonts w:cstheme="minorHAnsi"/>
          <w:sz w:val="24"/>
          <w:szCs w:val="24"/>
          <w:lang w:val="en-GB"/>
        </w:rPr>
        <w:t>919</w:t>
      </w:r>
      <w:r w:rsidRPr="00020D59">
        <w:rPr>
          <w:rFonts w:cstheme="minorHAnsi"/>
          <w:sz w:val="24"/>
          <w:szCs w:val="24"/>
          <w:lang w:val="en-GB"/>
        </w:rPr>
        <w:t>.</w:t>
      </w:r>
      <w:r w:rsidR="0076639F" w:rsidRPr="00020D59">
        <w:rPr>
          <w:rFonts w:cstheme="minorHAnsi"/>
          <w:sz w:val="24"/>
          <w:szCs w:val="24"/>
          <w:lang w:val="en-GB"/>
        </w:rPr>
        <w:t>0</w:t>
      </w:r>
      <w:r w:rsidRPr="00020D59">
        <w:rPr>
          <w:rFonts w:cstheme="minorHAnsi"/>
          <w:sz w:val="24"/>
          <w:szCs w:val="24"/>
          <w:lang w:val="en-GB"/>
        </w:rPr>
        <w:t>0</w:t>
      </w:r>
      <w:r w:rsidRPr="00395073">
        <w:rPr>
          <w:rFonts w:cstheme="minorHAnsi"/>
          <w:sz w:val="24"/>
          <w:szCs w:val="24"/>
          <w:lang w:val="en-GB"/>
        </w:rPr>
        <w:t xml:space="preserve"> million, representing </w:t>
      </w:r>
      <w:r w:rsidRPr="00020D59">
        <w:rPr>
          <w:rFonts w:cstheme="minorHAnsi"/>
          <w:sz w:val="24"/>
          <w:szCs w:val="24"/>
          <w:lang w:val="en-GB"/>
        </w:rPr>
        <w:t>1</w:t>
      </w:r>
      <w:r w:rsidR="0076639F" w:rsidRPr="00020D59">
        <w:rPr>
          <w:rFonts w:cstheme="minorHAnsi"/>
          <w:sz w:val="24"/>
          <w:szCs w:val="24"/>
          <w:lang w:val="en-GB"/>
        </w:rPr>
        <w:t>0</w:t>
      </w:r>
      <w:r w:rsidRPr="00020D59">
        <w:rPr>
          <w:rFonts w:cstheme="minorHAnsi"/>
          <w:sz w:val="24"/>
          <w:szCs w:val="24"/>
          <w:lang w:val="en-GB"/>
        </w:rPr>
        <w:t>.</w:t>
      </w:r>
      <w:r w:rsidR="0076639F" w:rsidRPr="00020D59">
        <w:rPr>
          <w:rFonts w:cstheme="minorHAnsi"/>
          <w:sz w:val="24"/>
          <w:szCs w:val="24"/>
          <w:lang w:val="en-GB"/>
        </w:rPr>
        <w:t>78</w:t>
      </w:r>
      <w:r w:rsidRPr="00395073">
        <w:rPr>
          <w:rFonts w:cstheme="minorHAnsi"/>
          <w:sz w:val="24"/>
          <w:szCs w:val="24"/>
          <w:lang w:val="en-GB"/>
        </w:rPr>
        <w:t xml:space="preserve"> percent of total assets. The impairment of these financial assets is calculated through the application of the model of expected credit losses in the manner that provisions are recognised in the accounts of other comprehensive income, thus not reducing the carrying amount of these financial assets in the statement on financial position. On the reporting date, they amounted to HRK </w:t>
      </w:r>
      <w:r w:rsidRPr="00020D59">
        <w:rPr>
          <w:rFonts w:cstheme="minorHAnsi"/>
          <w:sz w:val="24"/>
          <w:szCs w:val="24"/>
          <w:lang w:val="en-GB"/>
        </w:rPr>
        <w:t>5.</w:t>
      </w:r>
      <w:r w:rsidR="0076639F" w:rsidRPr="00020D59">
        <w:rPr>
          <w:rFonts w:cstheme="minorHAnsi"/>
          <w:sz w:val="24"/>
          <w:szCs w:val="24"/>
          <w:lang w:val="en-GB"/>
        </w:rPr>
        <w:t>44</w:t>
      </w:r>
      <w:r w:rsidRPr="00395073">
        <w:rPr>
          <w:rFonts w:cstheme="minorHAnsi"/>
          <w:sz w:val="24"/>
          <w:szCs w:val="24"/>
          <w:lang w:val="en-GB"/>
        </w:rPr>
        <w:t xml:space="preserve"> million in other reserves</w:t>
      </w:r>
      <w:r w:rsidRPr="00395073">
        <w:rPr>
          <w:rFonts w:cstheme="minorHAnsi"/>
          <w:color w:val="000000" w:themeColor="text1"/>
          <w:sz w:val="24"/>
          <w:szCs w:val="24"/>
          <w:lang w:val="en-GB"/>
        </w:rPr>
        <w:t>.</w:t>
      </w:r>
    </w:p>
    <w:p w14:paraId="4599AD33" w14:textId="77777777" w:rsidR="00C96DAA" w:rsidRPr="00395073" w:rsidRDefault="00C96DAA" w:rsidP="00C96DAA">
      <w:pPr>
        <w:tabs>
          <w:tab w:val="left" w:pos="-720"/>
        </w:tabs>
        <w:suppressAutoHyphens/>
        <w:spacing w:after="0" w:line="240" w:lineRule="auto"/>
        <w:jc w:val="both"/>
        <w:rPr>
          <w:rFonts w:cstheme="minorHAnsi"/>
          <w:b/>
          <w:i/>
          <w:sz w:val="24"/>
          <w:szCs w:val="24"/>
          <w:lang w:val="en-GB"/>
        </w:rPr>
      </w:pPr>
    </w:p>
    <w:p w14:paraId="33966980" w14:textId="77777777" w:rsidR="00C96DAA" w:rsidRPr="00395073" w:rsidRDefault="00C96DAA" w:rsidP="00C96DAA">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 xml:space="preserve"> b) Equity </w:t>
      </w:r>
      <w:r w:rsidR="00F4218F" w:rsidRPr="00395073">
        <w:rPr>
          <w:rFonts w:cstheme="minorHAnsi"/>
          <w:b/>
          <w:i/>
          <w:sz w:val="24"/>
          <w:szCs w:val="24"/>
          <w:lang w:val="en-GB"/>
        </w:rPr>
        <w:t>instruments</w:t>
      </w:r>
    </w:p>
    <w:p w14:paraId="2C5A2386" w14:textId="77777777" w:rsidR="00C96DAA" w:rsidRPr="00395073" w:rsidRDefault="00C96DAA" w:rsidP="00C96DAA">
      <w:pPr>
        <w:tabs>
          <w:tab w:val="left" w:pos="-720"/>
        </w:tabs>
        <w:suppressAutoHyphens/>
        <w:spacing w:after="0" w:line="240" w:lineRule="auto"/>
        <w:jc w:val="both"/>
        <w:rPr>
          <w:rFonts w:cstheme="minorHAnsi"/>
          <w:b/>
          <w:i/>
          <w:sz w:val="24"/>
          <w:szCs w:val="24"/>
          <w:lang w:val="en-GB"/>
        </w:rPr>
      </w:pPr>
    </w:p>
    <w:p w14:paraId="1911A539" w14:textId="77777777" w:rsidR="00C96DAA" w:rsidRPr="00395073" w:rsidRDefault="00C96DAA" w:rsidP="00C96DAA">
      <w:pPr>
        <w:tabs>
          <w:tab w:val="left" w:pos="-720"/>
        </w:tabs>
        <w:suppressAutoHyphens/>
        <w:spacing w:after="0" w:line="240" w:lineRule="auto"/>
        <w:jc w:val="both"/>
        <w:rPr>
          <w:rFonts w:cstheme="minorHAnsi"/>
          <w:sz w:val="24"/>
          <w:szCs w:val="24"/>
          <w:lang w:val="en-GB"/>
        </w:rPr>
      </w:pPr>
      <w:r w:rsidRPr="00395073">
        <w:rPr>
          <w:rFonts w:cstheme="minorHAnsi"/>
          <w:sz w:val="24"/>
          <w:szCs w:val="24"/>
          <w:lang w:val="en-GB"/>
        </w:rPr>
        <w:t xml:space="preserve">Equity </w:t>
      </w:r>
      <w:r w:rsidR="00F4218F" w:rsidRPr="00395073">
        <w:rPr>
          <w:rFonts w:cstheme="minorHAnsi"/>
          <w:sz w:val="24"/>
          <w:szCs w:val="24"/>
          <w:lang w:val="en-GB"/>
        </w:rPr>
        <w:t>instruments</w:t>
      </w:r>
      <w:r w:rsidRPr="00395073">
        <w:rPr>
          <w:rFonts w:cstheme="minorHAnsi"/>
          <w:sz w:val="24"/>
          <w:szCs w:val="24"/>
          <w:lang w:val="en-GB"/>
        </w:rPr>
        <w:t xml:space="preserve"> (shares of companies) that HBOR does not intend to sell and to which irrevocable option of subsequent measurement of fair value through other comprehensive income without recycling is applied are classified to these assets, </w:t>
      </w:r>
      <w:proofErr w:type="gramStart"/>
      <w:r w:rsidRPr="00395073">
        <w:rPr>
          <w:rFonts w:cstheme="minorHAnsi"/>
          <w:sz w:val="24"/>
          <w:szCs w:val="24"/>
          <w:lang w:val="en-GB"/>
        </w:rPr>
        <w:t>i.e.</w:t>
      </w:r>
      <w:proofErr w:type="gramEnd"/>
      <w:r w:rsidRPr="00395073">
        <w:rPr>
          <w:rFonts w:cstheme="minorHAnsi"/>
          <w:sz w:val="24"/>
          <w:szCs w:val="24"/>
          <w:lang w:val="en-GB"/>
        </w:rPr>
        <w:t xml:space="preserve"> reserves recognised under other comprehensive income will never be transferred to the statement on profit or loss.</w:t>
      </w:r>
    </w:p>
    <w:p w14:paraId="54FC3181" w14:textId="3959E29E" w:rsidR="00C96DAA" w:rsidRPr="00395073" w:rsidRDefault="00C96DAA" w:rsidP="00C96DAA">
      <w:pPr>
        <w:tabs>
          <w:tab w:val="left" w:pos="-720"/>
        </w:tabs>
        <w:suppressAutoHyphens/>
        <w:spacing w:after="0" w:line="240" w:lineRule="auto"/>
        <w:jc w:val="both"/>
        <w:rPr>
          <w:rFonts w:cstheme="minorHAnsi"/>
          <w:spacing w:val="-3"/>
          <w:sz w:val="24"/>
          <w:szCs w:val="24"/>
          <w:lang w:val="en-GB"/>
        </w:rPr>
      </w:pPr>
      <w:r w:rsidRPr="00395073">
        <w:rPr>
          <w:rFonts w:cstheme="minorHAnsi"/>
          <w:sz w:val="24"/>
          <w:szCs w:val="24"/>
          <w:lang w:val="en-GB"/>
        </w:rPr>
        <w:t xml:space="preserve">On the reporting date, these assets amounted to HRK </w:t>
      </w:r>
      <w:r w:rsidRPr="00020D59">
        <w:rPr>
          <w:rFonts w:cstheme="minorHAnsi"/>
          <w:sz w:val="24"/>
          <w:szCs w:val="24"/>
          <w:lang w:val="en-GB"/>
        </w:rPr>
        <w:t>25.</w:t>
      </w:r>
      <w:r w:rsidR="002652AE" w:rsidRPr="00020D59">
        <w:rPr>
          <w:rFonts w:cstheme="minorHAnsi"/>
          <w:sz w:val="24"/>
          <w:szCs w:val="24"/>
          <w:lang w:val="en-GB"/>
        </w:rPr>
        <w:t>73</w:t>
      </w:r>
      <w:r w:rsidRPr="00395073">
        <w:rPr>
          <w:rFonts w:cstheme="minorHAnsi"/>
          <w:sz w:val="24"/>
          <w:szCs w:val="24"/>
          <w:lang w:val="en-GB"/>
        </w:rPr>
        <w:t xml:space="preserve"> million, representing </w:t>
      </w:r>
      <w:r w:rsidRPr="00020D59">
        <w:rPr>
          <w:rFonts w:cstheme="minorHAnsi"/>
          <w:sz w:val="24"/>
          <w:szCs w:val="24"/>
          <w:lang w:val="en-GB"/>
        </w:rPr>
        <w:t>0.</w:t>
      </w:r>
      <w:r w:rsidR="002652AE" w:rsidRPr="00020D59">
        <w:rPr>
          <w:rFonts w:cstheme="minorHAnsi"/>
          <w:sz w:val="24"/>
          <w:szCs w:val="24"/>
          <w:lang w:val="en-GB"/>
        </w:rPr>
        <w:t>1</w:t>
      </w:r>
      <w:r w:rsidRPr="00020D59">
        <w:rPr>
          <w:rFonts w:cstheme="minorHAnsi"/>
          <w:sz w:val="24"/>
          <w:szCs w:val="24"/>
          <w:lang w:val="en-GB"/>
        </w:rPr>
        <w:t>0</w:t>
      </w:r>
      <w:r w:rsidRPr="00395073">
        <w:rPr>
          <w:rFonts w:cstheme="minorHAnsi"/>
          <w:sz w:val="24"/>
          <w:szCs w:val="24"/>
          <w:lang w:val="en-GB"/>
        </w:rPr>
        <w:t xml:space="preserve"> percent of total assets</w:t>
      </w:r>
      <w:r w:rsidRPr="00395073">
        <w:rPr>
          <w:rFonts w:cstheme="minorHAnsi"/>
          <w:spacing w:val="-3"/>
          <w:sz w:val="24"/>
          <w:szCs w:val="24"/>
          <w:lang w:val="en-GB"/>
        </w:rPr>
        <w:t>.</w:t>
      </w:r>
    </w:p>
    <w:p w14:paraId="6A040BBC" w14:textId="77777777" w:rsidR="00C96DAA" w:rsidRPr="00395073" w:rsidRDefault="00C96DAA" w:rsidP="00C96DAA">
      <w:pPr>
        <w:spacing w:after="0" w:line="240" w:lineRule="auto"/>
        <w:jc w:val="both"/>
        <w:rPr>
          <w:rFonts w:eastAsia="Times New Roman" w:cs="Calibri"/>
          <w:b/>
          <w:i/>
          <w:spacing w:val="-3"/>
          <w:sz w:val="24"/>
          <w:szCs w:val="24"/>
          <w:lang w:val="en-GB" w:eastAsia="hr-HR"/>
        </w:rPr>
      </w:pPr>
    </w:p>
    <w:p w14:paraId="38431E63" w14:textId="77777777" w:rsidR="00C96DAA" w:rsidRPr="00395073" w:rsidRDefault="00C96DAA" w:rsidP="00C96DAA">
      <w:pPr>
        <w:tabs>
          <w:tab w:val="left" w:pos="-720"/>
        </w:tabs>
        <w:suppressAutoHyphens/>
        <w:spacing w:after="0" w:line="240" w:lineRule="auto"/>
        <w:jc w:val="both"/>
        <w:rPr>
          <w:rFonts w:cstheme="minorHAnsi"/>
          <w:spacing w:val="-3"/>
          <w:sz w:val="24"/>
          <w:szCs w:val="24"/>
          <w:lang w:val="en-GB"/>
        </w:rPr>
      </w:pPr>
    </w:p>
    <w:p w14:paraId="01F195CF" w14:textId="77777777" w:rsidR="00C96DAA" w:rsidRPr="00395073" w:rsidRDefault="00C96DAA" w:rsidP="00C96DAA">
      <w:pPr>
        <w:tabs>
          <w:tab w:val="left" w:pos="-720"/>
        </w:tabs>
        <w:suppressAutoHyphens/>
        <w:spacing w:after="0" w:line="240" w:lineRule="auto"/>
        <w:jc w:val="both"/>
        <w:rPr>
          <w:rFonts w:cstheme="minorHAnsi"/>
          <w:spacing w:val="-3"/>
          <w:sz w:val="24"/>
          <w:szCs w:val="24"/>
          <w:lang w:val="en-GB"/>
        </w:rPr>
      </w:pPr>
    </w:p>
    <w:p w14:paraId="2C0CD182" w14:textId="77777777" w:rsidR="00C96DAA" w:rsidRPr="00395073" w:rsidRDefault="00C96DAA" w:rsidP="00C96DAA">
      <w:pPr>
        <w:tabs>
          <w:tab w:val="left" w:pos="-720"/>
        </w:tabs>
        <w:suppressAutoHyphens/>
        <w:spacing w:after="0" w:line="240" w:lineRule="auto"/>
        <w:jc w:val="both"/>
        <w:rPr>
          <w:rFonts w:cstheme="minorHAnsi"/>
          <w:spacing w:val="-3"/>
          <w:sz w:val="24"/>
          <w:szCs w:val="24"/>
          <w:lang w:val="en-GB"/>
        </w:rPr>
      </w:pPr>
    </w:p>
    <w:p w14:paraId="02CE419F" w14:textId="77777777" w:rsidR="00C96DAA" w:rsidRPr="00395073" w:rsidRDefault="00C96DAA" w:rsidP="00C96DAA">
      <w:pPr>
        <w:tabs>
          <w:tab w:val="left" w:pos="-720"/>
        </w:tabs>
        <w:suppressAutoHyphens/>
        <w:spacing w:after="0" w:line="240" w:lineRule="auto"/>
        <w:jc w:val="both"/>
        <w:rPr>
          <w:rFonts w:cstheme="minorHAnsi"/>
          <w:spacing w:val="-3"/>
          <w:sz w:val="24"/>
          <w:szCs w:val="24"/>
          <w:lang w:val="en-GB"/>
        </w:rPr>
        <w:sectPr w:rsidR="00C96DAA" w:rsidRPr="00395073" w:rsidSect="00F11426">
          <w:footerReference w:type="default" r:id="rId38"/>
          <w:pgSz w:w="11906" w:h="16838"/>
          <w:pgMar w:top="1417" w:right="1416" w:bottom="1417" w:left="1417" w:header="708" w:footer="708" w:gutter="0"/>
          <w:cols w:space="708"/>
          <w:docGrid w:linePitch="360"/>
        </w:sectPr>
      </w:pPr>
    </w:p>
    <w:p w14:paraId="3DB82FA1" w14:textId="77777777" w:rsidR="00C96DAA" w:rsidRPr="00395073" w:rsidRDefault="00C96DAA" w:rsidP="00C96DAA">
      <w:pPr>
        <w:tabs>
          <w:tab w:val="left" w:pos="-720"/>
        </w:tabs>
        <w:suppressAutoHyphens/>
        <w:spacing w:after="0" w:line="240" w:lineRule="auto"/>
        <w:ind w:right="-284" w:hanging="567"/>
        <w:jc w:val="both"/>
        <w:rPr>
          <w:rFonts w:cstheme="minorHAnsi"/>
          <w:spacing w:val="-3"/>
          <w:sz w:val="24"/>
          <w:szCs w:val="24"/>
          <w:lang w:val="en-GB"/>
        </w:rPr>
      </w:pPr>
    </w:p>
    <w:p w14:paraId="5E07F62D" w14:textId="77777777" w:rsidR="00C341AE" w:rsidRPr="00395073" w:rsidRDefault="00C341AE" w:rsidP="00C96DAA">
      <w:pPr>
        <w:tabs>
          <w:tab w:val="left" w:pos="-720"/>
        </w:tabs>
        <w:suppressAutoHyphens/>
        <w:spacing w:after="0" w:line="240" w:lineRule="auto"/>
        <w:ind w:right="-284" w:hanging="567"/>
        <w:jc w:val="both"/>
        <w:rPr>
          <w:rFonts w:cstheme="minorHAnsi"/>
          <w:spacing w:val="-3"/>
          <w:sz w:val="24"/>
          <w:szCs w:val="24"/>
          <w:lang w:val="en-GB"/>
        </w:rPr>
      </w:pPr>
      <w:r w:rsidRPr="00395073">
        <w:rPr>
          <w:rFonts w:cstheme="minorHAnsi"/>
          <w:spacing w:val="-3"/>
          <w:sz w:val="24"/>
          <w:szCs w:val="24"/>
          <w:lang w:val="en-GB"/>
        </w:rPr>
        <w:t xml:space="preserve">    </w:t>
      </w:r>
      <w:r w:rsidR="00245155" w:rsidRPr="00395073">
        <w:rPr>
          <w:rFonts w:cstheme="minorHAnsi"/>
          <w:spacing w:val="-3"/>
          <w:sz w:val="24"/>
          <w:szCs w:val="24"/>
          <w:lang w:val="en-GB"/>
        </w:rPr>
        <w:t xml:space="preserve">          </w:t>
      </w:r>
      <w:r w:rsidRPr="00395073">
        <w:rPr>
          <w:rFonts w:cstheme="minorHAnsi"/>
          <w:spacing w:val="-3"/>
          <w:sz w:val="24"/>
          <w:szCs w:val="24"/>
          <w:lang w:val="en-GB"/>
        </w:rPr>
        <w:t xml:space="preserve">  </w:t>
      </w:r>
      <w:r w:rsidRPr="00395073">
        <w:rPr>
          <w:rFonts w:cstheme="minorHAnsi"/>
          <w:noProof/>
          <w:spacing w:val="-3"/>
          <w:sz w:val="24"/>
          <w:szCs w:val="24"/>
          <w:lang w:val="en-GB" w:eastAsia="hr-HR"/>
        </w:rPr>
        <w:t xml:space="preserve"> </w:t>
      </w:r>
      <w:r w:rsidR="00245155" w:rsidRPr="00395073">
        <w:rPr>
          <w:rFonts w:cstheme="minorHAnsi"/>
          <w:noProof/>
          <w:spacing w:val="-3"/>
          <w:sz w:val="24"/>
          <w:szCs w:val="24"/>
          <w:lang w:val="en-GB" w:eastAsia="hr-HR"/>
        </w:rPr>
        <w:drawing>
          <wp:inline distT="0" distB="0" distL="0" distR="0" wp14:anchorId="731A95BB" wp14:editId="5DEF0950">
            <wp:extent cx="2458239" cy="3240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58239" cy="3240000"/>
                    </a:xfrm>
                    <a:prstGeom prst="rect">
                      <a:avLst/>
                    </a:prstGeom>
                    <a:noFill/>
                  </pic:spPr>
                </pic:pic>
              </a:graphicData>
            </a:graphic>
          </wp:inline>
        </w:drawing>
      </w:r>
      <w:r w:rsidRPr="00395073">
        <w:rPr>
          <w:rFonts w:cstheme="minorHAnsi"/>
          <w:noProof/>
          <w:spacing w:val="-3"/>
          <w:sz w:val="24"/>
          <w:szCs w:val="24"/>
          <w:lang w:val="en-GB" w:eastAsia="hr-HR"/>
        </w:rPr>
        <w:t xml:space="preserve">  </w:t>
      </w:r>
      <w:r w:rsidR="00245155" w:rsidRPr="00395073">
        <w:rPr>
          <w:rFonts w:cstheme="minorHAnsi"/>
          <w:noProof/>
          <w:spacing w:val="-3"/>
          <w:sz w:val="24"/>
          <w:szCs w:val="24"/>
          <w:lang w:val="en-GB" w:eastAsia="hr-HR"/>
        </w:rPr>
        <w:t xml:space="preserve">    </w:t>
      </w:r>
      <w:r w:rsidRPr="00395073">
        <w:rPr>
          <w:rFonts w:cstheme="minorHAnsi"/>
          <w:noProof/>
          <w:spacing w:val="-3"/>
          <w:sz w:val="24"/>
          <w:szCs w:val="24"/>
          <w:lang w:val="en-GB" w:eastAsia="hr-HR"/>
        </w:rPr>
        <w:t xml:space="preserve"> </w:t>
      </w:r>
      <w:r w:rsidR="00245155" w:rsidRPr="00395073">
        <w:rPr>
          <w:rFonts w:cstheme="minorHAnsi"/>
          <w:noProof/>
          <w:spacing w:val="-3"/>
          <w:sz w:val="24"/>
          <w:szCs w:val="24"/>
          <w:lang w:val="en-GB" w:eastAsia="hr-HR"/>
        </w:rPr>
        <w:t xml:space="preserve">  </w:t>
      </w:r>
      <w:r w:rsidRPr="00395073">
        <w:rPr>
          <w:rFonts w:cstheme="minorHAnsi"/>
          <w:noProof/>
          <w:spacing w:val="-3"/>
          <w:sz w:val="24"/>
          <w:szCs w:val="24"/>
          <w:lang w:val="en-GB" w:eastAsia="hr-HR"/>
        </w:rPr>
        <w:t xml:space="preserve">  </w:t>
      </w:r>
      <w:r w:rsidR="00245155" w:rsidRPr="00395073">
        <w:rPr>
          <w:rFonts w:cstheme="minorHAnsi"/>
          <w:noProof/>
          <w:spacing w:val="-3"/>
          <w:sz w:val="24"/>
          <w:szCs w:val="24"/>
          <w:lang w:val="en-GB" w:eastAsia="hr-HR"/>
        </w:rPr>
        <w:drawing>
          <wp:inline distT="0" distB="0" distL="0" distR="0" wp14:anchorId="36452EEF" wp14:editId="17265DBE">
            <wp:extent cx="2458239" cy="3240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58239" cy="3240000"/>
                    </a:xfrm>
                    <a:prstGeom prst="rect">
                      <a:avLst/>
                    </a:prstGeom>
                    <a:noFill/>
                  </pic:spPr>
                </pic:pic>
              </a:graphicData>
            </a:graphic>
          </wp:inline>
        </w:drawing>
      </w:r>
    </w:p>
    <w:p w14:paraId="727C0026" w14:textId="77777777" w:rsidR="00C96DAA" w:rsidRPr="00395073" w:rsidRDefault="00C96DAA" w:rsidP="00C96DAA">
      <w:pPr>
        <w:tabs>
          <w:tab w:val="left" w:pos="-720"/>
        </w:tabs>
        <w:suppressAutoHyphens/>
        <w:spacing w:after="0" w:line="240" w:lineRule="auto"/>
        <w:ind w:right="-284" w:hanging="567"/>
        <w:jc w:val="both"/>
        <w:rPr>
          <w:rFonts w:cstheme="minorHAnsi"/>
          <w:spacing w:val="-3"/>
          <w:sz w:val="24"/>
          <w:szCs w:val="24"/>
          <w:lang w:val="en-GB"/>
        </w:rPr>
      </w:pPr>
    </w:p>
    <w:p w14:paraId="1A1EAFE9" w14:textId="77777777" w:rsidR="00C96DAA" w:rsidRPr="00395073" w:rsidRDefault="00C96DAA" w:rsidP="00C96DAA">
      <w:pPr>
        <w:tabs>
          <w:tab w:val="left" w:pos="-720"/>
        </w:tabs>
        <w:suppressAutoHyphens/>
        <w:spacing w:after="0" w:line="240" w:lineRule="auto"/>
        <w:ind w:right="-284" w:hanging="567"/>
        <w:jc w:val="both"/>
        <w:rPr>
          <w:rFonts w:cstheme="minorHAnsi"/>
          <w:spacing w:val="-3"/>
          <w:sz w:val="24"/>
          <w:szCs w:val="24"/>
          <w:lang w:val="en-GB"/>
        </w:rPr>
      </w:pPr>
    </w:p>
    <w:p w14:paraId="264F4C19" w14:textId="77777777" w:rsidR="00C96DAA" w:rsidRPr="00395073" w:rsidRDefault="00C96DAA" w:rsidP="00C96DAA">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t xml:space="preserve">Total liabilities </w:t>
      </w:r>
    </w:p>
    <w:p w14:paraId="4B271560" w14:textId="77777777" w:rsidR="00C96DAA" w:rsidRPr="00395073" w:rsidRDefault="00C96DAA" w:rsidP="00C96DAA">
      <w:pPr>
        <w:tabs>
          <w:tab w:val="left" w:pos="-720"/>
        </w:tabs>
        <w:suppressAutoHyphens/>
        <w:spacing w:after="0" w:line="240" w:lineRule="auto"/>
        <w:jc w:val="both"/>
        <w:rPr>
          <w:rFonts w:eastAsia="Times New Roman" w:cs="Calibri"/>
          <w:b/>
          <w:i/>
          <w:spacing w:val="-3"/>
          <w:sz w:val="24"/>
          <w:szCs w:val="24"/>
          <w:lang w:val="en-GB" w:eastAsia="hr-HR"/>
        </w:rPr>
      </w:pPr>
    </w:p>
    <w:p w14:paraId="356BE9DA" w14:textId="6E216A5A" w:rsidR="00C96DAA" w:rsidRPr="00395073" w:rsidRDefault="00C96DAA" w:rsidP="00C96DAA">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As </w:t>
      </w:r>
      <w:proofErr w:type="gramStart"/>
      <w:r w:rsidRPr="00395073">
        <w:rPr>
          <w:rFonts w:cstheme="minorHAnsi"/>
          <w:spacing w:val="-3"/>
          <w:sz w:val="24"/>
          <w:szCs w:val="24"/>
          <w:lang w:val="en-GB"/>
        </w:rPr>
        <w:t>at</w:t>
      </w:r>
      <w:proofErr w:type="gramEnd"/>
      <w:r w:rsidRPr="00395073">
        <w:rPr>
          <w:rFonts w:cstheme="minorHAnsi"/>
          <w:spacing w:val="-3"/>
          <w:sz w:val="24"/>
          <w:szCs w:val="24"/>
          <w:lang w:val="en-GB"/>
        </w:rPr>
        <w:t xml:space="preserve"> 30 </w:t>
      </w:r>
      <w:r w:rsidR="00E26555" w:rsidRPr="00395073">
        <w:rPr>
          <w:rFonts w:cstheme="minorHAnsi"/>
          <w:spacing w:val="-3"/>
          <w:sz w:val="24"/>
          <w:szCs w:val="24"/>
          <w:lang w:val="en-GB"/>
        </w:rPr>
        <w:t>September</w:t>
      </w:r>
      <w:r w:rsidRPr="00395073">
        <w:rPr>
          <w:rFonts w:cstheme="minorHAnsi"/>
          <w:spacing w:val="-3"/>
          <w:sz w:val="24"/>
          <w:szCs w:val="24"/>
          <w:lang w:val="en-GB"/>
        </w:rPr>
        <w:t xml:space="preserve"> 2018, total liabilities amounted to </w:t>
      </w:r>
      <w:r w:rsidRPr="009628A7">
        <w:rPr>
          <w:rFonts w:cstheme="minorHAnsi"/>
          <w:spacing w:val="-3"/>
          <w:sz w:val="24"/>
          <w:szCs w:val="24"/>
          <w:lang w:val="en-GB"/>
        </w:rPr>
        <w:t xml:space="preserve">HRK </w:t>
      </w:r>
      <w:r w:rsidRPr="00020D59">
        <w:rPr>
          <w:rFonts w:cstheme="minorHAnsi"/>
          <w:spacing w:val="-3"/>
          <w:sz w:val="24"/>
          <w:szCs w:val="24"/>
          <w:lang w:val="en-GB"/>
        </w:rPr>
        <w:t>1</w:t>
      </w:r>
      <w:r w:rsidR="002652AE" w:rsidRPr="00020D59">
        <w:rPr>
          <w:rFonts w:cstheme="minorHAnsi"/>
          <w:spacing w:val="-3"/>
          <w:sz w:val="24"/>
          <w:szCs w:val="24"/>
          <w:lang w:val="en-GB"/>
        </w:rPr>
        <w:t>7</w:t>
      </w:r>
      <w:r w:rsidRPr="00020D59">
        <w:rPr>
          <w:rFonts w:cstheme="minorHAnsi"/>
          <w:spacing w:val="-3"/>
          <w:sz w:val="24"/>
          <w:szCs w:val="24"/>
          <w:lang w:val="en-GB"/>
        </w:rPr>
        <w:t>,</w:t>
      </w:r>
      <w:r w:rsidR="002652AE" w:rsidRPr="00020D59">
        <w:rPr>
          <w:rFonts w:cstheme="minorHAnsi"/>
          <w:spacing w:val="-3"/>
          <w:sz w:val="24"/>
          <w:szCs w:val="24"/>
          <w:lang w:val="en-GB"/>
        </w:rPr>
        <w:t>116</w:t>
      </w:r>
      <w:r w:rsidRPr="00020D59">
        <w:rPr>
          <w:rFonts w:cstheme="minorHAnsi"/>
          <w:spacing w:val="-3"/>
          <w:sz w:val="24"/>
          <w:szCs w:val="24"/>
          <w:lang w:val="en-GB"/>
        </w:rPr>
        <w:t>.</w:t>
      </w:r>
      <w:r w:rsidR="002652AE" w:rsidRPr="00020D59">
        <w:rPr>
          <w:rFonts w:cstheme="minorHAnsi"/>
          <w:spacing w:val="-3"/>
          <w:sz w:val="24"/>
          <w:szCs w:val="24"/>
          <w:lang w:val="en-GB"/>
        </w:rPr>
        <w:t>87</w:t>
      </w:r>
      <w:r w:rsidRPr="00395073">
        <w:rPr>
          <w:rFonts w:cstheme="minorHAnsi"/>
          <w:spacing w:val="-3"/>
          <w:sz w:val="24"/>
          <w:szCs w:val="24"/>
          <w:lang w:val="en-GB"/>
        </w:rPr>
        <w:t xml:space="preserve"> million, which represents </w:t>
      </w:r>
      <w:r w:rsidRPr="00020D59">
        <w:rPr>
          <w:rFonts w:cstheme="minorHAnsi"/>
          <w:spacing w:val="-3"/>
          <w:sz w:val="24"/>
          <w:szCs w:val="24"/>
          <w:lang w:val="en-GB"/>
        </w:rPr>
        <w:t>6</w:t>
      </w:r>
      <w:r w:rsidR="002652AE" w:rsidRPr="00020D59">
        <w:rPr>
          <w:rFonts w:cstheme="minorHAnsi"/>
          <w:spacing w:val="-3"/>
          <w:sz w:val="24"/>
          <w:szCs w:val="24"/>
          <w:lang w:val="en-GB"/>
        </w:rPr>
        <w:t>3</w:t>
      </w:r>
      <w:r w:rsidRPr="00020D59">
        <w:rPr>
          <w:rFonts w:cstheme="minorHAnsi"/>
          <w:spacing w:val="-3"/>
          <w:sz w:val="24"/>
          <w:szCs w:val="24"/>
          <w:lang w:val="en-GB"/>
        </w:rPr>
        <w:t>.</w:t>
      </w:r>
      <w:r w:rsidR="002652AE" w:rsidRPr="00020D59">
        <w:rPr>
          <w:rFonts w:cstheme="minorHAnsi"/>
          <w:spacing w:val="-3"/>
          <w:sz w:val="24"/>
          <w:szCs w:val="24"/>
          <w:lang w:val="en-GB"/>
        </w:rPr>
        <w:t>2</w:t>
      </w:r>
      <w:r w:rsidRPr="00020D59">
        <w:rPr>
          <w:rFonts w:cstheme="minorHAnsi"/>
          <w:spacing w:val="-3"/>
          <w:sz w:val="24"/>
          <w:szCs w:val="24"/>
          <w:lang w:val="en-GB"/>
        </w:rPr>
        <w:t>3</w:t>
      </w:r>
      <w:r w:rsidRPr="00395073">
        <w:rPr>
          <w:rFonts w:cstheme="minorHAnsi"/>
          <w:spacing w:val="-3"/>
          <w:sz w:val="24"/>
          <w:szCs w:val="24"/>
          <w:lang w:val="en-GB"/>
        </w:rPr>
        <w:t xml:space="preserve"> percent of total liabilities and total equity. </w:t>
      </w:r>
      <w:proofErr w:type="gramStart"/>
      <w:r w:rsidRPr="00395073">
        <w:rPr>
          <w:rFonts w:cstheme="minorHAnsi"/>
          <w:spacing w:val="-3"/>
          <w:sz w:val="24"/>
          <w:szCs w:val="24"/>
          <w:lang w:val="en-GB"/>
        </w:rPr>
        <w:t>The</w:t>
      </w:r>
      <w:proofErr w:type="gramEnd"/>
      <w:r w:rsidRPr="00395073">
        <w:rPr>
          <w:rFonts w:cstheme="minorHAnsi"/>
          <w:spacing w:val="-3"/>
          <w:sz w:val="24"/>
          <w:szCs w:val="24"/>
          <w:lang w:val="en-GB"/>
        </w:rPr>
        <w:t xml:space="preserve"> major part of total liabilities consists of HBOR’s foreign borrowings and bonds payable in the total amount of HRK </w:t>
      </w:r>
      <w:r w:rsidRPr="00020D59">
        <w:rPr>
          <w:rFonts w:cstheme="minorHAnsi"/>
          <w:spacing w:val="-3"/>
          <w:sz w:val="24"/>
          <w:szCs w:val="24"/>
          <w:lang w:val="en-GB"/>
        </w:rPr>
        <w:t>16,</w:t>
      </w:r>
      <w:r w:rsidR="002652AE" w:rsidRPr="00020D59">
        <w:rPr>
          <w:rFonts w:cstheme="minorHAnsi"/>
          <w:spacing w:val="-3"/>
          <w:sz w:val="24"/>
          <w:szCs w:val="24"/>
          <w:lang w:val="en-GB"/>
        </w:rPr>
        <w:t>2</w:t>
      </w:r>
      <w:r w:rsidRPr="00020D59">
        <w:rPr>
          <w:rFonts w:cstheme="minorHAnsi"/>
          <w:spacing w:val="-3"/>
          <w:sz w:val="24"/>
          <w:szCs w:val="24"/>
          <w:lang w:val="en-GB"/>
        </w:rPr>
        <w:t>1</w:t>
      </w:r>
      <w:r w:rsidR="002652AE" w:rsidRPr="00020D59">
        <w:rPr>
          <w:rFonts w:cstheme="minorHAnsi"/>
          <w:spacing w:val="-3"/>
          <w:sz w:val="24"/>
          <w:szCs w:val="24"/>
          <w:lang w:val="en-GB"/>
        </w:rPr>
        <w:t>5</w:t>
      </w:r>
      <w:r w:rsidRPr="00020D59">
        <w:rPr>
          <w:rFonts w:cstheme="minorHAnsi"/>
          <w:spacing w:val="-3"/>
          <w:sz w:val="24"/>
          <w:szCs w:val="24"/>
          <w:lang w:val="en-GB"/>
        </w:rPr>
        <w:t>.</w:t>
      </w:r>
      <w:r w:rsidR="002652AE" w:rsidRPr="00020D59">
        <w:rPr>
          <w:rFonts w:cstheme="minorHAnsi"/>
          <w:spacing w:val="-3"/>
          <w:sz w:val="24"/>
          <w:szCs w:val="24"/>
          <w:lang w:val="en-GB"/>
        </w:rPr>
        <w:t>33</w:t>
      </w:r>
      <w:r w:rsidRPr="00395073">
        <w:rPr>
          <w:rFonts w:cstheme="minorHAnsi"/>
          <w:spacing w:val="-3"/>
          <w:sz w:val="24"/>
          <w:szCs w:val="24"/>
          <w:lang w:val="en-GB"/>
        </w:rPr>
        <w:t xml:space="preserve"> million. </w:t>
      </w:r>
    </w:p>
    <w:p w14:paraId="07F73235" w14:textId="77777777" w:rsidR="00C96DAA" w:rsidRPr="00395073" w:rsidRDefault="00C96DAA" w:rsidP="00C96DAA">
      <w:pPr>
        <w:tabs>
          <w:tab w:val="left" w:pos="-720"/>
          <w:tab w:val="left" w:pos="426"/>
        </w:tabs>
        <w:suppressAutoHyphens/>
        <w:spacing w:after="0" w:line="240" w:lineRule="auto"/>
        <w:jc w:val="both"/>
        <w:rPr>
          <w:rFonts w:eastAsia="Times New Roman" w:cs="Calibri"/>
          <w:spacing w:val="-3"/>
          <w:sz w:val="24"/>
          <w:szCs w:val="24"/>
          <w:lang w:val="en-GB" w:eastAsia="hr-HR"/>
        </w:rPr>
      </w:pPr>
    </w:p>
    <w:p w14:paraId="314DBED9" w14:textId="12F9FCE1" w:rsidR="00C96DAA" w:rsidRPr="00395073" w:rsidRDefault="00C96DAA" w:rsidP="00C96DAA">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Borrowings and bonds payable </w:t>
      </w:r>
      <w:r w:rsidRPr="00020D59">
        <w:rPr>
          <w:rFonts w:cstheme="minorHAnsi"/>
          <w:spacing w:val="-3"/>
          <w:sz w:val="24"/>
          <w:szCs w:val="24"/>
          <w:lang w:val="en-GB"/>
        </w:rPr>
        <w:t>decreased</w:t>
      </w:r>
      <w:r w:rsidRPr="00395073">
        <w:rPr>
          <w:rFonts w:cstheme="minorHAnsi"/>
          <w:spacing w:val="-3"/>
          <w:sz w:val="24"/>
          <w:szCs w:val="24"/>
          <w:lang w:val="en-GB"/>
        </w:rPr>
        <w:t xml:space="preserve"> </w:t>
      </w:r>
      <w:r w:rsidRPr="009628A7">
        <w:rPr>
          <w:rFonts w:cstheme="minorHAnsi"/>
          <w:spacing w:val="-3"/>
          <w:sz w:val="24"/>
          <w:szCs w:val="24"/>
          <w:lang w:val="en-GB"/>
        </w:rPr>
        <w:t xml:space="preserve">by </w:t>
      </w:r>
      <w:r w:rsidRPr="00020D59">
        <w:rPr>
          <w:rFonts w:cstheme="minorHAnsi"/>
          <w:spacing w:val="-3"/>
          <w:sz w:val="24"/>
          <w:szCs w:val="24"/>
          <w:lang w:val="en-GB"/>
        </w:rPr>
        <w:t>2.</w:t>
      </w:r>
      <w:r w:rsidR="002652AE" w:rsidRPr="00020D59">
        <w:rPr>
          <w:rFonts w:cstheme="minorHAnsi"/>
          <w:spacing w:val="-3"/>
          <w:sz w:val="24"/>
          <w:szCs w:val="24"/>
          <w:lang w:val="en-GB"/>
        </w:rPr>
        <w:t>0</w:t>
      </w:r>
      <w:r w:rsidRPr="00020D59">
        <w:rPr>
          <w:rFonts w:cstheme="minorHAnsi"/>
          <w:spacing w:val="-3"/>
          <w:sz w:val="24"/>
          <w:szCs w:val="24"/>
          <w:lang w:val="en-GB"/>
        </w:rPr>
        <w:t>2</w:t>
      </w:r>
      <w:r w:rsidRPr="00395073">
        <w:rPr>
          <w:rFonts w:cstheme="minorHAnsi"/>
          <w:spacing w:val="-3"/>
          <w:sz w:val="24"/>
          <w:szCs w:val="24"/>
          <w:lang w:val="en-GB"/>
        </w:rPr>
        <w:t xml:space="preserve"> percent compared with the beginning of the year, whereas changes in these liabilities are shown in the following table:</w:t>
      </w:r>
    </w:p>
    <w:p w14:paraId="0E9F4907" w14:textId="77777777" w:rsidR="00C96DAA" w:rsidRPr="00395073" w:rsidRDefault="00C96DAA" w:rsidP="00C96DAA">
      <w:pPr>
        <w:tabs>
          <w:tab w:val="left" w:pos="-720"/>
        </w:tabs>
        <w:suppressAutoHyphens/>
        <w:spacing w:after="0" w:line="240" w:lineRule="auto"/>
        <w:jc w:val="both"/>
        <w:rPr>
          <w:rFonts w:cstheme="minorHAnsi"/>
          <w:spacing w:val="-3"/>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C96DAA" w:rsidRPr="00395073" w14:paraId="6EB4F823" w14:textId="77777777" w:rsidTr="00DB4942">
        <w:trPr>
          <w:trHeight w:val="295"/>
        </w:trPr>
        <w:tc>
          <w:tcPr>
            <w:tcW w:w="6379" w:type="dxa"/>
            <w:vAlign w:val="bottom"/>
          </w:tcPr>
          <w:p w14:paraId="0FC13BE1" w14:textId="77777777" w:rsidR="00C96DAA" w:rsidRPr="00395073" w:rsidRDefault="00C96DAA" w:rsidP="00DB4942">
            <w:pPr>
              <w:tabs>
                <w:tab w:val="left" w:pos="-720"/>
              </w:tabs>
              <w:suppressAutoHyphens/>
              <w:rPr>
                <w:rFonts w:cstheme="minorHAnsi"/>
                <w:spacing w:val="-3"/>
                <w:sz w:val="24"/>
                <w:szCs w:val="24"/>
                <w:lang w:val="en-GB"/>
              </w:rPr>
            </w:pPr>
          </w:p>
        </w:tc>
        <w:tc>
          <w:tcPr>
            <w:tcW w:w="2684" w:type="dxa"/>
            <w:vAlign w:val="bottom"/>
          </w:tcPr>
          <w:p w14:paraId="0322F245" w14:textId="77777777" w:rsidR="00C96DAA" w:rsidRPr="00395073" w:rsidRDefault="00C96DAA" w:rsidP="00DB4942">
            <w:pPr>
              <w:tabs>
                <w:tab w:val="left" w:pos="-720"/>
              </w:tabs>
              <w:suppressAutoHyphens/>
              <w:jc w:val="right"/>
              <w:rPr>
                <w:rFonts w:cstheme="minorHAnsi"/>
                <w:spacing w:val="-3"/>
                <w:sz w:val="24"/>
                <w:szCs w:val="24"/>
                <w:lang w:val="en-GB"/>
              </w:rPr>
            </w:pPr>
            <w:r w:rsidRPr="00395073">
              <w:rPr>
                <w:rFonts w:cstheme="minorHAnsi"/>
                <w:spacing w:val="-3"/>
                <w:sz w:val="24"/>
                <w:szCs w:val="24"/>
                <w:lang w:val="en-GB"/>
              </w:rPr>
              <w:t>(</w:t>
            </w:r>
            <w:proofErr w:type="gramStart"/>
            <w:r w:rsidRPr="00395073">
              <w:rPr>
                <w:rFonts w:cstheme="minorHAnsi"/>
                <w:spacing w:val="-3"/>
                <w:sz w:val="24"/>
                <w:szCs w:val="24"/>
                <w:lang w:val="en-GB"/>
              </w:rPr>
              <w:t>in</w:t>
            </w:r>
            <w:proofErr w:type="gramEnd"/>
            <w:r w:rsidRPr="00395073">
              <w:rPr>
                <w:rFonts w:cstheme="minorHAnsi"/>
                <w:spacing w:val="-3"/>
                <w:sz w:val="24"/>
                <w:szCs w:val="24"/>
                <w:lang w:val="en-GB"/>
              </w:rPr>
              <w:t xml:space="preserve"> HRK millions)</w:t>
            </w:r>
          </w:p>
        </w:tc>
      </w:tr>
      <w:tr w:rsidR="00C96DAA" w:rsidRPr="00395073" w14:paraId="4AEF77A6" w14:textId="77777777" w:rsidTr="00DB4942">
        <w:tc>
          <w:tcPr>
            <w:tcW w:w="6379" w:type="dxa"/>
          </w:tcPr>
          <w:p w14:paraId="2FA043F7" w14:textId="77777777" w:rsidR="00C96DAA" w:rsidRPr="00395073" w:rsidRDefault="00C96DAA" w:rsidP="00DB4942">
            <w:pPr>
              <w:tabs>
                <w:tab w:val="left" w:pos="-720"/>
              </w:tabs>
              <w:suppressAutoHyphens/>
              <w:rPr>
                <w:rFonts w:cstheme="minorHAnsi"/>
                <w:spacing w:val="-3"/>
                <w:sz w:val="24"/>
                <w:szCs w:val="24"/>
                <w:lang w:val="en-GB"/>
              </w:rPr>
            </w:pPr>
            <w:r w:rsidRPr="00395073">
              <w:rPr>
                <w:rFonts w:cstheme="minorHAnsi"/>
                <w:spacing w:val="-3"/>
                <w:sz w:val="24"/>
                <w:szCs w:val="24"/>
                <w:lang w:val="en-GB"/>
              </w:rPr>
              <w:t>- Draw-down of funds borrowed under previously contracted</w:t>
            </w:r>
          </w:p>
          <w:p w14:paraId="325C1ED7" w14:textId="77777777" w:rsidR="00C96DAA" w:rsidRPr="00395073" w:rsidRDefault="00C96DAA" w:rsidP="00DB4942">
            <w:pPr>
              <w:tabs>
                <w:tab w:val="left" w:pos="-720"/>
              </w:tabs>
              <w:suppressAutoHyphens/>
              <w:rPr>
                <w:rFonts w:cstheme="minorHAnsi"/>
                <w:spacing w:val="-3"/>
                <w:sz w:val="24"/>
                <w:szCs w:val="24"/>
                <w:lang w:val="en-GB"/>
              </w:rPr>
            </w:pPr>
            <w:r w:rsidRPr="00395073">
              <w:rPr>
                <w:rFonts w:cstheme="minorHAnsi"/>
                <w:spacing w:val="-3"/>
                <w:sz w:val="24"/>
                <w:szCs w:val="24"/>
                <w:lang w:val="en-GB"/>
              </w:rPr>
              <w:t xml:space="preserve">  funds of special financial institutions   </w:t>
            </w:r>
          </w:p>
        </w:tc>
        <w:tc>
          <w:tcPr>
            <w:tcW w:w="2684" w:type="dxa"/>
          </w:tcPr>
          <w:p w14:paraId="1317FC38" w14:textId="77777777" w:rsidR="00C96DAA" w:rsidRPr="00020D59" w:rsidRDefault="00C96DAA" w:rsidP="00DB4942">
            <w:pPr>
              <w:tabs>
                <w:tab w:val="left" w:pos="-720"/>
              </w:tabs>
              <w:suppressAutoHyphens/>
              <w:jc w:val="right"/>
              <w:rPr>
                <w:rFonts w:cstheme="minorHAnsi"/>
                <w:spacing w:val="-3"/>
                <w:sz w:val="24"/>
                <w:szCs w:val="24"/>
                <w:lang w:val="en-GB"/>
              </w:rPr>
            </w:pPr>
          </w:p>
          <w:p w14:paraId="1A33A938" w14:textId="577A5269" w:rsidR="00C96DAA" w:rsidRPr="00020D59" w:rsidRDefault="00C96DAA" w:rsidP="00DB4942">
            <w:pPr>
              <w:tabs>
                <w:tab w:val="left" w:pos="-720"/>
              </w:tabs>
              <w:suppressAutoHyphens/>
              <w:jc w:val="right"/>
              <w:rPr>
                <w:rFonts w:cstheme="minorHAnsi"/>
                <w:spacing w:val="-3"/>
                <w:sz w:val="24"/>
                <w:szCs w:val="24"/>
                <w:lang w:val="en-GB"/>
              </w:rPr>
            </w:pPr>
            <w:r w:rsidRPr="00020D59">
              <w:rPr>
                <w:rFonts w:cstheme="minorHAnsi"/>
                <w:spacing w:val="-3"/>
                <w:sz w:val="24"/>
                <w:szCs w:val="24"/>
                <w:lang w:val="en-GB"/>
              </w:rPr>
              <w:t>1,</w:t>
            </w:r>
            <w:r w:rsidR="002652AE" w:rsidRPr="00020D59">
              <w:rPr>
                <w:rFonts w:cstheme="minorHAnsi"/>
                <w:spacing w:val="-3"/>
                <w:sz w:val="24"/>
                <w:szCs w:val="24"/>
                <w:lang w:val="en-GB"/>
              </w:rPr>
              <w:t>726</w:t>
            </w:r>
            <w:r w:rsidRPr="00020D59">
              <w:rPr>
                <w:rFonts w:cstheme="minorHAnsi"/>
                <w:spacing w:val="-3"/>
                <w:sz w:val="24"/>
                <w:szCs w:val="24"/>
                <w:lang w:val="en-GB"/>
              </w:rPr>
              <w:t>.</w:t>
            </w:r>
            <w:r w:rsidR="002652AE" w:rsidRPr="00020D59">
              <w:rPr>
                <w:rFonts w:cstheme="minorHAnsi"/>
                <w:spacing w:val="-3"/>
                <w:sz w:val="24"/>
                <w:szCs w:val="24"/>
                <w:lang w:val="en-GB"/>
              </w:rPr>
              <w:t>63</w:t>
            </w:r>
          </w:p>
        </w:tc>
      </w:tr>
      <w:tr w:rsidR="00C96DAA" w:rsidRPr="00395073" w14:paraId="3BE31DB6" w14:textId="77777777" w:rsidTr="00DB4942">
        <w:tc>
          <w:tcPr>
            <w:tcW w:w="6379" w:type="dxa"/>
          </w:tcPr>
          <w:p w14:paraId="5FCDFEE2" w14:textId="77777777" w:rsidR="00C96DAA" w:rsidRPr="00395073" w:rsidRDefault="00C96DAA" w:rsidP="00DB4942">
            <w:pPr>
              <w:tabs>
                <w:tab w:val="left" w:pos="-720"/>
              </w:tabs>
              <w:suppressAutoHyphens/>
              <w:jc w:val="both"/>
              <w:rPr>
                <w:rFonts w:cstheme="minorHAnsi"/>
                <w:spacing w:val="-3"/>
                <w:sz w:val="24"/>
                <w:szCs w:val="24"/>
                <w:lang w:val="en-GB"/>
              </w:rPr>
            </w:pPr>
            <w:r w:rsidRPr="00395073">
              <w:rPr>
                <w:rFonts w:cstheme="minorHAnsi"/>
                <w:spacing w:val="-3"/>
                <w:sz w:val="24"/>
                <w:szCs w:val="24"/>
                <w:lang w:val="en-GB"/>
              </w:rPr>
              <w:t>- Repayments of borrowings</w:t>
            </w:r>
          </w:p>
        </w:tc>
        <w:tc>
          <w:tcPr>
            <w:tcW w:w="2684" w:type="dxa"/>
          </w:tcPr>
          <w:p w14:paraId="7CB80D4C" w14:textId="60C53B82" w:rsidR="00C96DAA" w:rsidRPr="00020D59" w:rsidRDefault="00C96DAA" w:rsidP="00DB4942">
            <w:pPr>
              <w:tabs>
                <w:tab w:val="left" w:pos="-720"/>
              </w:tabs>
              <w:suppressAutoHyphens/>
              <w:jc w:val="right"/>
              <w:rPr>
                <w:rFonts w:cstheme="minorHAnsi"/>
                <w:spacing w:val="-3"/>
                <w:sz w:val="24"/>
                <w:szCs w:val="24"/>
                <w:lang w:val="en-GB"/>
              </w:rPr>
            </w:pPr>
            <w:r w:rsidRPr="00020D59">
              <w:rPr>
                <w:rFonts w:cstheme="minorHAnsi"/>
                <w:spacing w:val="-3"/>
                <w:sz w:val="24"/>
                <w:szCs w:val="24"/>
                <w:lang w:val="en-GB"/>
              </w:rPr>
              <w:t>(1,</w:t>
            </w:r>
            <w:r w:rsidR="002652AE" w:rsidRPr="00020D59">
              <w:rPr>
                <w:rFonts w:cstheme="minorHAnsi"/>
                <w:spacing w:val="-3"/>
                <w:sz w:val="24"/>
                <w:szCs w:val="24"/>
                <w:lang w:val="en-GB"/>
              </w:rPr>
              <w:t>890</w:t>
            </w:r>
            <w:r w:rsidRPr="00020D59">
              <w:rPr>
                <w:rFonts w:cstheme="minorHAnsi"/>
                <w:spacing w:val="-3"/>
                <w:sz w:val="24"/>
                <w:szCs w:val="24"/>
                <w:lang w:val="en-GB"/>
              </w:rPr>
              <w:t>.</w:t>
            </w:r>
            <w:r w:rsidR="002652AE" w:rsidRPr="00020D59">
              <w:rPr>
                <w:rFonts w:cstheme="minorHAnsi"/>
                <w:spacing w:val="-3"/>
                <w:sz w:val="24"/>
                <w:szCs w:val="24"/>
                <w:lang w:val="en-GB"/>
              </w:rPr>
              <w:t>55</w:t>
            </w:r>
            <w:r w:rsidRPr="00020D59">
              <w:rPr>
                <w:rFonts w:cstheme="minorHAnsi"/>
                <w:spacing w:val="-3"/>
                <w:sz w:val="24"/>
                <w:szCs w:val="24"/>
                <w:lang w:val="en-GB"/>
              </w:rPr>
              <w:t>)</w:t>
            </w:r>
          </w:p>
        </w:tc>
      </w:tr>
      <w:tr w:rsidR="00C96DAA" w:rsidRPr="00395073" w14:paraId="056977FE" w14:textId="77777777" w:rsidTr="00DB4942">
        <w:tc>
          <w:tcPr>
            <w:tcW w:w="6379" w:type="dxa"/>
            <w:tcBorders>
              <w:bottom w:val="single" w:sz="4" w:space="0" w:color="auto"/>
            </w:tcBorders>
          </w:tcPr>
          <w:p w14:paraId="12F7A7C3" w14:textId="77777777" w:rsidR="00C96DAA" w:rsidRPr="00395073" w:rsidRDefault="00C96DAA" w:rsidP="00DB4942">
            <w:pPr>
              <w:tabs>
                <w:tab w:val="left" w:pos="-720"/>
              </w:tabs>
              <w:suppressAutoHyphens/>
              <w:jc w:val="both"/>
              <w:rPr>
                <w:rFonts w:cstheme="minorHAnsi"/>
                <w:spacing w:val="-3"/>
                <w:sz w:val="24"/>
                <w:szCs w:val="24"/>
                <w:lang w:val="en-GB"/>
              </w:rPr>
            </w:pPr>
            <w:r w:rsidRPr="00395073">
              <w:rPr>
                <w:rFonts w:cstheme="minorHAnsi"/>
                <w:spacing w:val="-3"/>
                <w:lang w:val="en-GB"/>
              </w:rPr>
              <w:t xml:space="preserve">- </w:t>
            </w:r>
            <w:r w:rsidRPr="00395073">
              <w:rPr>
                <w:rFonts w:cstheme="minorHAnsi"/>
                <w:spacing w:val="-3"/>
                <w:sz w:val="24"/>
                <w:szCs w:val="24"/>
                <w:lang w:val="en-GB"/>
              </w:rPr>
              <w:t xml:space="preserve">Foreign exchange gains or losses </w:t>
            </w:r>
          </w:p>
        </w:tc>
        <w:tc>
          <w:tcPr>
            <w:tcW w:w="2684" w:type="dxa"/>
            <w:tcBorders>
              <w:bottom w:val="single" w:sz="4" w:space="0" w:color="auto"/>
            </w:tcBorders>
          </w:tcPr>
          <w:p w14:paraId="41EB92BF" w14:textId="6C73D359" w:rsidR="00C96DAA" w:rsidRPr="00020D59" w:rsidRDefault="00C96DAA" w:rsidP="00DB4942">
            <w:pPr>
              <w:tabs>
                <w:tab w:val="left" w:pos="-720"/>
              </w:tabs>
              <w:suppressAutoHyphens/>
              <w:jc w:val="right"/>
              <w:rPr>
                <w:rFonts w:cstheme="minorHAnsi"/>
                <w:spacing w:val="-3"/>
                <w:sz w:val="24"/>
                <w:szCs w:val="24"/>
                <w:lang w:val="en-GB"/>
              </w:rPr>
            </w:pPr>
            <w:r w:rsidRPr="00020D59">
              <w:rPr>
                <w:rFonts w:cstheme="minorHAnsi"/>
                <w:spacing w:val="-3"/>
                <w:sz w:val="24"/>
                <w:szCs w:val="24"/>
                <w:lang w:val="en-GB"/>
              </w:rPr>
              <w:t>(</w:t>
            </w:r>
            <w:r w:rsidR="002652AE" w:rsidRPr="00020D59">
              <w:rPr>
                <w:rFonts w:cstheme="minorHAnsi"/>
                <w:spacing w:val="-3"/>
                <w:sz w:val="24"/>
                <w:szCs w:val="24"/>
                <w:lang w:val="en-GB"/>
              </w:rPr>
              <w:t>1</w:t>
            </w:r>
            <w:r w:rsidRPr="00020D59">
              <w:rPr>
                <w:rFonts w:cstheme="minorHAnsi"/>
                <w:spacing w:val="-3"/>
                <w:sz w:val="24"/>
                <w:szCs w:val="24"/>
                <w:lang w:val="en-GB"/>
              </w:rPr>
              <w:t>7</w:t>
            </w:r>
            <w:r w:rsidR="002652AE" w:rsidRPr="00020D59">
              <w:rPr>
                <w:rFonts w:cstheme="minorHAnsi"/>
                <w:spacing w:val="-3"/>
                <w:sz w:val="24"/>
                <w:szCs w:val="24"/>
                <w:lang w:val="en-GB"/>
              </w:rPr>
              <w:t>1</w:t>
            </w:r>
            <w:r w:rsidRPr="00020D59">
              <w:rPr>
                <w:rFonts w:cstheme="minorHAnsi"/>
                <w:spacing w:val="-3"/>
                <w:sz w:val="24"/>
                <w:szCs w:val="24"/>
                <w:lang w:val="en-GB"/>
              </w:rPr>
              <w:t>.</w:t>
            </w:r>
            <w:r w:rsidR="002652AE" w:rsidRPr="00020D59">
              <w:rPr>
                <w:rFonts w:cstheme="minorHAnsi"/>
                <w:spacing w:val="-3"/>
                <w:sz w:val="24"/>
                <w:szCs w:val="24"/>
                <w:lang w:val="en-GB"/>
              </w:rPr>
              <w:t>98</w:t>
            </w:r>
            <w:r w:rsidRPr="00020D59">
              <w:rPr>
                <w:rFonts w:cstheme="minorHAnsi"/>
                <w:spacing w:val="-3"/>
                <w:sz w:val="24"/>
                <w:szCs w:val="24"/>
                <w:lang w:val="en-GB"/>
              </w:rPr>
              <w:t>)</w:t>
            </w:r>
          </w:p>
        </w:tc>
      </w:tr>
      <w:tr w:rsidR="00C96DAA" w:rsidRPr="00395073" w14:paraId="51D91D51" w14:textId="77777777" w:rsidTr="00DB4942">
        <w:tc>
          <w:tcPr>
            <w:tcW w:w="6379" w:type="dxa"/>
            <w:tcBorders>
              <w:bottom w:val="single" w:sz="4" w:space="0" w:color="auto"/>
            </w:tcBorders>
          </w:tcPr>
          <w:p w14:paraId="3A2CED24" w14:textId="77777777" w:rsidR="00C96DAA" w:rsidRPr="00395073" w:rsidRDefault="00C96DAA" w:rsidP="00DB4942">
            <w:pPr>
              <w:tabs>
                <w:tab w:val="left" w:pos="-720"/>
              </w:tabs>
              <w:suppressAutoHyphens/>
              <w:jc w:val="both"/>
              <w:rPr>
                <w:rFonts w:cstheme="minorHAnsi"/>
                <w:spacing w:val="-3"/>
                <w:sz w:val="24"/>
                <w:szCs w:val="24"/>
                <w:lang w:val="en-GB"/>
              </w:rPr>
            </w:pPr>
            <w:r w:rsidRPr="00395073">
              <w:rPr>
                <w:rFonts w:cstheme="minorHAnsi"/>
                <w:spacing w:val="-3"/>
                <w:sz w:val="24"/>
                <w:szCs w:val="24"/>
                <w:lang w:val="en-GB"/>
              </w:rPr>
              <w:t>- Other calculations*</w:t>
            </w:r>
          </w:p>
        </w:tc>
        <w:tc>
          <w:tcPr>
            <w:tcW w:w="2684" w:type="dxa"/>
            <w:tcBorders>
              <w:bottom w:val="single" w:sz="4" w:space="0" w:color="auto"/>
            </w:tcBorders>
          </w:tcPr>
          <w:p w14:paraId="68925BD0" w14:textId="4027092D" w:rsidR="00C96DAA" w:rsidRPr="00020D59" w:rsidRDefault="002652AE" w:rsidP="00DB4942">
            <w:pPr>
              <w:tabs>
                <w:tab w:val="left" w:pos="-720"/>
              </w:tabs>
              <w:suppressAutoHyphens/>
              <w:jc w:val="right"/>
              <w:rPr>
                <w:rFonts w:cstheme="minorHAnsi"/>
                <w:spacing w:val="-3"/>
                <w:sz w:val="24"/>
                <w:szCs w:val="24"/>
                <w:lang w:val="en-GB"/>
              </w:rPr>
            </w:pPr>
            <w:r w:rsidRPr="00020D59">
              <w:rPr>
                <w:rFonts w:cstheme="minorHAnsi"/>
                <w:spacing w:val="-3"/>
                <w:sz w:val="24"/>
                <w:szCs w:val="24"/>
                <w:lang w:val="en-GB"/>
              </w:rPr>
              <w:t>18</w:t>
            </w:r>
            <w:r w:rsidR="00C96DAA" w:rsidRPr="00020D59">
              <w:rPr>
                <w:rFonts w:cstheme="minorHAnsi"/>
                <w:spacing w:val="-3"/>
                <w:sz w:val="24"/>
                <w:szCs w:val="24"/>
                <w:lang w:val="en-GB"/>
              </w:rPr>
              <w:t>.</w:t>
            </w:r>
            <w:r w:rsidRPr="00020D59">
              <w:rPr>
                <w:rFonts w:cstheme="minorHAnsi"/>
                <w:spacing w:val="-3"/>
                <w:sz w:val="24"/>
                <w:szCs w:val="24"/>
                <w:lang w:val="en-GB"/>
              </w:rPr>
              <w:t>93</w:t>
            </w:r>
          </w:p>
        </w:tc>
      </w:tr>
      <w:tr w:rsidR="00C96DAA" w:rsidRPr="00395073" w14:paraId="34B961BE" w14:textId="77777777" w:rsidTr="00DB4942">
        <w:tc>
          <w:tcPr>
            <w:tcW w:w="6379" w:type="dxa"/>
            <w:tcBorders>
              <w:top w:val="single" w:sz="4" w:space="0" w:color="auto"/>
            </w:tcBorders>
          </w:tcPr>
          <w:p w14:paraId="114695B4" w14:textId="77777777" w:rsidR="00C96DAA" w:rsidRPr="00395073" w:rsidRDefault="00C96DAA" w:rsidP="00DB4942">
            <w:pPr>
              <w:tabs>
                <w:tab w:val="left" w:pos="-720"/>
              </w:tabs>
              <w:suppressAutoHyphens/>
              <w:jc w:val="both"/>
              <w:rPr>
                <w:rFonts w:cstheme="minorHAnsi"/>
                <w:b/>
                <w:spacing w:val="-3"/>
                <w:sz w:val="24"/>
                <w:szCs w:val="24"/>
                <w:lang w:val="en-GB"/>
              </w:rPr>
            </w:pPr>
            <w:r w:rsidRPr="00395073">
              <w:rPr>
                <w:rFonts w:cstheme="minorHAnsi"/>
                <w:b/>
                <w:spacing w:val="-3"/>
                <w:sz w:val="24"/>
                <w:szCs w:val="24"/>
                <w:lang w:val="en-GB"/>
              </w:rPr>
              <w:t xml:space="preserve">Total changes </w:t>
            </w:r>
          </w:p>
        </w:tc>
        <w:tc>
          <w:tcPr>
            <w:tcW w:w="2684" w:type="dxa"/>
            <w:tcBorders>
              <w:top w:val="single" w:sz="4" w:space="0" w:color="auto"/>
            </w:tcBorders>
          </w:tcPr>
          <w:p w14:paraId="5BE9D5BC" w14:textId="4212E057" w:rsidR="00C96DAA" w:rsidRPr="00020D59" w:rsidRDefault="001C0165" w:rsidP="00DB4942">
            <w:pPr>
              <w:tabs>
                <w:tab w:val="left" w:pos="-720"/>
              </w:tabs>
              <w:suppressAutoHyphens/>
              <w:jc w:val="right"/>
              <w:rPr>
                <w:rFonts w:cstheme="minorHAnsi"/>
                <w:b/>
                <w:spacing w:val="-3"/>
                <w:sz w:val="24"/>
                <w:szCs w:val="24"/>
                <w:lang w:val="en-GB"/>
              </w:rPr>
            </w:pPr>
            <w:r>
              <w:rPr>
                <w:rFonts w:cstheme="minorHAnsi"/>
                <w:b/>
                <w:spacing w:val="-3"/>
                <w:sz w:val="24"/>
                <w:szCs w:val="24"/>
                <w:lang w:val="en-GB"/>
              </w:rPr>
              <w:t>(</w:t>
            </w:r>
            <w:r w:rsidR="00C96DAA" w:rsidRPr="00020D59">
              <w:rPr>
                <w:rFonts w:cstheme="minorHAnsi"/>
                <w:b/>
                <w:spacing w:val="-3"/>
                <w:sz w:val="24"/>
                <w:szCs w:val="24"/>
                <w:lang w:val="en-GB"/>
              </w:rPr>
              <w:t>3</w:t>
            </w:r>
            <w:r w:rsidR="002652AE" w:rsidRPr="00020D59">
              <w:rPr>
                <w:rFonts w:cstheme="minorHAnsi"/>
                <w:b/>
                <w:spacing w:val="-3"/>
                <w:sz w:val="24"/>
                <w:szCs w:val="24"/>
                <w:lang w:val="en-GB"/>
              </w:rPr>
              <w:t>16</w:t>
            </w:r>
            <w:r w:rsidR="00C96DAA" w:rsidRPr="00020D59">
              <w:rPr>
                <w:rFonts w:cstheme="minorHAnsi"/>
                <w:b/>
                <w:spacing w:val="-3"/>
                <w:sz w:val="24"/>
                <w:szCs w:val="24"/>
                <w:lang w:val="en-GB"/>
              </w:rPr>
              <w:t>.</w:t>
            </w:r>
            <w:r w:rsidR="002652AE" w:rsidRPr="00020D59">
              <w:rPr>
                <w:rFonts w:cstheme="minorHAnsi"/>
                <w:b/>
                <w:spacing w:val="-3"/>
                <w:sz w:val="24"/>
                <w:szCs w:val="24"/>
                <w:lang w:val="en-GB"/>
              </w:rPr>
              <w:t>98</w:t>
            </w:r>
            <w:r>
              <w:rPr>
                <w:rFonts w:cstheme="minorHAnsi"/>
                <w:b/>
                <w:spacing w:val="-3"/>
                <w:sz w:val="24"/>
                <w:szCs w:val="24"/>
                <w:lang w:val="en-GB"/>
              </w:rPr>
              <w:t>)</w:t>
            </w:r>
          </w:p>
        </w:tc>
      </w:tr>
      <w:tr w:rsidR="00C96DAA" w:rsidRPr="00395073" w14:paraId="6EC208AF" w14:textId="77777777" w:rsidTr="00DB4942">
        <w:tc>
          <w:tcPr>
            <w:tcW w:w="6379" w:type="dxa"/>
            <w:tcBorders>
              <w:top w:val="single" w:sz="4" w:space="0" w:color="auto"/>
            </w:tcBorders>
          </w:tcPr>
          <w:p w14:paraId="46E784B3" w14:textId="77777777" w:rsidR="00C96DAA" w:rsidRPr="00395073" w:rsidRDefault="00C96DAA" w:rsidP="00DB4942">
            <w:pPr>
              <w:tabs>
                <w:tab w:val="left" w:pos="-720"/>
              </w:tabs>
              <w:suppressAutoHyphens/>
              <w:jc w:val="both"/>
              <w:rPr>
                <w:rFonts w:cstheme="minorHAnsi"/>
                <w:b/>
                <w:spacing w:val="-3"/>
                <w:sz w:val="16"/>
                <w:szCs w:val="16"/>
                <w:lang w:val="en-GB"/>
              </w:rPr>
            </w:pPr>
          </w:p>
        </w:tc>
        <w:tc>
          <w:tcPr>
            <w:tcW w:w="2684" w:type="dxa"/>
            <w:tcBorders>
              <w:top w:val="single" w:sz="4" w:space="0" w:color="auto"/>
            </w:tcBorders>
          </w:tcPr>
          <w:p w14:paraId="3ADA963A" w14:textId="77777777" w:rsidR="00C96DAA" w:rsidRPr="00395073" w:rsidRDefault="00C96DAA" w:rsidP="00DB4942">
            <w:pPr>
              <w:tabs>
                <w:tab w:val="left" w:pos="-720"/>
              </w:tabs>
              <w:suppressAutoHyphens/>
              <w:jc w:val="right"/>
              <w:rPr>
                <w:rFonts w:cstheme="minorHAnsi"/>
                <w:b/>
                <w:spacing w:val="-3"/>
                <w:sz w:val="16"/>
                <w:szCs w:val="16"/>
                <w:lang w:val="en-GB"/>
              </w:rPr>
            </w:pPr>
          </w:p>
        </w:tc>
      </w:tr>
      <w:tr w:rsidR="00C96DAA" w:rsidRPr="00395073" w14:paraId="74C55337" w14:textId="77777777" w:rsidTr="00DB4942">
        <w:tc>
          <w:tcPr>
            <w:tcW w:w="9063" w:type="dxa"/>
            <w:gridSpan w:val="2"/>
          </w:tcPr>
          <w:p w14:paraId="24D404B5" w14:textId="77777777" w:rsidR="00C96DAA" w:rsidRPr="00395073" w:rsidRDefault="00C96DAA" w:rsidP="00DB4942">
            <w:pPr>
              <w:tabs>
                <w:tab w:val="left" w:pos="-720"/>
              </w:tabs>
              <w:suppressAutoHyphens/>
              <w:jc w:val="both"/>
              <w:rPr>
                <w:rFonts w:cstheme="minorHAnsi"/>
                <w:i/>
                <w:spacing w:val="-3"/>
                <w:sz w:val="20"/>
                <w:szCs w:val="20"/>
                <w:lang w:val="en-GB"/>
              </w:rPr>
            </w:pPr>
            <w:r w:rsidRPr="00395073">
              <w:rPr>
                <w:rFonts w:cstheme="minorHAnsi"/>
                <w:i/>
                <w:spacing w:val="-3"/>
                <w:sz w:val="20"/>
                <w:szCs w:val="20"/>
                <w:lang w:val="en-GB"/>
              </w:rPr>
              <w:t>*Other calculations relate to the changes in discount, amount of interest not due and deferred fees.</w:t>
            </w:r>
          </w:p>
        </w:tc>
      </w:tr>
    </w:tbl>
    <w:p w14:paraId="51165F6A" w14:textId="77777777" w:rsidR="00C96DAA" w:rsidRPr="00395073" w:rsidRDefault="00C96DAA" w:rsidP="00C96DAA">
      <w:pPr>
        <w:tabs>
          <w:tab w:val="left" w:pos="-720"/>
        </w:tabs>
        <w:suppressAutoHyphens/>
        <w:spacing w:after="0" w:line="240" w:lineRule="auto"/>
        <w:jc w:val="both"/>
        <w:rPr>
          <w:rFonts w:cstheme="minorHAnsi"/>
          <w:spacing w:val="-3"/>
          <w:sz w:val="24"/>
          <w:szCs w:val="24"/>
          <w:lang w:val="en-GB"/>
        </w:rPr>
      </w:pPr>
    </w:p>
    <w:p w14:paraId="625737DA" w14:textId="77777777" w:rsidR="00C96DAA" w:rsidRPr="00395073" w:rsidRDefault="00C96DAA" w:rsidP="00C96DAA">
      <w:pPr>
        <w:spacing w:after="0" w:line="240" w:lineRule="auto"/>
        <w:jc w:val="both"/>
        <w:rPr>
          <w:rFonts w:ascii="Calibri" w:hAnsi="Calibri"/>
          <w:sz w:val="24"/>
          <w:szCs w:val="24"/>
          <w:lang w:val="en-GB"/>
        </w:rPr>
      </w:pPr>
      <w:r w:rsidRPr="00395073">
        <w:rPr>
          <w:rFonts w:cstheme="minorHAnsi"/>
          <w:spacing w:val="-3"/>
          <w:sz w:val="24"/>
          <w:szCs w:val="24"/>
          <w:lang w:val="en-GB"/>
        </w:rPr>
        <w:t xml:space="preserve">In 2018, HBOR continued to raise funds for specified purposes from special financial institutions and, on 6 March 2018, </w:t>
      </w:r>
      <w:proofErr w:type="gramStart"/>
      <w:r w:rsidRPr="00395073">
        <w:rPr>
          <w:rFonts w:cstheme="minorHAnsi"/>
          <w:spacing w:val="-3"/>
          <w:sz w:val="24"/>
          <w:szCs w:val="24"/>
          <w:lang w:val="en-GB"/>
        </w:rPr>
        <w:t>entered into</w:t>
      </w:r>
      <w:proofErr w:type="gramEnd"/>
      <w:r w:rsidRPr="00395073">
        <w:rPr>
          <w:rFonts w:cstheme="minorHAnsi"/>
          <w:spacing w:val="-3"/>
          <w:sz w:val="24"/>
          <w:szCs w:val="24"/>
          <w:lang w:val="en-GB"/>
        </w:rPr>
        <w:t xml:space="preserve"> a EUR 15.00 million Natural Capital Financing Facility (NCFF) deal</w:t>
      </w:r>
      <w:r w:rsidR="0036402E">
        <w:rPr>
          <w:rFonts w:cstheme="minorHAnsi"/>
          <w:spacing w:val="-3"/>
          <w:sz w:val="24"/>
          <w:szCs w:val="24"/>
          <w:lang w:val="en-GB"/>
        </w:rPr>
        <w:t xml:space="preserve"> with the European Investment Bank</w:t>
      </w:r>
      <w:r w:rsidRPr="00395073">
        <w:rPr>
          <w:rFonts w:cstheme="minorHAnsi"/>
          <w:sz w:val="24"/>
          <w:szCs w:val="24"/>
          <w:lang w:val="en-GB"/>
        </w:rPr>
        <w:t>.</w:t>
      </w:r>
      <w:r w:rsidRPr="00395073">
        <w:rPr>
          <w:rFonts w:ascii="Calibri" w:hAnsi="Calibri"/>
          <w:sz w:val="24"/>
          <w:szCs w:val="24"/>
          <w:lang w:val="en-GB"/>
        </w:rPr>
        <w:t xml:space="preserve"> NCFF is the financial instrument that combines the funds of the EIB and the funds of the European Commission under the LIFE Programme (</w:t>
      </w:r>
      <w:r w:rsidRPr="00395073">
        <w:rPr>
          <w:rFonts w:ascii="Calibri" w:hAnsi="Calibri"/>
          <w:i/>
          <w:iCs/>
          <w:sz w:val="24"/>
          <w:szCs w:val="24"/>
          <w:lang w:val="en-GB"/>
        </w:rPr>
        <w:t>Programme for the Environment and Climate Action</w:t>
      </w:r>
      <w:r w:rsidRPr="00395073">
        <w:rPr>
          <w:rFonts w:ascii="Calibri" w:hAnsi="Calibri"/>
          <w:sz w:val="24"/>
          <w:szCs w:val="24"/>
          <w:lang w:val="en-GB"/>
        </w:rPr>
        <w:t>) with an objective of providing support to projects expected to have a favourable impact on biodiversity and/or adaptation to climate change.</w:t>
      </w:r>
    </w:p>
    <w:p w14:paraId="470697F0" w14:textId="77777777" w:rsidR="00CF7656" w:rsidRPr="00395073" w:rsidRDefault="00CF7656" w:rsidP="00C96DAA">
      <w:pPr>
        <w:spacing w:after="0" w:line="240" w:lineRule="auto"/>
        <w:jc w:val="both"/>
        <w:rPr>
          <w:rFonts w:ascii="Calibri" w:hAnsi="Calibri"/>
          <w:sz w:val="24"/>
          <w:szCs w:val="24"/>
          <w:lang w:val="en-GB"/>
        </w:rPr>
      </w:pPr>
    </w:p>
    <w:p w14:paraId="62FFA1AF" w14:textId="77777777" w:rsidR="00C96DAA" w:rsidRPr="00395073" w:rsidRDefault="00C96DAA" w:rsidP="00C96DAA">
      <w:pPr>
        <w:tabs>
          <w:tab w:val="left" w:pos="0"/>
        </w:tabs>
        <w:spacing w:after="0" w:line="240" w:lineRule="auto"/>
        <w:jc w:val="both"/>
        <w:rPr>
          <w:rFonts w:ascii="Calibri" w:eastAsia="Times New Roman" w:hAnsi="Calibri" w:cs="Calibri"/>
          <w:sz w:val="24"/>
          <w:szCs w:val="24"/>
          <w:lang w:val="en-GB" w:eastAsia="hr-HR"/>
        </w:rPr>
        <w:sectPr w:rsidR="00C96DAA" w:rsidRPr="00395073" w:rsidSect="00F11426">
          <w:footerReference w:type="default" r:id="rId41"/>
          <w:pgSz w:w="11906" w:h="16838"/>
          <w:pgMar w:top="1417" w:right="1416" w:bottom="1417" w:left="1417" w:header="708" w:footer="708" w:gutter="0"/>
          <w:cols w:space="708"/>
          <w:docGrid w:linePitch="360"/>
        </w:sectPr>
      </w:pPr>
    </w:p>
    <w:p w14:paraId="03EAAC11" w14:textId="69354B9C" w:rsidR="00514769" w:rsidRPr="00395073" w:rsidRDefault="00936E72" w:rsidP="00395073">
      <w:pPr>
        <w:spacing w:after="0" w:line="240" w:lineRule="auto"/>
        <w:jc w:val="both"/>
        <w:rPr>
          <w:rFonts w:eastAsia="Times New Roman" w:cs="Calibri"/>
          <w:spacing w:val="-3"/>
          <w:sz w:val="24"/>
          <w:szCs w:val="24"/>
          <w:lang w:val="en-GB" w:eastAsia="hr-HR"/>
        </w:rPr>
      </w:pPr>
      <w:bookmarkStart w:id="4" w:name="_Hlk530148297"/>
      <w:r w:rsidRPr="00395073">
        <w:rPr>
          <w:rFonts w:eastAsia="Times New Roman" w:cs="Calibri"/>
          <w:spacing w:val="-3"/>
          <w:sz w:val="24"/>
          <w:szCs w:val="24"/>
          <w:lang w:val="en-GB" w:eastAsia="hr-HR"/>
        </w:rPr>
        <w:lastRenderedPageBreak/>
        <w:t xml:space="preserve">Furthermore, on 11 September 2018, the second contract was </w:t>
      </w:r>
      <w:r w:rsidR="00ED2E34">
        <w:rPr>
          <w:rFonts w:eastAsia="Times New Roman" w:cs="Calibri"/>
          <w:spacing w:val="-3"/>
          <w:sz w:val="24"/>
          <w:szCs w:val="24"/>
          <w:lang w:val="en-GB" w:eastAsia="hr-HR"/>
        </w:rPr>
        <w:t>concluded</w:t>
      </w:r>
      <w:r w:rsidRPr="00395073">
        <w:rPr>
          <w:rFonts w:eastAsia="Times New Roman" w:cs="Calibri"/>
          <w:spacing w:val="-3"/>
          <w:sz w:val="24"/>
          <w:szCs w:val="24"/>
          <w:lang w:val="en-GB" w:eastAsia="hr-HR"/>
        </w:rPr>
        <w:t xml:space="preserve"> with the European Investment Bank in the amount of EUR 40.00 million for the financing of projects in the tourism industry.</w:t>
      </w:r>
      <w:bookmarkEnd w:id="4"/>
    </w:p>
    <w:p w14:paraId="5CD7B475" w14:textId="77777777" w:rsidR="00C96DAA" w:rsidRPr="00395073" w:rsidRDefault="00C96DAA" w:rsidP="00C96DAA">
      <w:pPr>
        <w:tabs>
          <w:tab w:val="left" w:pos="0"/>
        </w:tabs>
        <w:spacing w:after="0" w:line="240" w:lineRule="auto"/>
        <w:jc w:val="both"/>
        <w:rPr>
          <w:rFonts w:ascii="Calibri" w:eastAsia="Times New Roman" w:hAnsi="Calibri" w:cs="Calibri"/>
          <w:sz w:val="24"/>
          <w:szCs w:val="24"/>
          <w:lang w:val="en-GB" w:eastAsia="hr-HR"/>
        </w:rPr>
      </w:pPr>
    </w:p>
    <w:p w14:paraId="5A32D3C1" w14:textId="5BCB8486" w:rsidR="00C96DAA" w:rsidRPr="00395073" w:rsidRDefault="00C96DAA" w:rsidP="00C96DAA">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t xml:space="preserve">Total </w:t>
      </w:r>
      <w:r w:rsidR="00D750C6">
        <w:rPr>
          <w:rFonts w:eastAsia="Times New Roman" w:cs="Calibri"/>
          <w:b/>
          <w:i/>
          <w:spacing w:val="-3"/>
          <w:sz w:val="24"/>
          <w:szCs w:val="24"/>
          <w:lang w:val="en-GB" w:eastAsia="hr-HR"/>
        </w:rPr>
        <w:t>equity</w:t>
      </w:r>
    </w:p>
    <w:p w14:paraId="6AF2787D" w14:textId="77777777" w:rsidR="00C96DAA" w:rsidRPr="00395073" w:rsidRDefault="00C96DAA" w:rsidP="00C96DAA">
      <w:pPr>
        <w:tabs>
          <w:tab w:val="left" w:pos="-720"/>
        </w:tabs>
        <w:suppressAutoHyphens/>
        <w:spacing w:after="0" w:line="240" w:lineRule="auto"/>
        <w:jc w:val="both"/>
        <w:rPr>
          <w:rFonts w:eastAsia="Times New Roman" w:cs="Calibri"/>
          <w:b/>
          <w:i/>
          <w:spacing w:val="-3"/>
          <w:sz w:val="24"/>
          <w:szCs w:val="24"/>
          <w:lang w:val="en-GB" w:eastAsia="hr-HR"/>
        </w:rPr>
      </w:pPr>
    </w:p>
    <w:p w14:paraId="73054A65" w14:textId="7B457394" w:rsidR="00C96DAA" w:rsidRPr="00395073" w:rsidRDefault="00C96DAA" w:rsidP="00C96DAA">
      <w:pPr>
        <w:spacing w:after="0" w:line="240" w:lineRule="auto"/>
        <w:jc w:val="both"/>
        <w:rPr>
          <w:rFonts w:eastAsia="Times New Roman" w:cs="Calibri"/>
          <w:spacing w:val="-3"/>
          <w:sz w:val="24"/>
          <w:szCs w:val="24"/>
          <w:lang w:val="en-GB" w:eastAsia="hr-HR"/>
        </w:rPr>
      </w:pPr>
      <w:r w:rsidRPr="00395073">
        <w:rPr>
          <w:rFonts w:eastAsia="Times New Roman" w:cs="Calibri"/>
          <w:spacing w:val="-3"/>
          <w:sz w:val="24"/>
          <w:szCs w:val="24"/>
          <w:lang w:val="en-GB" w:eastAsia="hr-HR"/>
        </w:rPr>
        <w:t>Total</w:t>
      </w:r>
      <w:r w:rsidR="00D750C6">
        <w:rPr>
          <w:rFonts w:eastAsia="Times New Roman" w:cs="Calibri"/>
          <w:spacing w:val="-3"/>
          <w:sz w:val="24"/>
          <w:szCs w:val="24"/>
          <w:lang w:val="en-GB" w:eastAsia="hr-HR"/>
        </w:rPr>
        <w:t xml:space="preserve"> equity</w:t>
      </w:r>
      <w:r w:rsidRPr="00395073">
        <w:rPr>
          <w:rFonts w:eastAsia="Times New Roman" w:cs="Calibri"/>
          <w:spacing w:val="-3"/>
          <w:sz w:val="24"/>
          <w:szCs w:val="24"/>
          <w:lang w:val="en-GB" w:eastAsia="hr-HR"/>
        </w:rPr>
        <w:t xml:space="preserve"> amounted to HRK 9,9</w:t>
      </w:r>
      <w:r w:rsidR="00214910" w:rsidRPr="00395073">
        <w:rPr>
          <w:rFonts w:eastAsia="Times New Roman" w:cs="Calibri"/>
          <w:spacing w:val="-3"/>
          <w:sz w:val="24"/>
          <w:szCs w:val="24"/>
          <w:lang w:val="en-GB" w:eastAsia="hr-HR"/>
        </w:rPr>
        <w:t>51</w:t>
      </w:r>
      <w:r w:rsidRPr="00395073">
        <w:rPr>
          <w:rFonts w:eastAsia="Times New Roman" w:cs="Calibri"/>
          <w:spacing w:val="-3"/>
          <w:sz w:val="24"/>
          <w:szCs w:val="24"/>
          <w:lang w:val="en-GB" w:eastAsia="hr-HR"/>
        </w:rPr>
        <w:t>.</w:t>
      </w:r>
      <w:r w:rsidR="00214910" w:rsidRPr="00395073">
        <w:rPr>
          <w:rFonts w:eastAsia="Times New Roman" w:cs="Calibri"/>
          <w:spacing w:val="-3"/>
          <w:sz w:val="24"/>
          <w:szCs w:val="24"/>
          <w:lang w:val="en-GB" w:eastAsia="hr-HR"/>
        </w:rPr>
        <w:t>99</w:t>
      </w:r>
      <w:r w:rsidRPr="00395073">
        <w:rPr>
          <w:rFonts w:eastAsia="Times New Roman" w:cs="Calibri"/>
          <w:spacing w:val="-3"/>
          <w:sz w:val="24"/>
          <w:szCs w:val="24"/>
          <w:lang w:val="en-GB" w:eastAsia="hr-HR"/>
        </w:rPr>
        <w:t xml:space="preserve"> million, representing 3</w:t>
      </w:r>
      <w:r w:rsidR="00214910" w:rsidRPr="00395073">
        <w:rPr>
          <w:rFonts w:eastAsia="Times New Roman" w:cs="Calibri"/>
          <w:spacing w:val="-3"/>
          <w:sz w:val="24"/>
          <w:szCs w:val="24"/>
          <w:lang w:val="en-GB" w:eastAsia="hr-HR"/>
        </w:rPr>
        <w:t>6</w:t>
      </w:r>
      <w:r w:rsidRPr="00395073">
        <w:rPr>
          <w:rFonts w:eastAsia="Times New Roman" w:cs="Calibri"/>
          <w:spacing w:val="-3"/>
          <w:sz w:val="24"/>
          <w:szCs w:val="24"/>
          <w:lang w:val="en-GB" w:eastAsia="hr-HR"/>
        </w:rPr>
        <w:t>.</w:t>
      </w:r>
      <w:r w:rsidR="00214910" w:rsidRPr="00395073">
        <w:rPr>
          <w:rFonts w:eastAsia="Times New Roman" w:cs="Calibri"/>
          <w:spacing w:val="-3"/>
          <w:sz w:val="24"/>
          <w:szCs w:val="24"/>
          <w:lang w:val="en-GB" w:eastAsia="hr-HR"/>
        </w:rPr>
        <w:t>7</w:t>
      </w:r>
      <w:r w:rsidRPr="00395073">
        <w:rPr>
          <w:rFonts w:eastAsia="Times New Roman" w:cs="Calibri"/>
          <w:spacing w:val="-3"/>
          <w:sz w:val="24"/>
          <w:szCs w:val="24"/>
          <w:lang w:val="en-GB" w:eastAsia="hr-HR"/>
        </w:rPr>
        <w:t xml:space="preserve">7 percent of total liabilities and total </w:t>
      </w:r>
      <w:r w:rsidR="00D750C6">
        <w:rPr>
          <w:rFonts w:eastAsia="Times New Roman" w:cs="Calibri"/>
          <w:spacing w:val="-3"/>
          <w:sz w:val="24"/>
          <w:szCs w:val="24"/>
          <w:lang w:val="en-GB" w:eastAsia="hr-HR"/>
        </w:rPr>
        <w:t xml:space="preserve">equity </w:t>
      </w:r>
      <w:r w:rsidR="0036402E">
        <w:rPr>
          <w:rFonts w:eastAsia="Times New Roman" w:cs="Calibri"/>
          <w:spacing w:val="-3"/>
          <w:sz w:val="24"/>
          <w:szCs w:val="24"/>
          <w:lang w:val="en-GB" w:eastAsia="hr-HR"/>
        </w:rPr>
        <w:t>reserves</w:t>
      </w:r>
      <w:r w:rsidRPr="00395073">
        <w:rPr>
          <w:rFonts w:eastAsia="Times New Roman" w:cs="Calibri"/>
          <w:spacing w:val="-3"/>
          <w:sz w:val="24"/>
          <w:szCs w:val="24"/>
          <w:lang w:val="en-GB" w:eastAsia="hr-HR"/>
        </w:rPr>
        <w:t>.</w:t>
      </w:r>
    </w:p>
    <w:p w14:paraId="2D03EF9E" w14:textId="746D64F3" w:rsidR="00C96DAA" w:rsidRPr="00395073" w:rsidRDefault="00C96DAA" w:rsidP="00C96DAA">
      <w:pPr>
        <w:tabs>
          <w:tab w:val="left" w:pos="-720"/>
        </w:tabs>
        <w:suppressAutoHyphens/>
        <w:spacing w:after="0" w:line="240" w:lineRule="auto"/>
        <w:jc w:val="both"/>
        <w:rPr>
          <w:rFonts w:ascii="Calibri" w:hAnsi="Calibri" w:cs="Calibri"/>
          <w:sz w:val="24"/>
          <w:szCs w:val="24"/>
          <w:lang w:val="en-GB"/>
        </w:rPr>
      </w:pPr>
      <w:r w:rsidRPr="00395073">
        <w:rPr>
          <w:rFonts w:ascii="Calibri" w:hAnsi="Calibri" w:cs="Calibri"/>
          <w:spacing w:val="-3"/>
          <w:sz w:val="24"/>
          <w:szCs w:val="24"/>
          <w:lang w:val="en-GB"/>
        </w:rPr>
        <w:t>The decrease of total</w:t>
      </w:r>
      <w:r w:rsidR="0036402E">
        <w:rPr>
          <w:rFonts w:ascii="Calibri" w:hAnsi="Calibri" w:cs="Calibri"/>
          <w:spacing w:val="-3"/>
          <w:sz w:val="24"/>
          <w:szCs w:val="24"/>
          <w:lang w:val="en-GB"/>
        </w:rPr>
        <w:t xml:space="preserve"> </w:t>
      </w:r>
      <w:r w:rsidR="00D750C6">
        <w:rPr>
          <w:rFonts w:ascii="Calibri" w:hAnsi="Calibri" w:cs="Calibri"/>
          <w:spacing w:val="-3"/>
          <w:sz w:val="24"/>
          <w:szCs w:val="24"/>
          <w:lang w:val="en-GB"/>
        </w:rPr>
        <w:t xml:space="preserve">equity </w:t>
      </w:r>
      <w:r w:rsidRPr="00395073">
        <w:rPr>
          <w:rFonts w:ascii="Calibri" w:hAnsi="Calibri" w:cs="Calibri"/>
          <w:spacing w:val="-3"/>
          <w:sz w:val="24"/>
          <w:szCs w:val="24"/>
          <w:lang w:val="en-GB"/>
        </w:rPr>
        <w:t xml:space="preserve">as compared with the end of last year was also affected by the application of IFRS 9 since 1 January 2018 </w:t>
      </w:r>
      <w:r w:rsidR="00E15A18">
        <w:rPr>
          <w:rFonts w:ascii="Calibri" w:hAnsi="Calibri" w:cs="Calibri"/>
          <w:spacing w:val="-3"/>
          <w:sz w:val="24"/>
          <w:szCs w:val="24"/>
          <w:lang w:val="en-GB"/>
        </w:rPr>
        <w:t xml:space="preserve">due to </w:t>
      </w:r>
      <w:r w:rsidRPr="00395073">
        <w:rPr>
          <w:rFonts w:ascii="Calibri" w:hAnsi="Calibri" w:cs="Calibri"/>
          <w:spacing w:val="-3"/>
          <w:sz w:val="24"/>
          <w:szCs w:val="24"/>
          <w:lang w:val="en-GB"/>
        </w:rPr>
        <w:t xml:space="preserve">recording the effect of IFRS 9 </w:t>
      </w:r>
      <w:r w:rsidR="007D0C92" w:rsidRPr="00395073">
        <w:rPr>
          <w:rFonts w:ascii="Calibri" w:hAnsi="Calibri" w:cs="Calibri"/>
          <w:spacing w:val="-3"/>
          <w:sz w:val="24"/>
          <w:szCs w:val="24"/>
          <w:lang w:val="en-GB"/>
        </w:rPr>
        <w:t xml:space="preserve">at the expense of </w:t>
      </w:r>
      <w:r w:rsidRPr="00395073">
        <w:rPr>
          <w:rFonts w:ascii="Calibri" w:hAnsi="Calibri" w:cs="Calibri"/>
          <w:spacing w:val="-3"/>
          <w:sz w:val="24"/>
          <w:szCs w:val="24"/>
          <w:lang w:val="en-GB"/>
        </w:rPr>
        <w:t xml:space="preserve">the retained earnings. </w:t>
      </w:r>
    </w:p>
    <w:p w14:paraId="0B0C3BAC" w14:textId="77777777" w:rsidR="00C96DAA" w:rsidRPr="00395073" w:rsidRDefault="00C96DAA" w:rsidP="00C96DAA">
      <w:pPr>
        <w:tabs>
          <w:tab w:val="left" w:pos="-720"/>
        </w:tabs>
        <w:suppressAutoHyphens/>
        <w:spacing w:after="0" w:line="240" w:lineRule="auto"/>
        <w:jc w:val="both"/>
        <w:rPr>
          <w:rFonts w:cstheme="minorHAnsi"/>
          <w:spacing w:val="-3"/>
          <w:sz w:val="24"/>
          <w:szCs w:val="24"/>
          <w:lang w:val="en-GB"/>
        </w:rPr>
      </w:pPr>
    </w:p>
    <w:p w14:paraId="6F59DC98" w14:textId="4A678189" w:rsidR="00C96DAA" w:rsidRPr="00395073" w:rsidRDefault="00C96DAA" w:rsidP="00C96DAA">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Total </w:t>
      </w:r>
      <w:r w:rsidR="00D750C6">
        <w:rPr>
          <w:rFonts w:cstheme="minorHAnsi"/>
          <w:spacing w:val="-3"/>
          <w:sz w:val="24"/>
          <w:szCs w:val="24"/>
          <w:lang w:val="en-GB"/>
        </w:rPr>
        <w:t xml:space="preserve">equity </w:t>
      </w:r>
      <w:r w:rsidR="0036402E">
        <w:rPr>
          <w:rFonts w:cstheme="minorHAnsi"/>
          <w:spacing w:val="-3"/>
          <w:sz w:val="24"/>
          <w:szCs w:val="24"/>
          <w:lang w:val="en-GB"/>
        </w:rPr>
        <w:t>reserves</w:t>
      </w:r>
      <w:r w:rsidRPr="00395073">
        <w:rPr>
          <w:rFonts w:cstheme="minorHAnsi"/>
          <w:spacing w:val="-3"/>
          <w:sz w:val="24"/>
          <w:szCs w:val="24"/>
          <w:lang w:val="en-GB"/>
        </w:rPr>
        <w:t xml:space="preserve"> of HBOR </w:t>
      </w:r>
      <w:proofErr w:type="gramStart"/>
      <w:r w:rsidRPr="00395073">
        <w:rPr>
          <w:rFonts w:cstheme="minorHAnsi"/>
          <w:spacing w:val="-3"/>
          <w:sz w:val="24"/>
          <w:szCs w:val="24"/>
          <w:lang w:val="en-GB"/>
        </w:rPr>
        <w:t>is</w:t>
      </w:r>
      <w:proofErr w:type="gramEnd"/>
      <w:r w:rsidRPr="00395073">
        <w:rPr>
          <w:rFonts w:cstheme="minorHAnsi"/>
          <w:spacing w:val="-3"/>
          <w:sz w:val="24"/>
          <w:szCs w:val="24"/>
          <w:lang w:val="en-GB"/>
        </w:rPr>
        <w:t xml:space="preserve"> comprised of the capital and the guarantee fund. HBOR’s capital is comprised of founder’s capital contributed from the budget of the Republic of Croatia, retained earnings from the profits generated in the previous years, other </w:t>
      </w:r>
      <w:proofErr w:type="gramStart"/>
      <w:r w:rsidRPr="00395073">
        <w:rPr>
          <w:rFonts w:cstheme="minorHAnsi"/>
          <w:spacing w:val="-3"/>
          <w:sz w:val="24"/>
          <w:szCs w:val="24"/>
          <w:lang w:val="en-GB"/>
        </w:rPr>
        <w:t>reserves</w:t>
      </w:r>
      <w:proofErr w:type="gramEnd"/>
      <w:r w:rsidRPr="00395073">
        <w:rPr>
          <w:rFonts w:cstheme="minorHAnsi"/>
          <w:spacing w:val="-3"/>
          <w:sz w:val="24"/>
          <w:szCs w:val="24"/>
          <w:lang w:val="en-GB"/>
        </w:rPr>
        <w:t xml:space="preserve"> and profits for the current year. </w:t>
      </w:r>
    </w:p>
    <w:p w14:paraId="6570AC60" w14:textId="77777777" w:rsidR="00C96DAA" w:rsidRPr="00395073" w:rsidRDefault="00C96DAA" w:rsidP="00C96DAA">
      <w:pPr>
        <w:tabs>
          <w:tab w:val="left" w:pos="-720"/>
        </w:tabs>
        <w:suppressAutoHyphens/>
        <w:spacing w:after="0" w:line="240" w:lineRule="auto"/>
        <w:jc w:val="both"/>
        <w:rPr>
          <w:rFonts w:cstheme="minorHAnsi"/>
          <w:spacing w:val="-3"/>
          <w:sz w:val="24"/>
          <w:szCs w:val="24"/>
          <w:lang w:val="en-GB"/>
        </w:rPr>
      </w:pPr>
    </w:p>
    <w:p w14:paraId="2E91D424" w14:textId="021156FB" w:rsidR="00C96DAA" w:rsidRPr="00395073" w:rsidRDefault="00C96DAA" w:rsidP="00C96DAA">
      <w:pPr>
        <w:tabs>
          <w:tab w:val="left" w:pos="-720"/>
        </w:tabs>
        <w:suppressAutoHyphens/>
        <w:spacing w:after="0" w:line="240" w:lineRule="auto"/>
        <w:ind w:right="-142" w:hanging="142"/>
        <w:jc w:val="both"/>
        <w:rPr>
          <w:rFonts w:cstheme="minorHAnsi"/>
          <w:spacing w:val="-3"/>
          <w:sz w:val="24"/>
          <w:szCs w:val="24"/>
          <w:lang w:val="en-GB"/>
        </w:rPr>
      </w:pPr>
      <w:bookmarkStart w:id="5" w:name="_Hlk530148753"/>
      <w:r w:rsidRPr="00395073">
        <w:rPr>
          <w:rFonts w:cstheme="minorHAnsi"/>
          <w:spacing w:val="-3"/>
          <w:sz w:val="24"/>
          <w:szCs w:val="24"/>
          <w:lang w:val="en-GB"/>
        </w:rPr>
        <w:tab/>
      </w:r>
      <w:r w:rsidRPr="00020D59">
        <w:rPr>
          <w:rFonts w:cstheme="minorHAnsi"/>
          <w:spacing w:val="-3"/>
          <w:sz w:val="24"/>
          <w:szCs w:val="24"/>
          <w:lang w:val="en-GB"/>
        </w:rPr>
        <w:t>In the reporting period</w:t>
      </w:r>
      <w:r w:rsidR="00214910" w:rsidRPr="00020D59">
        <w:rPr>
          <w:rFonts w:cstheme="minorHAnsi"/>
          <w:spacing w:val="-3"/>
          <w:sz w:val="24"/>
          <w:szCs w:val="24"/>
          <w:lang w:val="en-GB"/>
        </w:rPr>
        <w:t xml:space="preserve"> the amount of HRK 50.00 million was</w:t>
      </w:r>
      <w:r w:rsidRPr="00020D59">
        <w:rPr>
          <w:rFonts w:cstheme="minorHAnsi"/>
          <w:spacing w:val="-3"/>
          <w:sz w:val="24"/>
          <w:szCs w:val="24"/>
          <w:lang w:val="en-GB"/>
        </w:rPr>
        <w:t xml:space="preserve"> contribut</w:t>
      </w:r>
      <w:r w:rsidR="00214910" w:rsidRPr="00020D59">
        <w:rPr>
          <w:rFonts w:cstheme="minorHAnsi"/>
          <w:spacing w:val="-3"/>
          <w:sz w:val="24"/>
          <w:szCs w:val="24"/>
          <w:lang w:val="en-GB"/>
        </w:rPr>
        <w:t>ed</w:t>
      </w:r>
      <w:r w:rsidRPr="00020D59">
        <w:rPr>
          <w:rFonts w:cstheme="minorHAnsi"/>
          <w:spacing w:val="-3"/>
          <w:sz w:val="24"/>
          <w:szCs w:val="24"/>
          <w:lang w:val="en-GB"/>
        </w:rPr>
        <w:t xml:space="preserve"> from the budget of the Republic of Croatia</w:t>
      </w:r>
      <w:r w:rsidR="00214910" w:rsidRPr="00020D59">
        <w:rPr>
          <w:rFonts w:cstheme="minorHAnsi"/>
          <w:spacing w:val="-3"/>
          <w:sz w:val="24"/>
          <w:szCs w:val="24"/>
          <w:lang w:val="en-GB"/>
        </w:rPr>
        <w:t xml:space="preserve"> in</w:t>
      </w:r>
      <w:r w:rsidRPr="00020D59">
        <w:rPr>
          <w:rFonts w:cstheme="minorHAnsi"/>
          <w:spacing w:val="-3"/>
          <w:sz w:val="24"/>
          <w:szCs w:val="24"/>
          <w:lang w:val="en-GB"/>
        </w:rPr>
        <w:t>to the founder’s capital</w:t>
      </w:r>
      <w:r w:rsidR="00214910" w:rsidRPr="00020D59">
        <w:rPr>
          <w:rFonts w:cstheme="minorHAnsi"/>
          <w:spacing w:val="-3"/>
          <w:sz w:val="24"/>
          <w:szCs w:val="24"/>
          <w:lang w:val="en-GB"/>
        </w:rPr>
        <w:t xml:space="preserve">, </w:t>
      </w:r>
      <w:r w:rsidR="0036402E" w:rsidRPr="00020D59">
        <w:rPr>
          <w:rFonts w:cstheme="minorHAnsi"/>
          <w:spacing w:val="-3"/>
          <w:sz w:val="24"/>
          <w:szCs w:val="24"/>
          <w:lang w:val="en-GB"/>
        </w:rPr>
        <w:t>as planned in the 2018 budget</w:t>
      </w:r>
      <w:bookmarkEnd w:id="5"/>
      <w:r w:rsidRPr="00020D59">
        <w:rPr>
          <w:rFonts w:cstheme="minorHAnsi"/>
          <w:spacing w:val="-3"/>
          <w:sz w:val="24"/>
          <w:szCs w:val="24"/>
          <w:lang w:val="en-GB"/>
        </w:rPr>
        <w:t>.</w:t>
      </w:r>
      <w:r w:rsidRPr="00395073">
        <w:rPr>
          <w:rFonts w:cstheme="minorHAnsi"/>
          <w:spacing w:val="-3"/>
          <w:sz w:val="24"/>
          <w:szCs w:val="24"/>
          <w:lang w:val="en-GB"/>
        </w:rPr>
        <w:t xml:space="preserve"> The total amount of capital contributed from the budget of the Republic of Croatia amounted to HRK 6,</w:t>
      </w:r>
      <w:r w:rsidR="00214910" w:rsidRPr="00395073">
        <w:rPr>
          <w:rFonts w:cstheme="minorHAnsi"/>
          <w:spacing w:val="-3"/>
          <w:sz w:val="24"/>
          <w:szCs w:val="24"/>
          <w:lang w:val="en-GB"/>
        </w:rPr>
        <w:t>633</w:t>
      </w:r>
      <w:r w:rsidRPr="00395073">
        <w:rPr>
          <w:rFonts w:cstheme="minorHAnsi"/>
          <w:spacing w:val="-3"/>
          <w:sz w:val="24"/>
          <w:szCs w:val="24"/>
          <w:lang w:val="en-GB"/>
        </w:rPr>
        <w:t>.00 million, and the remaining amount to be contributed to the founder’s capital up to the total amount of HRK 7,000.0</w:t>
      </w:r>
      <w:r w:rsidR="007D0C92" w:rsidRPr="00395073">
        <w:rPr>
          <w:rFonts w:cstheme="minorHAnsi"/>
          <w:spacing w:val="-3"/>
          <w:sz w:val="24"/>
          <w:szCs w:val="24"/>
          <w:lang w:val="en-GB"/>
        </w:rPr>
        <w:t>0</w:t>
      </w:r>
      <w:r w:rsidRPr="00395073">
        <w:rPr>
          <w:rFonts w:cstheme="minorHAnsi"/>
          <w:spacing w:val="-3"/>
          <w:sz w:val="24"/>
          <w:szCs w:val="24"/>
          <w:lang w:val="en-GB"/>
        </w:rPr>
        <w:t xml:space="preserve"> million set by the HBOR Act is HRK </w:t>
      </w:r>
      <w:r w:rsidR="00214910" w:rsidRPr="00395073">
        <w:rPr>
          <w:rFonts w:cstheme="minorHAnsi"/>
          <w:spacing w:val="-3"/>
          <w:sz w:val="24"/>
          <w:szCs w:val="24"/>
          <w:lang w:val="en-GB"/>
        </w:rPr>
        <w:t>367</w:t>
      </w:r>
      <w:r w:rsidRPr="00395073">
        <w:rPr>
          <w:rFonts w:cstheme="minorHAnsi"/>
          <w:spacing w:val="-3"/>
          <w:sz w:val="24"/>
          <w:szCs w:val="24"/>
          <w:lang w:val="en-GB"/>
        </w:rPr>
        <w:t>.0</w:t>
      </w:r>
      <w:r w:rsidR="008745C0" w:rsidRPr="00395073">
        <w:rPr>
          <w:rFonts w:cstheme="minorHAnsi"/>
          <w:spacing w:val="-3"/>
          <w:sz w:val="24"/>
          <w:szCs w:val="24"/>
          <w:lang w:val="en-GB"/>
        </w:rPr>
        <w:t>0</w:t>
      </w:r>
      <w:r w:rsidRPr="00395073">
        <w:rPr>
          <w:rFonts w:cstheme="minorHAnsi"/>
          <w:spacing w:val="-3"/>
          <w:sz w:val="24"/>
          <w:szCs w:val="24"/>
          <w:lang w:val="en-GB"/>
        </w:rPr>
        <w:t xml:space="preserve"> million.</w:t>
      </w:r>
    </w:p>
    <w:p w14:paraId="2B8426D2" w14:textId="77777777" w:rsidR="00C96DAA" w:rsidRPr="00395073" w:rsidRDefault="00C96DAA" w:rsidP="00C96DAA">
      <w:pPr>
        <w:tabs>
          <w:tab w:val="left" w:pos="-720"/>
        </w:tabs>
        <w:suppressAutoHyphens/>
        <w:spacing w:after="0" w:line="240" w:lineRule="auto"/>
        <w:ind w:right="-142" w:hanging="142"/>
        <w:jc w:val="both"/>
        <w:rPr>
          <w:rFonts w:cstheme="minorHAnsi"/>
          <w:noProof/>
          <w:sz w:val="24"/>
          <w:szCs w:val="24"/>
          <w:lang w:val="en-GB" w:eastAsia="hr-HR"/>
        </w:rPr>
      </w:pPr>
      <w:r w:rsidRPr="00395073">
        <w:rPr>
          <w:rFonts w:cstheme="minorHAnsi"/>
          <w:noProof/>
          <w:sz w:val="24"/>
          <w:szCs w:val="24"/>
          <w:lang w:val="en-GB" w:eastAsia="hr-HR"/>
        </w:rPr>
        <w:tab/>
      </w:r>
    </w:p>
    <w:p w14:paraId="07D2138B" w14:textId="77777777" w:rsidR="00214910" w:rsidRPr="00395073" w:rsidRDefault="00214910" w:rsidP="00C96DAA">
      <w:pPr>
        <w:tabs>
          <w:tab w:val="left" w:pos="-720"/>
        </w:tabs>
        <w:suppressAutoHyphens/>
        <w:spacing w:after="0" w:line="240" w:lineRule="auto"/>
        <w:jc w:val="both"/>
        <w:rPr>
          <w:rFonts w:cstheme="minorHAnsi"/>
          <w:sz w:val="24"/>
          <w:szCs w:val="24"/>
          <w:lang w:val="en-GB"/>
        </w:rPr>
        <w:sectPr w:rsidR="00214910" w:rsidRPr="00395073" w:rsidSect="007B5D75">
          <w:footerReference w:type="default" r:id="rId42"/>
          <w:pgSz w:w="11906" w:h="16838"/>
          <w:pgMar w:top="1417" w:right="1417" w:bottom="1417" w:left="1276" w:header="708" w:footer="708" w:gutter="0"/>
          <w:cols w:space="708"/>
          <w:docGrid w:linePitch="360"/>
        </w:sectPr>
      </w:pPr>
    </w:p>
    <w:p w14:paraId="21447964" w14:textId="77777777" w:rsidR="00516924" w:rsidRPr="00395073" w:rsidRDefault="00516924" w:rsidP="00C96DAA">
      <w:pPr>
        <w:tabs>
          <w:tab w:val="left" w:pos="-720"/>
        </w:tabs>
        <w:suppressAutoHyphens/>
        <w:spacing w:after="0" w:line="240" w:lineRule="auto"/>
        <w:jc w:val="both"/>
        <w:rPr>
          <w:rFonts w:cstheme="minorHAnsi"/>
          <w:sz w:val="24"/>
          <w:szCs w:val="24"/>
          <w:lang w:val="en-GB"/>
        </w:rPr>
      </w:pPr>
    </w:p>
    <w:p w14:paraId="5AF1A627" w14:textId="77777777" w:rsidR="00C96DAA" w:rsidRPr="00395073" w:rsidRDefault="00C05263" w:rsidP="004B43E0">
      <w:pPr>
        <w:tabs>
          <w:tab w:val="left" w:pos="-720"/>
        </w:tabs>
        <w:suppressAutoHyphens/>
        <w:spacing w:after="0" w:line="240" w:lineRule="auto"/>
        <w:jc w:val="both"/>
        <w:rPr>
          <w:rFonts w:cstheme="minorHAnsi"/>
          <w:sz w:val="24"/>
          <w:szCs w:val="24"/>
          <w:lang w:val="en-GB"/>
        </w:rPr>
      </w:pPr>
      <w:r w:rsidRPr="00395073">
        <w:rPr>
          <w:rFonts w:cstheme="minorHAnsi"/>
          <w:noProof/>
          <w:sz w:val="24"/>
          <w:szCs w:val="24"/>
          <w:lang w:val="en-GB"/>
        </w:rPr>
        <w:drawing>
          <wp:inline distT="0" distB="0" distL="0" distR="0" wp14:anchorId="35E71079" wp14:editId="7C6FD29C">
            <wp:extent cx="2868019" cy="3276000"/>
            <wp:effectExtent l="0" t="0" r="889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68019" cy="3276000"/>
                    </a:xfrm>
                    <a:prstGeom prst="rect">
                      <a:avLst/>
                    </a:prstGeom>
                    <a:noFill/>
                  </pic:spPr>
                </pic:pic>
              </a:graphicData>
            </a:graphic>
          </wp:inline>
        </w:drawing>
      </w:r>
      <w:r w:rsidRPr="00395073">
        <w:rPr>
          <w:rFonts w:cstheme="minorHAnsi"/>
          <w:noProof/>
          <w:sz w:val="24"/>
          <w:szCs w:val="24"/>
          <w:lang w:val="en-GB"/>
        </w:rPr>
        <w:drawing>
          <wp:inline distT="0" distB="0" distL="0" distR="0" wp14:anchorId="68EFB703" wp14:editId="4F4CD02C">
            <wp:extent cx="2868019" cy="3276000"/>
            <wp:effectExtent l="0" t="0" r="889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68019" cy="3276000"/>
                    </a:xfrm>
                    <a:prstGeom prst="rect">
                      <a:avLst/>
                    </a:prstGeom>
                    <a:noFill/>
                  </pic:spPr>
                </pic:pic>
              </a:graphicData>
            </a:graphic>
          </wp:inline>
        </w:drawing>
      </w:r>
    </w:p>
    <w:p w14:paraId="0380022F" w14:textId="77777777" w:rsidR="004B43E0" w:rsidRPr="00395073" w:rsidRDefault="004B43E0" w:rsidP="004B43E0">
      <w:pPr>
        <w:tabs>
          <w:tab w:val="left" w:pos="-720"/>
        </w:tabs>
        <w:suppressAutoHyphens/>
        <w:spacing w:after="0" w:line="240" w:lineRule="auto"/>
        <w:jc w:val="both"/>
        <w:rPr>
          <w:rFonts w:cstheme="minorHAnsi"/>
          <w:sz w:val="24"/>
          <w:szCs w:val="24"/>
          <w:lang w:val="en-GB"/>
        </w:rPr>
      </w:pPr>
    </w:p>
    <w:p w14:paraId="60E07AA5" w14:textId="77777777" w:rsidR="00516924" w:rsidRPr="00395073" w:rsidRDefault="00516924" w:rsidP="004B43E0">
      <w:pPr>
        <w:tabs>
          <w:tab w:val="left" w:pos="-720"/>
        </w:tabs>
        <w:suppressAutoHyphens/>
        <w:spacing w:after="0" w:line="240" w:lineRule="auto"/>
        <w:jc w:val="both"/>
        <w:rPr>
          <w:rFonts w:cstheme="minorHAnsi"/>
          <w:sz w:val="24"/>
          <w:szCs w:val="24"/>
          <w:lang w:val="en-GB"/>
        </w:rPr>
      </w:pPr>
    </w:p>
    <w:p w14:paraId="1ECE0747" w14:textId="77777777" w:rsidR="004B43E0" w:rsidRPr="00395073" w:rsidRDefault="00C05263" w:rsidP="004B43E0">
      <w:pPr>
        <w:tabs>
          <w:tab w:val="left" w:pos="-720"/>
        </w:tabs>
        <w:suppressAutoHyphens/>
        <w:spacing w:after="0" w:line="240" w:lineRule="auto"/>
        <w:jc w:val="both"/>
        <w:rPr>
          <w:rFonts w:cstheme="minorHAnsi"/>
          <w:sz w:val="24"/>
          <w:szCs w:val="24"/>
          <w:lang w:val="en-GB"/>
        </w:rPr>
      </w:pPr>
      <w:r w:rsidRPr="00395073">
        <w:rPr>
          <w:rFonts w:cstheme="minorHAnsi"/>
          <w:noProof/>
          <w:sz w:val="24"/>
          <w:szCs w:val="24"/>
          <w:lang w:val="en-GB"/>
        </w:rPr>
        <w:drawing>
          <wp:inline distT="0" distB="0" distL="0" distR="0" wp14:anchorId="50DAF8E8" wp14:editId="7B8BBCB6">
            <wp:extent cx="2868019" cy="3276000"/>
            <wp:effectExtent l="0" t="0" r="889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68019" cy="3276000"/>
                    </a:xfrm>
                    <a:prstGeom prst="rect">
                      <a:avLst/>
                    </a:prstGeom>
                    <a:noFill/>
                  </pic:spPr>
                </pic:pic>
              </a:graphicData>
            </a:graphic>
          </wp:inline>
        </w:drawing>
      </w:r>
      <w:r w:rsidRPr="00395073">
        <w:rPr>
          <w:rFonts w:cstheme="minorHAnsi"/>
          <w:noProof/>
          <w:sz w:val="24"/>
          <w:szCs w:val="24"/>
          <w:lang w:val="en-GB"/>
        </w:rPr>
        <w:drawing>
          <wp:inline distT="0" distB="0" distL="0" distR="0" wp14:anchorId="3AD3898E" wp14:editId="6050D4BE">
            <wp:extent cx="2868019" cy="3276000"/>
            <wp:effectExtent l="0" t="0" r="889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68019" cy="3276000"/>
                    </a:xfrm>
                    <a:prstGeom prst="rect">
                      <a:avLst/>
                    </a:prstGeom>
                    <a:noFill/>
                  </pic:spPr>
                </pic:pic>
              </a:graphicData>
            </a:graphic>
          </wp:inline>
        </w:drawing>
      </w:r>
    </w:p>
    <w:p w14:paraId="60F9E185" w14:textId="77777777" w:rsidR="004B43E0" w:rsidRPr="00395073" w:rsidRDefault="004B43E0" w:rsidP="00C96DAA">
      <w:pPr>
        <w:tabs>
          <w:tab w:val="left" w:pos="-720"/>
          <w:tab w:val="left" w:pos="426"/>
        </w:tabs>
        <w:suppressAutoHyphens/>
        <w:spacing w:after="0" w:line="240" w:lineRule="auto"/>
        <w:jc w:val="both"/>
        <w:rPr>
          <w:rFonts w:eastAsia="Times New Roman" w:cs="Calibri"/>
          <w:spacing w:val="-3"/>
          <w:sz w:val="24"/>
          <w:szCs w:val="24"/>
          <w:lang w:val="en-GB" w:eastAsia="hr-HR"/>
        </w:rPr>
      </w:pPr>
    </w:p>
    <w:p w14:paraId="6D4D8407" w14:textId="77777777" w:rsidR="009E53C8" w:rsidRPr="00395073" w:rsidRDefault="00D76DD9" w:rsidP="00C96DAA">
      <w:pPr>
        <w:spacing w:after="0" w:line="240" w:lineRule="auto"/>
        <w:jc w:val="both"/>
        <w:rPr>
          <w:rFonts w:eastAsia="Times New Roman" w:cs="Calibri"/>
          <w:b/>
          <w:i/>
          <w:spacing w:val="-3"/>
          <w:sz w:val="24"/>
          <w:szCs w:val="24"/>
          <w:lang w:val="en-GB" w:eastAsia="hr-HR"/>
        </w:rPr>
      </w:pPr>
      <w:r w:rsidRPr="00395073">
        <w:rPr>
          <w:rFonts w:eastAsia="Times New Roman" w:cs="Calibri"/>
          <w:color w:val="7F7F7F" w:themeColor="text1" w:themeTint="80"/>
          <w:spacing w:val="-3"/>
          <w:sz w:val="20"/>
          <w:szCs w:val="20"/>
          <w:lang w:val="en-GB" w:eastAsia="hr-HR"/>
        </w:rPr>
        <w:t xml:space="preserve">*Investments in subsidiaries, Property, plant and equipment and intangible assets, </w:t>
      </w:r>
      <w:proofErr w:type="gramStart"/>
      <w:r w:rsidRPr="00395073">
        <w:rPr>
          <w:rFonts w:eastAsia="Times New Roman" w:cs="Calibri"/>
          <w:color w:val="7F7F7F" w:themeColor="text1" w:themeTint="80"/>
          <w:spacing w:val="-3"/>
          <w:sz w:val="20"/>
          <w:szCs w:val="20"/>
          <w:lang w:val="en-GB" w:eastAsia="hr-HR"/>
        </w:rPr>
        <w:t>Non-current</w:t>
      </w:r>
      <w:proofErr w:type="gramEnd"/>
      <w:r w:rsidRPr="00395073">
        <w:rPr>
          <w:rFonts w:eastAsia="Times New Roman" w:cs="Calibri"/>
          <w:color w:val="7F7F7F" w:themeColor="text1" w:themeTint="80"/>
          <w:spacing w:val="-3"/>
          <w:sz w:val="20"/>
          <w:szCs w:val="20"/>
          <w:lang w:val="en-GB" w:eastAsia="hr-HR"/>
        </w:rPr>
        <w:t xml:space="preserve"> assets held for sale and Other assets </w:t>
      </w:r>
    </w:p>
    <w:sectPr w:rsidR="009E53C8" w:rsidRPr="00395073" w:rsidSect="007B5D75">
      <w:footerReference w:type="default" r:id="rId47"/>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685C" w14:textId="77777777" w:rsidR="002D2168" w:rsidRDefault="002D2168" w:rsidP="00AE35D1">
      <w:pPr>
        <w:spacing w:after="0" w:line="240" w:lineRule="auto"/>
      </w:pPr>
      <w:r>
        <w:separator/>
      </w:r>
    </w:p>
  </w:endnote>
  <w:endnote w:type="continuationSeparator" w:id="0">
    <w:p w14:paraId="622FA36C" w14:textId="77777777" w:rsidR="002D2168" w:rsidRDefault="002D2168"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8716" w14:textId="77777777" w:rsidR="00C96A5B" w:rsidRPr="00290697" w:rsidRDefault="00C96A5B">
    <w:pPr>
      <w:pStyle w:val="Footer"/>
      <w:jc w:val="center"/>
      <w:rPr>
        <w:sz w:val="18"/>
        <w:szCs w:val="18"/>
      </w:rPr>
    </w:pPr>
  </w:p>
  <w:p w14:paraId="50340DD7" w14:textId="77777777" w:rsidR="00C96A5B" w:rsidRPr="000E7285" w:rsidRDefault="00C96A5B"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14:paraId="7803C971" w14:textId="77777777" w:rsidR="00C96A5B" w:rsidRDefault="00C96A5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A545" w14:textId="77777777" w:rsidR="00C96A5B" w:rsidRPr="00020D59" w:rsidRDefault="00C96A5B" w:rsidP="00526FE2">
    <w:pPr>
      <w:pBdr>
        <w:top w:val="single" w:sz="4" w:space="1" w:color="auto"/>
      </w:pBdr>
      <w:tabs>
        <w:tab w:val="center" w:pos="4153"/>
        <w:tab w:val="right" w:pos="9072"/>
      </w:tabs>
      <w:spacing w:after="0" w:line="240" w:lineRule="auto"/>
      <w:ind w:right="283"/>
      <w:rPr>
        <w:rFonts w:eastAsia="Times New Roman" w:cs="Times New Roman"/>
        <w:sz w:val="19"/>
        <w:szCs w:val="19"/>
        <w:lang w:val="en-GB"/>
      </w:rPr>
    </w:pPr>
    <w:r w:rsidRPr="00020D59">
      <w:rPr>
        <w:rFonts w:eastAsia="Times New Roman" w:cs="Arial"/>
        <w:sz w:val="19"/>
        <w:szCs w:val="19"/>
      </w:rPr>
      <w:t xml:space="preserve">10  </w:t>
    </w:r>
    <w:r w:rsidRPr="00020D59">
      <w:rPr>
        <w:rFonts w:eastAsia="Times New Roman" w:cs="Arial"/>
        <w:sz w:val="19"/>
        <w:szCs w:val="19"/>
        <w:lang w:val="en-GB"/>
      </w:rPr>
      <w:t>Croatian Bank for Reconstruction and Development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F136" w14:textId="77777777" w:rsidR="00C96A5B" w:rsidRPr="00020D59" w:rsidRDefault="00C96A5B" w:rsidP="00526FE2">
    <w:pPr>
      <w:pBdr>
        <w:top w:val="single" w:sz="4" w:space="1" w:color="auto"/>
      </w:pBdr>
      <w:tabs>
        <w:tab w:val="center" w:pos="4153"/>
        <w:tab w:val="right" w:pos="9072"/>
      </w:tabs>
      <w:spacing w:after="0" w:line="240" w:lineRule="auto"/>
      <w:ind w:right="283"/>
      <w:rPr>
        <w:rFonts w:eastAsia="Times New Roman" w:cs="Times New Roman"/>
        <w:sz w:val="19"/>
        <w:szCs w:val="19"/>
        <w:lang w:val="en-GB"/>
      </w:rPr>
    </w:pPr>
    <w:r w:rsidRPr="00020D59">
      <w:rPr>
        <w:rFonts w:eastAsia="Times New Roman" w:cs="Arial"/>
        <w:sz w:val="19"/>
        <w:szCs w:val="19"/>
      </w:rPr>
      <w:t xml:space="preserve">11   </w:t>
    </w:r>
    <w:r w:rsidRPr="00020D59">
      <w:rPr>
        <w:rFonts w:eastAsia="Times New Roman" w:cs="Arial"/>
        <w:sz w:val="19"/>
        <w:szCs w:val="19"/>
        <w:lang w:val="en-GB"/>
      </w:rPr>
      <w:t>Croatian Bank for Reconstruction and Development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D5C3" w14:textId="77777777" w:rsidR="00C96A5B" w:rsidRPr="00020D59" w:rsidRDefault="00C96A5B" w:rsidP="00526FE2">
    <w:pPr>
      <w:pBdr>
        <w:top w:val="single" w:sz="4" w:space="1" w:color="auto"/>
      </w:pBdr>
      <w:tabs>
        <w:tab w:val="center" w:pos="4153"/>
        <w:tab w:val="right" w:pos="9072"/>
      </w:tabs>
      <w:spacing w:after="0" w:line="240" w:lineRule="auto"/>
      <w:ind w:right="283"/>
      <w:rPr>
        <w:rFonts w:eastAsia="Times New Roman" w:cs="Times New Roman"/>
        <w:sz w:val="19"/>
        <w:szCs w:val="19"/>
        <w:lang w:val="en-GB"/>
      </w:rPr>
    </w:pPr>
    <w:r w:rsidRPr="00020D59">
      <w:rPr>
        <w:rFonts w:eastAsia="Times New Roman" w:cs="Arial"/>
        <w:sz w:val="19"/>
        <w:szCs w:val="19"/>
      </w:rPr>
      <w:t xml:space="preserve">12   </w:t>
    </w:r>
    <w:r w:rsidRPr="00020D59">
      <w:rPr>
        <w:rFonts w:eastAsia="Times New Roman" w:cs="Arial"/>
        <w:sz w:val="19"/>
        <w:szCs w:val="19"/>
        <w:lang w:val="en-GB"/>
      </w:rPr>
      <w:t>Croatian Bank for Reconstruction and Development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FA92" w14:textId="77777777" w:rsidR="00C96A5B" w:rsidRPr="00020D59" w:rsidRDefault="00C96A5B" w:rsidP="00526FE2">
    <w:pPr>
      <w:pBdr>
        <w:top w:val="single" w:sz="4" w:space="1" w:color="auto"/>
      </w:pBdr>
      <w:tabs>
        <w:tab w:val="center" w:pos="4153"/>
        <w:tab w:val="right" w:pos="9072"/>
      </w:tabs>
      <w:spacing w:after="0" w:line="240" w:lineRule="auto"/>
      <w:ind w:right="283"/>
      <w:rPr>
        <w:rFonts w:eastAsia="Times New Roman" w:cs="Times New Roman"/>
        <w:sz w:val="19"/>
        <w:szCs w:val="19"/>
        <w:lang w:val="en-GB"/>
      </w:rPr>
    </w:pPr>
    <w:r w:rsidRPr="00020D59">
      <w:rPr>
        <w:rFonts w:eastAsia="Times New Roman" w:cs="Arial"/>
        <w:sz w:val="19"/>
        <w:szCs w:val="19"/>
      </w:rPr>
      <w:t xml:space="preserve">13   </w:t>
    </w:r>
    <w:r w:rsidRPr="00020D59">
      <w:rPr>
        <w:rFonts w:eastAsia="Times New Roman" w:cs="Arial"/>
        <w:sz w:val="19"/>
        <w:szCs w:val="19"/>
        <w:lang w:val="en-GB"/>
      </w:rPr>
      <w:t>Croatian Bank for Reconstruction and Development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54CD" w14:textId="77777777" w:rsidR="00C96A5B" w:rsidRPr="00020D59" w:rsidRDefault="00C96A5B" w:rsidP="00526FE2">
    <w:pPr>
      <w:pBdr>
        <w:top w:val="single" w:sz="4" w:space="1" w:color="auto"/>
      </w:pBdr>
      <w:tabs>
        <w:tab w:val="center" w:pos="4153"/>
        <w:tab w:val="right" w:pos="9072"/>
      </w:tabs>
      <w:spacing w:after="0" w:line="240" w:lineRule="auto"/>
      <w:ind w:right="283"/>
      <w:rPr>
        <w:rFonts w:eastAsia="Times New Roman" w:cs="Times New Roman"/>
        <w:sz w:val="19"/>
        <w:szCs w:val="19"/>
        <w:lang w:val="en-GB"/>
      </w:rPr>
    </w:pPr>
    <w:r w:rsidRPr="00020D59">
      <w:rPr>
        <w:rFonts w:eastAsia="Times New Roman" w:cs="Arial"/>
        <w:sz w:val="19"/>
        <w:szCs w:val="19"/>
      </w:rPr>
      <w:t xml:space="preserve">14   </w:t>
    </w:r>
    <w:r w:rsidRPr="00020D59">
      <w:rPr>
        <w:rFonts w:eastAsia="Times New Roman" w:cs="Arial"/>
        <w:sz w:val="19"/>
        <w:szCs w:val="19"/>
        <w:lang w:val="en-GB"/>
      </w:rPr>
      <w:t>Croatian Bank for Reconstruction and Development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5BBD" w14:textId="77777777" w:rsidR="00C96A5B" w:rsidRPr="00020D59" w:rsidRDefault="00C96A5B" w:rsidP="00526FE2">
    <w:pPr>
      <w:pBdr>
        <w:top w:val="single" w:sz="4" w:space="1" w:color="auto"/>
      </w:pBdr>
      <w:tabs>
        <w:tab w:val="center" w:pos="4153"/>
        <w:tab w:val="right" w:pos="9072"/>
      </w:tabs>
      <w:spacing w:after="0" w:line="240" w:lineRule="auto"/>
      <w:ind w:right="283"/>
      <w:rPr>
        <w:rFonts w:eastAsia="Times New Roman" w:cs="Times New Roman"/>
        <w:sz w:val="19"/>
        <w:szCs w:val="19"/>
        <w:lang w:val="en-GB"/>
      </w:rPr>
    </w:pPr>
    <w:r w:rsidRPr="00020D59">
      <w:rPr>
        <w:rFonts w:eastAsia="Times New Roman" w:cs="Arial"/>
        <w:sz w:val="19"/>
        <w:szCs w:val="19"/>
      </w:rPr>
      <w:t xml:space="preserve">15   </w:t>
    </w:r>
    <w:r w:rsidRPr="00020D59">
      <w:rPr>
        <w:rFonts w:eastAsia="Times New Roman" w:cs="Arial"/>
        <w:sz w:val="19"/>
        <w:szCs w:val="19"/>
        <w:lang w:val="en-GB"/>
      </w:rPr>
      <w:t>Croatian Bank for Reconstruction and Development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D3A5" w14:textId="16E57A07" w:rsidR="00C96A5B" w:rsidRPr="00020D59" w:rsidRDefault="00F102E7" w:rsidP="00526FE2">
    <w:pPr>
      <w:pBdr>
        <w:top w:val="single" w:sz="4" w:space="1" w:color="auto"/>
      </w:pBdr>
      <w:tabs>
        <w:tab w:val="center" w:pos="4153"/>
        <w:tab w:val="right" w:pos="9072"/>
      </w:tabs>
      <w:spacing w:after="0" w:line="240" w:lineRule="auto"/>
      <w:ind w:right="283"/>
      <w:rPr>
        <w:rFonts w:eastAsia="Times New Roman" w:cs="Times New Roman"/>
        <w:sz w:val="19"/>
        <w:szCs w:val="19"/>
        <w:lang w:val="en-GB"/>
      </w:rPr>
    </w:pPr>
    <w:r w:rsidRPr="00020D59">
      <w:rPr>
        <w:rFonts w:eastAsia="Times New Roman" w:cs="Arial"/>
        <w:sz w:val="19"/>
        <w:szCs w:val="19"/>
      </w:rPr>
      <w:t xml:space="preserve">16   </w:t>
    </w:r>
    <w:r w:rsidR="00C96A5B" w:rsidRPr="00020D59">
      <w:rPr>
        <w:rFonts w:eastAsia="Times New Roman" w:cs="Arial"/>
        <w:sz w:val="19"/>
        <w:szCs w:val="19"/>
        <w:lang w:val="en-GB"/>
      </w:rPr>
      <w:t>Croatian Bank for Reconstruction and Development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E53D" w14:textId="7C8718AF" w:rsidR="00F102E7" w:rsidRPr="00020D59" w:rsidRDefault="00F102E7" w:rsidP="00526FE2">
    <w:pPr>
      <w:pBdr>
        <w:top w:val="single" w:sz="4" w:space="1" w:color="auto"/>
      </w:pBdr>
      <w:tabs>
        <w:tab w:val="center" w:pos="4153"/>
        <w:tab w:val="right" w:pos="9072"/>
      </w:tabs>
      <w:spacing w:after="0" w:line="240" w:lineRule="auto"/>
      <w:ind w:right="283"/>
      <w:rPr>
        <w:rFonts w:eastAsia="Times New Roman" w:cs="Times New Roman"/>
        <w:sz w:val="19"/>
        <w:szCs w:val="19"/>
        <w:lang w:val="en-GB"/>
      </w:rPr>
    </w:pPr>
    <w:r w:rsidRPr="00020D59">
      <w:rPr>
        <w:rFonts w:eastAsia="Times New Roman" w:cs="Arial"/>
        <w:sz w:val="19"/>
        <w:szCs w:val="19"/>
      </w:rPr>
      <w:t xml:space="preserve">17   </w:t>
    </w:r>
    <w:r w:rsidRPr="00020D59">
      <w:rPr>
        <w:rFonts w:eastAsia="Times New Roman" w:cs="Arial"/>
        <w:sz w:val="19"/>
        <w:szCs w:val="19"/>
        <w:lang w:val="en-GB"/>
      </w:rPr>
      <w:t>Croatian Bank for Reconstruction and Development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4937" w14:textId="77777777" w:rsidR="00C96A5B" w:rsidRPr="001C5366" w:rsidRDefault="00C96A5B" w:rsidP="00AE35D1">
    <w:pPr>
      <w:pBdr>
        <w:top w:val="single" w:sz="4" w:space="1" w:color="auto"/>
      </w:pBdr>
      <w:tabs>
        <w:tab w:val="center" w:pos="4153"/>
        <w:tab w:val="right" w:pos="9072"/>
      </w:tabs>
      <w:spacing w:after="0" w:line="240" w:lineRule="auto"/>
      <w:ind w:right="283"/>
      <w:rPr>
        <w:rFonts w:eastAsia="Times New Roman" w:cs="Times New Roman"/>
        <w:lang w:val="en-GB"/>
      </w:rPr>
    </w:pPr>
    <w:r>
      <w:rPr>
        <w:rFonts w:eastAsia="Times New Roman" w:cs="Arial"/>
        <w:lang w:val="en-GB"/>
      </w:rPr>
      <w:t>2</w:t>
    </w:r>
    <w:r w:rsidRPr="001C5366">
      <w:rPr>
        <w:rFonts w:eastAsia="Times New Roman" w:cs="Arial"/>
        <w:lang w:val="en-GB"/>
      </w:rPr>
      <w:t xml:space="preserve">   Croatian Bank for </w:t>
    </w:r>
    <w:r w:rsidRPr="00020D59">
      <w:rPr>
        <w:rFonts w:eastAsia="Times New Roman" w:cs="Arial"/>
        <w:sz w:val="19"/>
        <w:szCs w:val="19"/>
        <w:lang w:val="en-GB"/>
      </w:rPr>
      <w:t>Reconstruction</w:t>
    </w:r>
    <w:r w:rsidRPr="001C5366">
      <w:rPr>
        <w:rFonts w:eastAsia="Times New Roman" w:cs="Arial"/>
        <w:lang w:val="en-GB"/>
      </w:rPr>
      <w:t xml:space="preserve"> and Development</w:t>
    </w:r>
  </w:p>
  <w:p w14:paraId="0052BE04" w14:textId="77777777" w:rsidR="00C96A5B" w:rsidRDefault="00C96A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F553" w14:textId="77777777" w:rsidR="00C96A5B" w:rsidRPr="00020D59" w:rsidRDefault="00C96A5B" w:rsidP="00526FE2">
    <w:pPr>
      <w:pBdr>
        <w:top w:val="single" w:sz="4" w:space="1" w:color="auto"/>
      </w:pBdr>
      <w:tabs>
        <w:tab w:val="center" w:pos="4153"/>
        <w:tab w:val="right" w:pos="9072"/>
      </w:tabs>
      <w:spacing w:after="0" w:line="240" w:lineRule="auto"/>
      <w:ind w:right="283"/>
      <w:rPr>
        <w:rFonts w:eastAsia="Times New Roman" w:cs="Times New Roman"/>
        <w:sz w:val="19"/>
        <w:szCs w:val="19"/>
        <w:lang w:val="en-GB"/>
      </w:rPr>
    </w:pPr>
    <w:r w:rsidRPr="00020D59">
      <w:rPr>
        <w:rFonts w:eastAsia="Times New Roman" w:cs="Arial"/>
        <w:sz w:val="19"/>
        <w:szCs w:val="19"/>
      </w:rPr>
      <w:t xml:space="preserve">3   </w:t>
    </w:r>
    <w:r w:rsidRPr="00020D59">
      <w:rPr>
        <w:rFonts w:eastAsia="Times New Roman" w:cs="Arial"/>
        <w:sz w:val="19"/>
        <w:szCs w:val="19"/>
        <w:lang w:val="en-GB"/>
      </w:rPr>
      <w:t>Croatian Bank for Reconstruction and Development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ED4D" w14:textId="77777777" w:rsidR="00C96A5B" w:rsidRPr="00020D59" w:rsidRDefault="00C96A5B" w:rsidP="00526FE2">
    <w:pPr>
      <w:pBdr>
        <w:top w:val="single" w:sz="4" w:space="1" w:color="auto"/>
      </w:pBdr>
      <w:tabs>
        <w:tab w:val="center" w:pos="4153"/>
        <w:tab w:val="right" w:pos="9072"/>
      </w:tabs>
      <w:spacing w:after="0" w:line="240" w:lineRule="auto"/>
      <w:ind w:right="283"/>
      <w:rPr>
        <w:rFonts w:eastAsia="Times New Roman" w:cs="Times New Roman"/>
        <w:sz w:val="19"/>
        <w:szCs w:val="19"/>
        <w:lang w:val="en-GB"/>
      </w:rPr>
    </w:pPr>
    <w:r w:rsidRPr="00020D59">
      <w:rPr>
        <w:rFonts w:eastAsia="Times New Roman" w:cs="Arial"/>
        <w:sz w:val="19"/>
        <w:szCs w:val="19"/>
      </w:rPr>
      <w:t xml:space="preserve">4   </w:t>
    </w:r>
    <w:r w:rsidRPr="00020D59">
      <w:rPr>
        <w:rFonts w:eastAsia="Times New Roman" w:cs="Arial"/>
        <w:sz w:val="19"/>
        <w:szCs w:val="19"/>
        <w:lang w:val="en-GB"/>
      </w:rPr>
      <w:t>Croatian Bank for Reconstruction and Development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C294" w14:textId="415938D1" w:rsidR="00C96A5B" w:rsidRDefault="00C96A5B" w:rsidP="00020D59">
    <w:pPr>
      <w:pBdr>
        <w:top w:val="single" w:sz="4" w:space="1" w:color="auto"/>
      </w:pBdr>
      <w:tabs>
        <w:tab w:val="center" w:pos="4153"/>
        <w:tab w:val="right" w:pos="9072"/>
      </w:tabs>
      <w:spacing w:after="0" w:line="240" w:lineRule="auto"/>
      <w:ind w:right="283"/>
    </w:pPr>
    <w:r w:rsidRPr="00020D59">
      <w:rPr>
        <w:rFonts w:eastAsia="Times New Roman" w:cs="Arial"/>
        <w:sz w:val="19"/>
        <w:szCs w:val="19"/>
      </w:rPr>
      <w:t xml:space="preserve">5   </w:t>
    </w:r>
    <w:r w:rsidRPr="00020D59">
      <w:rPr>
        <w:rFonts w:eastAsia="Times New Roman" w:cs="Arial"/>
        <w:sz w:val="19"/>
        <w:szCs w:val="19"/>
        <w:lang w:val="en-GB"/>
      </w:rPr>
      <w:t>Croatian Bank for Reconstruction and Development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676D" w14:textId="77777777" w:rsidR="00C96A5B" w:rsidRPr="00020D59" w:rsidRDefault="00C96A5B" w:rsidP="00526FE2">
    <w:pPr>
      <w:pBdr>
        <w:top w:val="single" w:sz="4" w:space="1" w:color="auto"/>
      </w:pBdr>
      <w:tabs>
        <w:tab w:val="center" w:pos="4153"/>
        <w:tab w:val="right" w:pos="9072"/>
      </w:tabs>
      <w:spacing w:after="0" w:line="240" w:lineRule="auto"/>
      <w:ind w:right="283"/>
      <w:rPr>
        <w:rFonts w:eastAsia="Times New Roman" w:cs="Times New Roman"/>
        <w:sz w:val="19"/>
        <w:szCs w:val="19"/>
        <w:lang w:val="en-GB"/>
      </w:rPr>
    </w:pPr>
    <w:r w:rsidRPr="00020D59">
      <w:rPr>
        <w:rFonts w:eastAsia="Times New Roman" w:cs="Arial"/>
        <w:sz w:val="19"/>
        <w:szCs w:val="19"/>
      </w:rPr>
      <w:t xml:space="preserve">6   </w:t>
    </w:r>
    <w:r w:rsidRPr="00020D59">
      <w:rPr>
        <w:rFonts w:eastAsia="Times New Roman" w:cs="Arial"/>
        <w:sz w:val="19"/>
        <w:szCs w:val="19"/>
        <w:lang w:val="en-GB"/>
      </w:rPr>
      <w:t>Croatian Bank for Reconstruction and Development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5DE0" w14:textId="77777777" w:rsidR="00C96A5B" w:rsidRPr="00020D59" w:rsidRDefault="00C96A5B" w:rsidP="00526FE2">
    <w:pPr>
      <w:pBdr>
        <w:top w:val="single" w:sz="4" w:space="1" w:color="auto"/>
      </w:pBdr>
      <w:tabs>
        <w:tab w:val="center" w:pos="4153"/>
        <w:tab w:val="right" w:pos="9072"/>
      </w:tabs>
      <w:spacing w:after="0" w:line="240" w:lineRule="auto"/>
      <w:ind w:right="283"/>
      <w:rPr>
        <w:rFonts w:eastAsia="Times New Roman" w:cs="Times New Roman"/>
        <w:sz w:val="19"/>
        <w:szCs w:val="19"/>
        <w:lang w:val="en-GB"/>
      </w:rPr>
    </w:pPr>
    <w:r w:rsidRPr="00020D59">
      <w:rPr>
        <w:rFonts w:eastAsia="Times New Roman" w:cs="Arial"/>
        <w:sz w:val="19"/>
        <w:szCs w:val="19"/>
      </w:rPr>
      <w:t xml:space="preserve">7   </w:t>
    </w:r>
    <w:r w:rsidRPr="00020D59">
      <w:rPr>
        <w:rFonts w:eastAsia="Times New Roman" w:cs="Arial"/>
        <w:sz w:val="19"/>
        <w:szCs w:val="19"/>
        <w:lang w:val="en-GB"/>
      </w:rPr>
      <w:t>Croatian Bank for Reconstruction and Development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F2AC" w14:textId="77777777" w:rsidR="00C96A5B" w:rsidRPr="00020D59" w:rsidRDefault="00C96A5B" w:rsidP="00526FE2">
    <w:pPr>
      <w:pBdr>
        <w:top w:val="single" w:sz="4" w:space="1" w:color="auto"/>
      </w:pBdr>
      <w:tabs>
        <w:tab w:val="center" w:pos="4153"/>
        <w:tab w:val="right" w:pos="9072"/>
      </w:tabs>
      <w:spacing w:after="0" w:line="240" w:lineRule="auto"/>
      <w:ind w:right="283"/>
      <w:rPr>
        <w:rFonts w:eastAsia="Times New Roman" w:cs="Times New Roman"/>
        <w:sz w:val="19"/>
        <w:szCs w:val="19"/>
        <w:lang w:val="en-GB"/>
      </w:rPr>
    </w:pPr>
    <w:r w:rsidRPr="00020D59">
      <w:rPr>
        <w:rFonts w:eastAsia="Times New Roman" w:cs="Arial"/>
        <w:sz w:val="19"/>
        <w:szCs w:val="19"/>
      </w:rPr>
      <w:t xml:space="preserve">8   </w:t>
    </w:r>
    <w:r w:rsidRPr="00020D59">
      <w:rPr>
        <w:rFonts w:eastAsia="Times New Roman" w:cs="Arial"/>
        <w:sz w:val="19"/>
        <w:szCs w:val="19"/>
        <w:lang w:val="en-GB"/>
      </w:rPr>
      <w:t>Croatian Bank for Reconstruction and Development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FC40" w14:textId="77777777" w:rsidR="00C96A5B" w:rsidRPr="00020D59" w:rsidRDefault="00C96A5B" w:rsidP="00526FE2">
    <w:pPr>
      <w:pBdr>
        <w:top w:val="single" w:sz="4" w:space="1" w:color="auto"/>
      </w:pBdr>
      <w:tabs>
        <w:tab w:val="center" w:pos="4153"/>
        <w:tab w:val="right" w:pos="9072"/>
      </w:tabs>
      <w:spacing w:after="0" w:line="240" w:lineRule="auto"/>
      <w:ind w:right="283"/>
      <w:rPr>
        <w:rFonts w:eastAsia="Times New Roman" w:cs="Times New Roman"/>
        <w:sz w:val="19"/>
        <w:szCs w:val="19"/>
        <w:lang w:val="en-GB"/>
      </w:rPr>
    </w:pPr>
    <w:r w:rsidRPr="00020D59">
      <w:rPr>
        <w:rFonts w:eastAsia="Times New Roman" w:cs="Arial"/>
        <w:sz w:val="19"/>
        <w:szCs w:val="19"/>
      </w:rPr>
      <w:t xml:space="preserve">9   </w:t>
    </w:r>
    <w:r w:rsidRPr="00020D59">
      <w:rPr>
        <w:rFonts w:eastAsia="Times New Roman" w:cs="Arial"/>
        <w:sz w:val="19"/>
        <w:szCs w:val="19"/>
        <w:lang w:val="en-GB"/>
      </w:rPr>
      <w:t>Croatian Bank for Reconstruction and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6007" w14:textId="77777777" w:rsidR="002D2168" w:rsidRDefault="002D2168" w:rsidP="00AE35D1">
      <w:pPr>
        <w:spacing w:after="0" w:line="240" w:lineRule="auto"/>
      </w:pPr>
      <w:r>
        <w:separator/>
      </w:r>
    </w:p>
  </w:footnote>
  <w:footnote w:type="continuationSeparator" w:id="0">
    <w:p w14:paraId="1683DE43" w14:textId="77777777" w:rsidR="002D2168" w:rsidRDefault="002D2168" w:rsidP="00AE3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7"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8"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1"/>
  </w:num>
  <w:num w:numId="5">
    <w:abstractNumId w:val="6"/>
  </w:num>
  <w:num w:numId="6">
    <w:abstractNumId w:val="0"/>
  </w:num>
  <w:num w:numId="7">
    <w:abstractNumId w:val="18"/>
  </w:num>
  <w:num w:numId="8">
    <w:abstractNumId w:val="7"/>
  </w:num>
  <w:num w:numId="9">
    <w:abstractNumId w:val="2"/>
  </w:num>
  <w:num w:numId="10">
    <w:abstractNumId w:val="10"/>
  </w:num>
  <w:num w:numId="11">
    <w:abstractNumId w:val="15"/>
  </w:num>
  <w:num w:numId="12">
    <w:abstractNumId w:val="13"/>
  </w:num>
  <w:num w:numId="13">
    <w:abstractNumId w:val="16"/>
  </w:num>
  <w:num w:numId="14">
    <w:abstractNumId w:val="17"/>
  </w:num>
  <w:num w:numId="15">
    <w:abstractNumId w:val="4"/>
  </w:num>
  <w:num w:numId="16">
    <w:abstractNumId w:val="14"/>
  </w:num>
  <w:num w:numId="17">
    <w:abstractNumId w:val="11"/>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2A"/>
    <w:rsid w:val="00006673"/>
    <w:rsid w:val="00006EF5"/>
    <w:rsid w:val="0001410A"/>
    <w:rsid w:val="000149E9"/>
    <w:rsid w:val="00015A3C"/>
    <w:rsid w:val="000161D7"/>
    <w:rsid w:val="00020D59"/>
    <w:rsid w:val="000241D5"/>
    <w:rsid w:val="000244BE"/>
    <w:rsid w:val="000250FE"/>
    <w:rsid w:val="00031476"/>
    <w:rsid w:val="00031B10"/>
    <w:rsid w:val="000335D8"/>
    <w:rsid w:val="00035E8F"/>
    <w:rsid w:val="00035EEC"/>
    <w:rsid w:val="00041D20"/>
    <w:rsid w:val="0004513C"/>
    <w:rsid w:val="000454B4"/>
    <w:rsid w:val="00045CCC"/>
    <w:rsid w:val="00047F32"/>
    <w:rsid w:val="00050711"/>
    <w:rsid w:val="0005277D"/>
    <w:rsid w:val="000527E5"/>
    <w:rsid w:val="00052E67"/>
    <w:rsid w:val="000562A8"/>
    <w:rsid w:val="00057C14"/>
    <w:rsid w:val="000617E0"/>
    <w:rsid w:val="00067D16"/>
    <w:rsid w:val="00072C81"/>
    <w:rsid w:val="000737D9"/>
    <w:rsid w:val="00073C53"/>
    <w:rsid w:val="000743E9"/>
    <w:rsid w:val="00075515"/>
    <w:rsid w:val="000757A4"/>
    <w:rsid w:val="000800B5"/>
    <w:rsid w:val="00081940"/>
    <w:rsid w:val="00085E8C"/>
    <w:rsid w:val="00090260"/>
    <w:rsid w:val="0009043B"/>
    <w:rsid w:val="00090F12"/>
    <w:rsid w:val="00090F2E"/>
    <w:rsid w:val="00093893"/>
    <w:rsid w:val="00094C98"/>
    <w:rsid w:val="000A14D2"/>
    <w:rsid w:val="000A516A"/>
    <w:rsid w:val="000A76E4"/>
    <w:rsid w:val="000A7CE2"/>
    <w:rsid w:val="000A7F81"/>
    <w:rsid w:val="000B0090"/>
    <w:rsid w:val="000B56CC"/>
    <w:rsid w:val="000B7946"/>
    <w:rsid w:val="000C2C94"/>
    <w:rsid w:val="000C3336"/>
    <w:rsid w:val="000C7868"/>
    <w:rsid w:val="000D1837"/>
    <w:rsid w:val="000D744C"/>
    <w:rsid w:val="000E13CC"/>
    <w:rsid w:val="000E3A01"/>
    <w:rsid w:val="000E7285"/>
    <w:rsid w:val="000E7964"/>
    <w:rsid w:val="000F04E1"/>
    <w:rsid w:val="000F59D5"/>
    <w:rsid w:val="000F7480"/>
    <w:rsid w:val="0010063A"/>
    <w:rsid w:val="001014AC"/>
    <w:rsid w:val="001124D6"/>
    <w:rsid w:val="0011250C"/>
    <w:rsid w:val="0011293B"/>
    <w:rsid w:val="00113256"/>
    <w:rsid w:val="001230A2"/>
    <w:rsid w:val="00123BF7"/>
    <w:rsid w:val="00124861"/>
    <w:rsid w:val="001312B5"/>
    <w:rsid w:val="001320B3"/>
    <w:rsid w:val="001320FF"/>
    <w:rsid w:val="00132877"/>
    <w:rsid w:val="0013644E"/>
    <w:rsid w:val="00140D1A"/>
    <w:rsid w:val="00152275"/>
    <w:rsid w:val="00154A76"/>
    <w:rsid w:val="001564EC"/>
    <w:rsid w:val="00156B31"/>
    <w:rsid w:val="00156F4B"/>
    <w:rsid w:val="00157AA7"/>
    <w:rsid w:val="001637D9"/>
    <w:rsid w:val="001648B5"/>
    <w:rsid w:val="00165954"/>
    <w:rsid w:val="00165E58"/>
    <w:rsid w:val="00166F19"/>
    <w:rsid w:val="0017099C"/>
    <w:rsid w:val="00171348"/>
    <w:rsid w:val="00171E49"/>
    <w:rsid w:val="001723C1"/>
    <w:rsid w:val="00172905"/>
    <w:rsid w:val="00174B17"/>
    <w:rsid w:val="00174EDE"/>
    <w:rsid w:val="001756A5"/>
    <w:rsid w:val="001771E0"/>
    <w:rsid w:val="00177EA8"/>
    <w:rsid w:val="00182752"/>
    <w:rsid w:val="0018377C"/>
    <w:rsid w:val="00184C66"/>
    <w:rsid w:val="00187D89"/>
    <w:rsid w:val="00192451"/>
    <w:rsid w:val="00192D81"/>
    <w:rsid w:val="0019522E"/>
    <w:rsid w:val="0019558E"/>
    <w:rsid w:val="001A05CD"/>
    <w:rsid w:val="001A4847"/>
    <w:rsid w:val="001A60B3"/>
    <w:rsid w:val="001B0533"/>
    <w:rsid w:val="001B0B2A"/>
    <w:rsid w:val="001B3C94"/>
    <w:rsid w:val="001C0165"/>
    <w:rsid w:val="001C1C44"/>
    <w:rsid w:val="001C1FDF"/>
    <w:rsid w:val="001C3F5F"/>
    <w:rsid w:val="001C448E"/>
    <w:rsid w:val="001C5366"/>
    <w:rsid w:val="001C559B"/>
    <w:rsid w:val="001C5C3D"/>
    <w:rsid w:val="001C6D63"/>
    <w:rsid w:val="001C75C2"/>
    <w:rsid w:val="001D1195"/>
    <w:rsid w:val="001D2396"/>
    <w:rsid w:val="001D3926"/>
    <w:rsid w:val="001D478E"/>
    <w:rsid w:val="001D607A"/>
    <w:rsid w:val="001D613D"/>
    <w:rsid w:val="001E06D4"/>
    <w:rsid w:val="001E123E"/>
    <w:rsid w:val="001E2FF4"/>
    <w:rsid w:val="001E329C"/>
    <w:rsid w:val="001E59E3"/>
    <w:rsid w:val="001F28BE"/>
    <w:rsid w:val="001F2E75"/>
    <w:rsid w:val="001F5378"/>
    <w:rsid w:val="002024B5"/>
    <w:rsid w:val="00205E14"/>
    <w:rsid w:val="00207E12"/>
    <w:rsid w:val="002105E8"/>
    <w:rsid w:val="00212DE6"/>
    <w:rsid w:val="00213ECB"/>
    <w:rsid w:val="00214829"/>
    <w:rsid w:val="00214910"/>
    <w:rsid w:val="00214D08"/>
    <w:rsid w:val="00221BB0"/>
    <w:rsid w:val="00226C6E"/>
    <w:rsid w:val="00231B89"/>
    <w:rsid w:val="00232DB9"/>
    <w:rsid w:val="00236AB7"/>
    <w:rsid w:val="00236FE9"/>
    <w:rsid w:val="002417E1"/>
    <w:rsid w:val="00244B32"/>
    <w:rsid w:val="00245155"/>
    <w:rsid w:val="00245666"/>
    <w:rsid w:val="00246384"/>
    <w:rsid w:val="0024653F"/>
    <w:rsid w:val="00252F2C"/>
    <w:rsid w:val="002563D1"/>
    <w:rsid w:val="00257EE2"/>
    <w:rsid w:val="002652AE"/>
    <w:rsid w:val="0026752C"/>
    <w:rsid w:val="002714FC"/>
    <w:rsid w:val="00271849"/>
    <w:rsid w:val="00273E6D"/>
    <w:rsid w:val="002754A5"/>
    <w:rsid w:val="00275D45"/>
    <w:rsid w:val="0027798B"/>
    <w:rsid w:val="00280418"/>
    <w:rsid w:val="00282E66"/>
    <w:rsid w:val="002834B1"/>
    <w:rsid w:val="00285B02"/>
    <w:rsid w:val="00290697"/>
    <w:rsid w:val="002910FC"/>
    <w:rsid w:val="002912CF"/>
    <w:rsid w:val="002915DB"/>
    <w:rsid w:val="00292FAF"/>
    <w:rsid w:val="002969B8"/>
    <w:rsid w:val="00296BD7"/>
    <w:rsid w:val="002A0507"/>
    <w:rsid w:val="002A38D0"/>
    <w:rsid w:val="002A599E"/>
    <w:rsid w:val="002B1A0D"/>
    <w:rsid w:val="002B45D9"/>
    <w:rsid w:val="002B4AC1"/>
    <w:rsid w:val="002B6016"/>
    <w:rsid w:val="002B7D68"/>
    <w:rsid w:val="002C11A1"/>
    <w:rsid w:val="002C64CB"/>
    <w:rsid w:val="002D0D64"/>
    <w:rsid w:val="002D2168"/>
    <w:rsid w:val="002D23C5"/>
    <w:rsid w:val="002D3BA1"/>
    <w:rsid w:val="002D5848"/>
    <w:rsid w:val="002E2097"/>
    <w:rsid w:val="002E269E"/>
    <w:rsid w:val="002E49FB"/>
    <w:rsid w:val="002E7EA9"/>
    <w:rsid w:val="002F52CD"/>
    <w:rsid w:val="002F66C5"/>
    <w:rsid w:val="0030186D"/>
    <w:rsid w:val="00304311"/>
    <w:rsid w:val="0030575E"/>
    <w:rsid w:val="00306D3A"/>
    <w:rsid w:val="00310146"/>
    <w:rsid w:val="003132C3"/>
    <w:rsid w:val="003175DA"/>
    <w:rsid w:val="00317B07"/>
    <w:rsid w:val="00317B7A"/>
    <w:rsid w:val="003213D1"/>
    <w:rsid w:val="003222CF"/>
    <w:rsid w:val="00322B19"/>
    <w:rsid w:val="003234B8"/>
    <w:rsid w:val="00324025"/>
    <w:rsid w:val="00324D27"/>
    <w:rsid w:val="00327D06"/>
    <w:rsid w:val="00331DF5"/>
    <w:rsid w:val="00335511"/>
    <w:rsid w:val="003358AA"/>
    <w:rsid w:val="003378CD"/>
    <w:rsid w:val="00341EAD"/>
    <w:rsid w:val="00342F55"/>
    <w:rsid w:val="003439D3"/>
    <w:rsid w:val="00344F38"/>
    <w:rsid w:val="00346285"/>
    <w:rsid w:val="00347BB2"/>
    <w:rsid w:val="003513FA"/>
    <w:rsid w:val="003516A1"/>
    <w:rsid w:val="00357985"/>
    <w:rsid w:val="003603A1"/>
    <w:rsid w:val="00361239"/>
    <w:rsid w:val="00361545"/>
    <w:rsid w:val="0036402E"/>
    <w:rsid w:val="003661CA"/>
    <w:rsid w:val="00366BCB"/>
    <w:rsid w:val="00371021"/>
    <w:rsid w:val="00373D3F"/>
    <w:rsid w:val="0037736C"/>
    <w:rsid w:val="00381510"/>
    <w:rsid w:val="00384E24"/>
    <w:rsid w:val="003869DA"/>
    <w:rsid w:val="00386C27"/>
    <w:rsid w:val="003947FD"/>
    <w:rsid w:val="00395073"/>
    <w:rsid w:val="00395700"/>
    <w:rsid w:val="003979AE"/>
    <w:rsid w:val="003A36A8"/>
    <w:rsid w:val="003A411B"/>
    <w:rsid w:val="003B25C7"/>
    <w:rsid w:val="003B4530"/>
    <w:rsid w:val="003B5845"/>
    <w:rsid w:val="003C3D84"/>
    <w:rsid w:val="003C5F0E"/>
    <w:rsid w:val="003C7367"/>
    <w:rsid w:val="003D01A5"/>
    <w:rsid w:val="003D407D"/>
    <w:rsid w:val="003D4454"/>
    <w:rsid w:val="003D57BB"/>
    <w:rsid w:val="003D583C"/>
    <w:rsid w:val="003E2CC0"/>
    <w:rsid w:val="003E432B"/>
    <w:rsid w:val="003E5F5C"/>
    <w:rsid w:val="003F0B76"/>
    <w:rsid w:val="003F2303"/>
    <w:rsid w:val="00400E1E"/>
    <w:rsid w:val="004013B3"/>
    <w:rsid w:val="00402611"/>
    <w:rsid w:val="004066A0"/>
    <w:rsid w:val="004066BD"/>
    <w:rsid w:val="00410152"/>
    <w:rsid w:val="00412186"/>
    <w:rsid w:val="00416F51"/>
    <w:rsid w:val="00417B56"/>
    <w:rsid w:val="00420392"/>
    <w:rsid w:val="00422588"/>
    <w:rsid w:val="00422A70"/>
    <w:rsid w:val="00422B10"/>
    <w:rsid w:val="00422C5C"/>
    <w:rsid w:val="00423483"/>
    <w:rsid w:val="00425C36"/>
    <w:rsid w:val="00426055"/>
    <w:rsid w:val="00427B54"/>
    <w:rsid w:val="004400A5"/>
    <w:rsid w:val="004405CD"/>
    <w:rsid w:val="004447FC"/>
    <w:rsid w:val="0044748D"/>
    <w:rsid w:val="00451544"/>
    <w:rsid w:val="0045213B"/>
    <w:rsid w:val="004521D8"/>
    <w:rsid w:val="00452F29"/>
    <w:rsid w:val="00454956"/>
    <w:rsid w:val="004566F4"/>
    <w:rsid w:val="00460613"/>
    <w:rsid w:val="00461388"/>
    <w:rsid w:val="00461505"/>
    <w:rsid w:val="004643C9"/>
    <w:rsid w:val="00467093"/>
    <w:rsid w:val="004671B3"/>
    <w:rsid w:val="004677AE"/>
    <w:rsid w:val="00472355"/>
    <w:rsid w:val="00473488"/>
    <w:rsid w:val="0047434B"/>
    <w:rsid w:val="004747FD"/>
    <w:rsid w:val="004776A2"/>
    <w:rsid w:val="00481DEF"/>
    <w:rsid w:val="0048362C"/>
    <w:rsid w:val="0048554D"/>
    <w:rsid w:val="004A4421"/>
    <w:rsid w:val="004A5658"/>
    <w:rsid w:val="004B02BC"/>
    <w:rsid w:val="004B1A6D"/>
    <w:rsid w:val="004B339A"/>
    <w:rsid w:val="004B43E0"/>
    <w:rsid w:val="004C00E3"/>
    <w:rsid w:val="004C4CAA"/>
    <w:rsid w:val="004C5C55"/>
    <w:rsid w:val="004D3A7C"/>
    <w:rsid w:val="004D51E3"/>
    <w:rsid w:val="004E082D"/>
    <w:rsid w:val="004E3DE6"/>
    <w:rsid w:val="004E4CD5"/>
    <w:rsid w:val="00502A0A"/>
    <w:rsid w:val="00504C3A"/>
    <w:rsid w:val="00514769"/>
    <w:rsid w:val="00514881"/>
    <w:rsid w:val="00516924"/>
    <w:rsid w:val="005201C6"/>
    <w:rsid w:val="00520922"/>
    <w:rsid w:val="00520D37"/>
    <w:rsid w:val="005236B6"/>
    <w:rsid w:val="00525A6E"/>
    <w:rsid w:val="00526C44"/>
    <w:rsid w:val="00526FE2"/>
    <w:rsid w:val="00527F1B"/>
    <w:rsid w:val="00531C98"/>
    <w:rsid w:val="00532BBD"/>
    <w:rsid w:val="00536673"/>
    <w:rsid w:val="005371EE"/>
    <w:rsid w:val="00544A1D"/>
    <w:rsid w:val="00551AFB"/>
    <w:rsid w:val="0055291F"/>
    <w:rsid w:val="00554637"/>
    <w:rsid w:val="00555F2D"/>
    <w:rsid w:val="00562C3A"/>
    <w:rsid w:val="005654E7"/>
    <w:rsid w:val="00570CA5"/>
    <w:rsid w:val="00572377"/>
    <w:rsid w:val="00575100"/>
    <w:rsid w:val="00576D51"/>
    <w:rsid w:val="00582992"/>
    <w:rsid w:val="0058795F"/>
    <w:rsid w:val="0059020B"/>
    <w:rsid w:val="00590211"/>
    <w:rsid w:val="00591CD8"/>
    <w:rsid w:val="00592331"/>
    <w:rsid w:val="0059334C"/>
    <w:rsid w:val="00596824"/>
    <w:rsid w:val="00596884"/>
    <w:rsid w:val="00597D4B"/>
    <w:rsid w:val="00597DCD"/>
    <w:rsid w:val="005A01C0"/>
    <w:rsid w:val="005A184D"/>
    <w:rsid w:val="005A190F"/>
    <w:rsid w:val="005A20A6"/>
    <w:rsid w:val="005A35C6"/>
    <w:rsid w:val="005A6619"/>
    <w:rsid w:val="005A6D6B"/>
    <w:rsid w:val="005A7C68"/>
    <w:rsid w:val="005B0B84"/>
    <w:rsid w:val="005B58C5"/>
    <w:rsid w:val="005B5C42"/>
    <w:rsid w:val="005C047B"/>
    <w:rsid w:val="005C0CE8"/>
    <w:rsid w:val="005C1D07"/>
    <w:rsid w:val="005C324A"/>
    <w:rsid w:val="005C6BB4"/>
    <w:rsid w:val="005D019F"/>
    <w:rsid w:val="005D453B"/>
    <w:rsid w:val="005D4C16"/>
    <w:rsid w:val="005D559F"/>
    <w:rsid w:val="005D5AFF"/>
    <w:rsid w:val="005D5D73"/>
    <w:rsid w:val="005E0386"/>
    <w:rsid w:val="005E5574"/>
    <w:rsid w:val="005E7AFD"/>
    <w:rsid w:val="005F0AE9"/>
    <w:rsid w:val="005F1497"/>
    <w:rsid w:val="005F39E1"/>
    <w:rsid w:val="005F78AB"/>
    <w:rsid w:val="00601BA3"/>
    <w:rsid w:val="00602844"/>
    <w:rsid w:val="00606B35"/>
    <w:rsid w:val="006071E3"/>
    <w:rsid w:val="006148F7"/>
    <w:rsid w:val="00621CA0"/>
    <w:rsid w:val="006220C1"/>
    <w:rsid w:val="006220D7"/>
    <w:rsid w:val="00623C82"/>
    <w:rsid w:val="00624312"/>
    <w:rsid w:val="00627884"/>
    <w:rsid w:val="00627E2C"/>
    <w:rsid w:val="0063028C"/>
    <w:rsid w:val="0063123C"/>
    <w:rsid w:val="00631E61"/>
    <w:rsid w:val="00644E14"/>
    <w:rsid w:val="00645528"/>
    <w:rsid w:val="00645771"/>
    <w:rsid w:val="00647585"/>
    <w:rsid w:val="006476A4"/>
    <w:rsid w:val="00652315"/>
    <w:rsid w:val="006549BA"/>
    <w:rsid w:val="006561B5"/>
    <w:rsid w:val="0065688C"/>
    <w:rsid w:val="006574F4"/>
    <w:rsid w:val="00662B68"/>
    <w:rsid w:val="00665728"/>
    <w:rsid w:val="006672AE"/>
    <w:rsid w:val="00671E0F"/>
    <w:rsid w:val="006738F5"/>
    <w:rsid w:val="00677EA0"/>
    <w:rsid w:val="00685E73"/>
    <w:rsid w:val="00687DA3"/>
    <w:rsid w:val="00692504"/>
    <w:rsid w:val="00692862"/>
    <w:rsid w:val="0069544A"/>
    <w:rsid w:val="00695460"/>
    <w:rsid w:val="00696B13"/>
    <w:rsid w:val="00696C5A"/>
    <w:rsid w:val="006A02AF"/>
    <w:rsid w:val="006A02FD"/>
    <w:rsid w:val="006A3B98"/>
    <w:rsid w:val="006A42A6"/>
    <w:rsid w:val="006A43DB"/>
    <w:rsid w:val="006A55DE"/>
    <w:rsid w:val="006B1B39"/>
    <w:rsid w:val="006B2629"/>
    <w:rsid w:val="006B2826"/>
    <w:rsid w:val="006B44F9"/>
    <w:rsid w:val="006B531C"/>
    <w:rsid w:val="006B7572"/>
    <w:rsid w:val="006C3B82"/>
    <w:rsid w:val="006C6102"/>
    <w:rsid w:val="006C6A89"/>
    <w:rsid w:val="006D63F0"/>
    <w:rsid w:val="006E3E83"/>
    <w:rsid w:val="006E54A3"/>
    <w:rsid w:val="006F1B0E"/>
    <w:rsid w:val="006F26D9"/>
    <w:rsid w:val="006F535B"/>
    <w:rsid w:val="007004E5"/>
    <w:rsid w:val="00700ED8"/>
    <w:rsid w:val="00702E48"/>
    <w:rsid w:val="00704716"/>
    <w:rsid w:val="00705185"/>
    <w:rsid w:val="00710AE5"/>
    <w:rsid w:val="00714F1D"/>
    <w:rsid w:val="007162FD"/>
    <w:rsid w:val="007221ED"/>
    <w:rsid w:val="00724057"/>
    <w:rsid w:val="0072650F"/>
    <w:rsid w:val="007304E2"/>
    <w:rsid w:val="00733D40"/>
    <w:rsid w:val="007342C2"/>
    <w:rsid w:val="007343B3"/>
    <w:rsid w:val="0073540C"/>
    <w:rsid w:val="00735B63"/>
    <w:rsid w:val="00735F2B"/>
    <w:rsid w:val="0073733E"/>
    <w:rsid w:val="0074086A"/>
    <w:rsid w:val="0074220F"/>
    <w:rsid w:val="007429C3"/>
    <w:rsid w:val="007438B4"/>
    <w:rsid w:val="00744109"/>
    <w:rsid w:val="007451E5"/>
    <w:rsid w:val="00746BE9"/>
    <w:rsid w:val="00755255"/>
    <w:rsid w:val="00761417"/>
    <w:rsid w:val="00765976"/>
    <w:rsid w:val="00765AC6"/>
    <w:rsid w:val="0076639F"/>
    <w:rsid w:val="007667DB"/>
    <w:rsid w:val="0076739E"/>
    <w:rsid w:val="00773CDB"/>
    <w:rsid w:val="00774C43"/>
    <w:rsid w:val="00777891"/>
    <w:rsid w:val="00777D96"/>
    <w:rsid w:val="00781095"/>
    <w:rsid w:val="00783A4F"/>
    <w:rsid w:val="00783AEC"/>
    <w:rsid w:val="007859D5"/>
    <w:rsid w:val="00786303"/>
    <w:rsid w:val="007866A7"/>
    <w:rsid w:val="007937A8"/>
    <w:rsid w:val="00794772"/>
    <w:rsid w:val="007955CC"/>
    <w:rsid w:val="00797BC9"/>
    <w:rsid w:val="007A3135"/>
    <w:rsid w:val="007A3C54"/>
    <w:rsid w:val="007A4BD0"/>
    <w:rsid w:val="007A50AB"/>
    <w:rsid w:val="007B0AE6"/>
    <w:rsid w:val="007B5D75"/>
    <w:rsid w:val="007B5F64"/>
    <w:rsid w:val="007B7548"/>
    <w:rsid w:val="007C058B"/>
    <w:rsid w:val="007C2B60"/>
    <w:rsid w:val="007C4F1F"/>
    <w:rsid w:val="007C598D"/>
    <w:rsid w:val="007C61D5"/>
    <w:rsid w:val="007C7812"/>
    <w:rsid w:val="007D0C92"/>
    <w:rsid w:val="007D0E13"/>
    <w:rsid w:val="007D2512"/>
    <w:rsid w:val="007D3F76"/>
    <w:rsid w:val="007D44F0"/>
    <w:rsid w:val="007D690E"/>
    <w:rsid w:val="007D7208"/>
    <w:rsid w:val="007E222A"/>
    <w:rsid w:val="007E582D"/>
    <w:rsid w:val="007F1E67"/>
    <w:rsid w:val="007F3D20"/>
    <w:rsid w:val="007F5394"/>
    <w:rsid w:val="007F6A58"/>
    <w:rsid w:val="0080020F"/>
    <w:rsid w:val="0080046D"/>
    <w:rsid w:val="00801EB8"/>
    <w:rsid w:val="00804698"/>
    <w:rsid w:val="008047C6"/>
    <w:rsid w:val="00807599"/>
    <w:rsid w:val="00810A4B"/>
    <w:rsid w:val="00810E29"/>
    <w:rsid w:val="00810E4D"/>
    <w:rsid w:val="008117C3"/>
    <w:rsid w:val="00811935"/>
    <w:rsid w:val="0081235D"/>
    <w:rsid w:val="00814233"/>
    <w:rsid w:val="008171C4"/>
    <w:rsid w:val="00821087"/>
    <w:rsid w:val="00822F9F"/>
    <w:rsid w:val="00833BDB"/>
    <w:rsid w:val="008340CD"/>
    <w:rsid w:val="00836DE8"/>
    <w:rsid w:val="00841F26"/>
    <w:rsid w:val="00842C40"/>
    <w:rsid w:val="00847298"/>
    <w:rsid w:val="00847EFF"/>
    <w:rsid w:val="008506C4"/>
    <w:rsid w:val="00855C93"/>
    <w:rsid w:val="00857E8B"/>
    <w:rsid w:val="00860A98"/>
    <w:rsid w:val="008646D7"/>
    <w:rsid w:val="00864CDC"/>
    <w:rsid w:val="00871618"/>
    <w:rsid w:val="00871BFC"/>
    <w:rsid w:val="00872418"/>
    <w:rsid w:val="00872C56"/>
    <w:rsid w:val="008745C0"/>
    <w:rsid w:val="008748A6"/>
    <w:rsid w:val="0088304A"/>
    <w:rsid w:val="00884FF3"/>
    <w:rsid w:val="00887555"/>
    <w:rsid w:val="0089170B"/>
    <w:rsid w:val="008940CA"/>
    <w:rsid w:val="0089707B"/>
    <w:rsid w:val="008A34FF"/>
    <w:rsid w:val="008A7B17"/>
    <w:rsid w:val="008B31F9"/>
    <w:rsid w:val="008C2923"/>
    <w:rsid w:val="008C2AC9"/>
    <w:rsid w:val="008C5513"/>
    <w:rsid w:val="008C5B68"/>
    <w:rsid w:val="008C6E0E"/>
    <w:rsid w:val="008D105D"/>
    <w:rsid w:val="008D17A0"/>
    <w:rsid w:val="008D2B4D"/>
    <w:rsid w:val="008D4255"/>
    <w:rsid w:val="008D71E9"/>
    <w:rsid w:val="008E2648"/>
    <w:rsid w:val="008E3305"/>
    <w:rsid w:val="008E3C21"/>
    <w:rsid w:val="008E662D"/>
    <w:rsid w:val="008F69C5"/>
    <w:rsid w:val="008F7EA3"/>
    <w:rsid w:val="009012D9"/>
    <w:rsid w:val="00903BF3"/>
    <w:rsid w:val="0090429D"/>
    <w:rsid w:val="00910678"/>
    <w:rsid w:val="009106D2"/>
    <w:rsid w:val="00910DBE"/>
    <w:rsid w:val="00912050"/>
    <w:rsid w:val="00917ABC"/>
    <w:rsid w:val="00922693"/>
    <w:rsid w:val="00922833"/>
    <w:rsid w:val="00924415"/>
    <w:rsid w:val="0092537E"/>
    <w:rsid w:val="009277B5"/>
    <w:rsid w:val="00931110"/>
    <w:rsid w:val="00934BFE"/>
    <w:rsid w:val="00936D5F"/>
    <w:rsid w:val="00936E72"/>
    <w:rsid w:val="00943C6F"/>
    <w:rsid w:val="009456C8"/>
    <w:rsid w:val="00945DA9"/>
    <w:rsid w:val="00953258"/>
    <w:rsid w:val="00955BB2"/>
    <w:rsid w:val="0095717C"/>
    <w:rsid w:val="00961DA1"/>
    <w:rsid w:val="009626AB"/>
    <w:rsid w:val="009628A7"/>
    <w:rsid w:val="009636B6"/>
    <w:rsid w:val="0097104D"/>
    <w:rsid w:val="0098173F"/>
    <w:rsid w:val="00983403"/>
    <w:rsid w:val="00996C02"/>
    <w:rsid w:val="009A0571"/>
    <w:rsid w:val="009A0FF2"/>
    <w:rsid w:val="009A2486"/>
    <w:rsid w:val="009A2C4D"/>
    <w:rsid w:val="009A3270"/>
    <w:rsid w:val="009A6023"/>
    <w:rsid w:val="009A65CC"/>
    <w:rsid w:val="009A6A27"/>
    <w:rsid w:val="009B1CCB"/>
    <w:rsid w:val="009B2A50"/>
    <w:rsid w:val="009B3074"/>
    <w:rsid w:val="009B3E8B"/>
    <w:rsid w:val="009B4285"/>
    <w:rsid w:val="009B53FC"/>
    <w:rsid w:val="009B6F97"/>
    <w:rsid w:val="009C0F17"/>
    <w:rsid w:val="009C2C42"/>
    <w:rsid w:val="009C7FDD"/>
    <w:rsid w:val="009D08A2"/>
    <w:rsid w:val="009D13E1"/>
    <w:rsid w:val="009D1EE4"/>
    <w:rsid w:val="009D3DCB"/>
    <w:rsid w:val="009D5228"/>
    <w:rsid w:val="009D594D"/>
    <w:rsid w:val="009D7FE2"/>
    <w:rsid w:val="009E0340"/>
    <w:rsid w:val="009E3641"/>
    <w:rsid w:val="009E53C8"/>
    <w:rsid w:val="009E60BE"/>
    <w:rsid w:val="009E63A2"/>
    <w:rsid w:val="009E6A41"/>
    <w:rsid w:val="009E6AB6"/>
    <w:rsid w:val="009F7D36"/>
    <w:rsid w:val="00A0186A"/>
    <w:rsid w:val="00A136A3"/>
    <w:rsid w:val="00A14E1D"/>
    <w:rsid w:val="00A157D3"/>
    <w:rsid w:val="00A1635C"/>
    <w:rsid w:val="00A166D0"/>
    <w:rsid w:val="00A23ABA"/>
    <w:rsid w:val="00A240E5"/>
    <w:rsid w:val="00A244EE"/>
    <w:rsid w:val="00A258D9"/>
    <w:rsid w:val="00A303C5"/>
    <w:rsid w:val="00A303F0"/>
    <w:rsid w:val="00A30F50"/>
    <w:rsid w:val="00A3128E"/>
    <w:rsid w:val="00A3224F"/>
    <w:rsid w:val="00A33140"/>
    <w:rsid w:val="00A33CBE"/>
    <w:rsid w:val="00A40969"/>
    <w:rsid w:val="00A43BF0"/>
    <w:rsid w:val="00A45F18"/>
    <w:rsid w:val="00A478A1"/>
    <w:rsid w:val="00A55AAE"/>
    <w:rsid w:val="00A5639F"/>
    <w:rsid w:val="00A57699"/>
    <w:rsid w:val="00A612EF"/>
    <w:rsid w:val="00A6349B"/>
    <w:rsid w:val="00A63AB2"/>
    <w:rsid w:val="00A6433E"/>
    <w:rsid w:val="00A64BB4"/>
    <w:rsid w:val="00A66E01"/>
    <w:rsid w:val="00A67553"/>
    <w:rsid w:val="00A67B12"/>
    <w:rsid w:val="00A7444C"/>
    <w:rsid w:val="00A745A2"/>
    <w:rsid w:val="00A747E3"/>
    <w:rsid w:val="00A76C60"/>
    <w:rsid w:val="00A80C70"/>
    <w:rsid w:val="00A861A4"/>
    <w:rsid w:val="00A871F0"/>
    <w:rsid w:val="00A8775B"/>
    <w:rsid w:val="00A907C1"/>
    <w:rsid w:val="00A90E2A"/>
    <w:rsid w:val="00A915C9"/>
    <w:rsid w:val="00A933E5"/>
    <w:rsid w:val="00A94EDA"/>
    <w:rsid w:val="00A95A73"/>
    <w:rsid w:val="00A969CE"/>
    <w:rsid w:val="00AA0B2B"/>
    <w:rsid w:val="00AA2E68"/>
    <w:rsid w:val="00AA3292"/>
    <w:rsid w:val="00AA40CE"/>
    <w:rsid w:val="00AA7675"/>
    <w:rsid w:val="00AA7E01"/>
    <w:rsid w:val="00AB02E4"/>
    <w:rsid w:val="00AB1434"/>
    <w:rsid w:val="00AB1895"/>
    <w:rsid w:val="00AB1A3C"/>
    <w:rsid w:val="00AB1DE2"/>
    <w:rsid w:val="00AB4317"/>
    <w:rsid w:val="00AC5E5D"/>
    <w:rsid w:val="00AD1876"/>
    <w:rsid w:val="00AD316C"/>
    <w:rsid w:val="00AD3667"/>
    <w:rsid w:val="00AD3E2B"/>
    <w:rsid w:val="00AD7C87"/>
    <w:rsid w:val="00AE35D1"/>
    <w:rsid w:val="00AE36EF"/>
    <w:rsid w:val="00AE4A2A"/>
    <w:rsid w:val="00AE5757"/>
    <w:rsid w:val="00AE59EF"/>
    <w:rsid w:val="00AE6A51"/>
    <w:rsid w:val="00AE785D"/>
    <w:rsid w:val="00AF7CDC"/>
    <w:rsid w:val="00B00198"/>
    <w:rsid w:val="00B03442"/>
    <w:rsid w:val="00B03D11"/>
    <w:rsid w:val="00B06FF9"/>
    <w:rsid w:val="00B07119"/>
    <w:rsid w:val="00B166A8"/>
    <w:rsid w:val="00B168EA"/>
    <w:rsid w:val="00B1778E"/>
    <w:rsid w:val="00B23DAF"/>
    <w:rsid w:val="00B2425C"/>
    <w:rsid w:val="00B24CEF"/>
    <w:rsid w:val="00B2659C"/>
    <w:rsid w:val="00B276F2"/>
    <w:rsid w:val="00B30A24"/>
    <w:rsid w:val="00B32E88"/>
    <w:rsid w:val="00B33057"/>
    <w:rsid w:val="00B3422F"/>
    <w:rsid w:val="00B355A8"/>
    <w:rsid w:val="00B36C23"/>
    <w:rsid w:val="00B37082"/>
    <w:rsid w:val="00B37B58"/>
    <w:rsid w:val="00B41F46"/>
    <w:rsid w:val="00B421AB"/>
    <w:rsid w:val="00B442A3"/>
    <w:rsid w:val="00B4585A"/>
    <w:rsid w:val="00B46B1F"/>
    <w:rsid w:val="00B46E41"/>
    <w:rsid w:val="00B506BD"/>
    <w:rsid w:val="00B50DDE"/>
    <w:rsid w:val="00B54566"/>
    <w:rsid w:val="00B55221"/>
    <w:rsid w:val="00B559E5"/>
    <w:rsid w:val="00B55B9C"/>
    <w:rsid w:val="00B5610A"/>
    <w:rsid w:val="00B57DFA"/>
    <w:rsid w:val="00B57ECC"/>
    <w:rsid w:val="00B608B9"/>
    <w:rsid w:val="00B611DC"/>
    <w:rsid w:val="00B62C2F"/>
    <w:rsid w:val="00B637B2"/>
    <w:rsid w:val="00B66C6D"/>
    <w:rsid w:val="00B70257"/>
    <w:rsid w:val="00B7101B"/>
    <w:rsid w:val="00B7103C"/>
    <w:rsid w:val="00B755B8"/>
    <w:rsid w:val="00B75F87"/>
    <w:rsid w:val="00B76793"/>
    <w:rsid w:val="00B770E6"/>
    <w:rsid w:val="00B80B83"/>
    <w:rsid w:val="00B81116"/>
    <w:rsid w:val="00B81EB3"/>
    <w:rsid w:val="00B84393"/>
    <w:rsid w:val="00B865F9"/>
    <w:rsid w:val="00B933AB"/>
    <w:rsid w:val="00B94B83"/>
    <w:rsid w:val="00BA6269"/>
    <w:rsid w:val="00BB0260"/>
    <w:rsid w:val="00BB0300"/>
    <w:rsid w:val="00BB336B"/>
    <w:rsid w:val="00BB346E"/>
    <w:rsid w:val="00BB3BB6"/>
    <w:rsid w:val="00BB46F5"/>
    <w:rsid w:val="00BB655D"/>
    <w:rsid w:val="00BD02C0"/>
    <w:rsid w:val="00BD4F29"/>
    <w:rsid w:val="00BD6436"/>
    <w:rsid w:val="00BD6888"/>
    <w:rsid w:val="00BE100C"/>
    <w:rsid w:val="00BE163F"/>
    <w:rsid w:val="00BE1A75"/>
    <w:rsid w:val="00BE2841"/>
    <w:rsid w:val="00BE2A95"/>
    <w:rsid w:val="00BE6420"/>
    <w:rsid w:val="00BF17D9"/>
    <w:rsid w:val="00BF19FE"/>
    <w:rsid w:val="00BF311F"/>
    <w:rsid w:val="00BF436C"/>
    <w:rsid w:val="00BF52BA"/>
    <w:rsid w:val="00BF5A16"/>
    <w:rsid w:val="00BF7262"/>
    <w:rsid w:val="00C03903"/>
    <w:rsid w:val="00C05263"/>
    <w:rsid w:val="00C05CD0"/>
    <w:rsid w:val="00C069B0"/>
    <w:rsid w:val="00C0781E"/>
    <w:rsid w:val="00C10C0E"/>
    <w:rsid w:val="00C11727"/>
    <w:rsid w:val="00C13550"/>
    <w:rsid w:val="00C138AC"/>
    <w:rsid w:val="00C146AB"/>
    <w:rsid w:val="00C16028"/>
    <w:rsid w:val="00C16945"/>
    <w:rsid w:val="00C16DA8"/>
    <w:rsid w:val="00C17F06"/>
    <w:rsid w:val="00C21778"/>
    <w:rsid w:val="00C22AD6"/>
    <w:rsid w:val="00C23C95"/>
    <w:rsid w:val="00C242D6"/>
    <w:rsid w:val="00C262F6"/>
    <w:rsid w:val="00C306CD"/>
    <w:rsid w:val="00C31940"/>
    <w:rsid w:val="00C31DF1"/>
    <w:rsid w:val="00C31F69"/>
    <w:rsid w:val="00C341AE"/>
    <w:rsid w:val="00C3502E"/>
    <w:rsid w:val="00C3604A"/>
    <w:rsid w:val="00C3619E"/>
    <w:rsid w:val="00C41BCC"/>
    <w:rsid w:val="00C4323C"/>
    <w:rsid w:val="00C4459C"/>
    <w:rsid w:val="00C47C4C"/>
    <w:rsid w:val="00C511F9"/>
    <w:rsid w:val="00C52580"/>
    <w:rsid w:val="00C5377D"/>
    <w:rsid w:val="00C5419E"/>
    <w:rsid w:val="00C5425F"/>
    <w:rsid w:val="00C56226"/>
    <w:rsid w:val="00C606A2"/>
    <w:rsid w:val="00C6286A"/>
    <w:rsid w:val="00C662EF"/>
    <w:rsid w:val="00C7043F"/>
    <w:rsid w:val="00C70D18"/>
    <w:rsid w:val="00C71598"/>
    <w:rsid w:val="00C7174B"/>
    <w:rsid w:val="00C71EEA"/>
    <w:rsid w:val="00C731DD"/>
    <w:rsid w:val="00C744B9"/>
    <w:rsid w:val="00C750E0"/>
    <w:rsid w:val="00C753C2"/>
    <w:rsid w:val="00C80C9F"/>
    <w:rsid w:val="00C85D58"/>
    <w:rsid w:val="00C86222"/>
    <w:rsid w:val="00C8731E"/>
    <w:rsid w:val="00C92D53"/>
    <w:rsid w:val="00C92E03"/>
    <w:rsid w:val="00C9389F"/>
    <w:rsid w:val="00C93EFD"/>
    <w:rsid w:val="00C96A5B"/>
    <w:rsid w:val="00C96DAA"/>
    <w:rsid w:val="00CA0759"/>
    <w:rsid w:val="00CA08FA"/>
    <w:rsid w:val="00CA2770"/>
    <w:rsid w:val="00CA558D"/>
    <w:rsid w:val="00CA5EF5"/>
    <w:rsid w:val="00CA6376"/>
    <w:rsid w:val="00CA7A39"/>
    <w:rsid w:val="00CB54BF"/>
    <w:rsid w:val="00CB616B"/>
    <w:rsid w:val="00CB67EC"/>
    <w:rsid w:val="00CB75CB"/>
    <w:rsid w:val="00CB76B5"/>
    <w:rsid w:val="00CC309B"/>
    <w:rsid w:val="00CC53A9"/>
    <w:rsid w:val="00CC7FE1"/>
    <w:rsid w:val="00CD03F8"/>
    <w:rsid w:val="00CD21AF"/>
    <w:rsid w:val="00CD41C7"/>
    <w:rsid w:val="00CD4BDF"/>
    <w:rsid w:val="00CD5158"/>
    <w:rsid w:val="00CD5783"/>
    <w:rsid w:val="00CF12D6"/>
    <w:rsid w:val="00CF14D9"/>
    <w:rsid w:val="00CF3529"/>
    <w:rsid w:val="00CF7656"/>
    <w:rsid w:val="00CF7E76"/>
    <w:rsid w:val="00D00012"/>
    <w:rsid w:val="00D028B6"/>
    <w:rsid w:val="00D03779"/>
    <w:rsid w:val="00D03DDB"/>
    <w:rsid w:val="00D041FF"/>
    <w:rsid w:val="00D06365"/>
    <w:rsid w:val="00D10DEE"/>
    <w:rsid w:val="00D13066"/>
    <w:rsid w:val="00D15431"/>
    <w:rsid w:val="00D16BD8"/>
    <w:rsid w:val="00D17BD2"/>
    <w:rsid w:val="00D233AE"/>
    <w:rsid w:val="00D23843"/>
    <w:rsid w:val="00D25999"/>
    <w:rsid w:val="00D309DE"/>
    <w:rsid w:val="00D31954"/>
    <w:rsid w:val="00D31F95"/>
    <w:rsid w:val="00D3254D"/>
    <w:rsid w:val="00D3346B"/>
    <w:rsid w:val="00D3606D"/>
    <w:rsid w:val="00D36DB0"/>
    <w:rsid w:val="00D3766B"/>
    <w:rsid w:val="00D40EA6"/>
    <w:rsid w:val="00D415FF"/>
    <w:rsid w:val="00D429D5"/>
    <w:rsid w:val="00D44F67"/>
    <w:rsid w:val="00D46AB4"/>
    <w:rsid w:val="00D50E1B"/>
    <w:rsid w:val="00D5109C"/>
    <w:rsid w:val="00D51B7B"/>
    <w:rsid w:val="00D55A88"/>
    <w:rsid w:val="00D5702E"/>
    <w:rsid w:val="00D574C9"/>
    <w:rsid w:val="00D618EB"/>
    <w:rsid w:val="00D61F7D"/>
    <w:rsid w:val="00D6362F"/>
    <w:rsid w:val="00D65A34"/>
    <w:rsid w:val="00D70147"/>
    <w:rsid w:val="00D71012"/>
    <w:rsid w:val="00D720FE"/>
    <w:rsid w:val="00D732FB"/>
    <w:rsid w:val="00D750C6"/>
    <w:rsid w:val="00D75A21"/>
    <w:rsid w:val="00D760A5"/>
    <w:rsid w:val="00D7690E"/>
    <w:rsid w:val="00D76DD9"/>
    <w:rsid w:val="00D81452"/>
    <w:rsid w:val="00D834DB"/>
    <w:rsid w:val="00D83DCC"/>
    <w:rsid w:val="00D845FC"/>
    <w:rsid w:val="00D84764"/>
    <w:rsid w:val="00D850CB"/>
    <w:rsid w:val="00D85255"/>
    <w:rsid w:val="00D85449"/>
    <w:rsid w:val="00D86A7F"/>
    <w:rsid w:val="00D87260"/>
    <w:rsid w:val="00D87ED4"/>
    <w:rsid w:val="00D90C2D"/>
    <w:rsid w:val="00D94BE1"/>
    <w:rsid w:val="00D94C54"/>
    <w:rsid w:val="00D96ED6"/>
    <w:rsid w:val="00D974F4"/>
    <w:rsid w:val="00DA01DF"/>
    <w:rsid w:val="00DA2001"/>
    <w:rsid w:val="00DA2F32"/>
    <w:rsid w:val="00DA641F"/>
    <w:rsid w:val="00DA775E"/>
    <w:rsid w:val="00DB09B4"/>
    <w:rsid w:val="00DB0CD1"/>
    <w:rsid w:val="00DB38B6"/>
    <w:rsid w:val="00DB4852"/>
    <w:rsid w:val="00DB4942"/>
    <w:rsid w:val="00DB4969"/>
    <w:rsid w:val="00DC05AE"/>
    <w:rsid w:val="00DC0A98"/>
    <w:rsid w:val="00DC64C3"/>
    <w:rsid w:val="00DC6EDD"/>
    <w:rsid w:val="00DD02F2"/>
    <w:rsid w:val="00DD1BE9"/>
    <w:rsid w:val="00DD26FD"/>
    <w:rsid w:val="00DD4579"/>
    <w:rsid w:val="00DD5058"/>
    <w:rsid w:val="00DE2D21"/>
    <w:rsid w:val="00DE379C"/>
    <w:rsid w:val="00DE45B8"/>
    <w:rsid w:val="00DE4960"/>
    <w:rsid w:val="00DE52B5"/>
    <w:rsid w:val="00DE5EF2"/>
    <w:rsid w:val="00DE65A2"/>
    <w:rsid w:val="00DE7950"/>
    <w:rsid w:val="00DF01CC"/>
    <w:rsid w:val="00DF115B"/>
    <w:rsid w:val="00DF30AE"/>
    <w:rsid w:val="00DF76C1"/>
    <w:rsid w:val="00E04A7C"/>
    <w:rsid w:val="00E13B27"/>
    <w:rsid w:val="00E13D4A"/>
    <w:rsid w:val="00E14FFE"/>
    <w:rsid w:val="00E1583C"/>
    <w:rsid w:val="00E15A18"/>
    <w:rsid w:val="00E162B3"/>
    <w:rsid w:val="00E20184"/>
    <w:rsid w:val="00E20718"/>
    <w:rsid w:val="00E20A62"/>
    <w:rsid w:val="00E22320"/>
    <w:rsid w:val="00E26555"/>
    <w:rsid w:val="00E327FA"/>
    <w:rsid w:val="00E35A04"/>
    <w:rsid w:val="00E35E55"/>
    <w:rsid w:val="00E3743C"/>
    <w:rsid w:val="00E415EC"/>
    <w:rsid w:val="00E415F5"/>
    <w:rsid w:val="00E44AD4"/>
    <w:rsid w:val="00E502A6"/>
    <w:rsid w:val="00E51784"/>
    <w:rsid w:val="00E52BAC"/>
    <w:rsid w:val="00E53580"/>
    <w:rsid w:val="00E540B2"/>
    <w:rsid w:val="00E5427F"/>
    <w:rsid w:val="00E55D24"/>
    <w:rsid w:val="00E574D5"/>
    <w:rsid w:val="00E57A64"/>
    <w:rsid w:val="00E6283A"/>
    <w:rsid w:val="00E658AC"/>
    <w:rsid w:val="00E6735F"/>
    <w:rsid w:val="00E70207"/>
    <w:rsid w:val="00E70A27"/>
    <w:rsid w:val="00E730D1"/>
    <w:rsid w:val="00E7412A"/>
    <w:rsid w:val="00E75759"/>
    <w:rsid w:val="00E803FD"/>
    <w:rsid w:val="00E84613"/>
    <w:rsid w:val="00E84D51"/>
    <w:rsid w:val="00E86735"/>
    <w:rsid w:val="00E95227"/>
    <w:rsid w:val="00E96499"/>
    <w:rsid w:val="00E9766B"/>
    <w:rsid w:val="00EA0FF5"/>
    <w:rsid w:val="00EA54EE"/>
    <w:rsid w:val="00EA5E7A"/>
    <w:rsid w:val="00EB02A0"/>
    <w:rsid w:val="00EB334F"/>
    <w:rsid w:val="00EB3A33"/>
    <w:rsid w:val="00EB4C60"/>
    <w:rsid w:val="00EB5E6C"/>
    <w:rsid w:val="00EC0452"/>
    <w:rsid w:val="00EC1094"/>
    <w:rsid w:val="00EC3410"/>
    <w:rsid w:val="00EC5125"/>
    <w:rsid w:val="00EC55C7"/>
    <w:rsid w:val="00EC57E5"/>
    <w:rsid w:val="00EC5F24"/>
    <w:rsid w:val="00ED2E34"/>
    <w:rsid w:val="00ED65F1"/>
    <w:rsid w:val="00ED7310"/>
    <w:rsid w:val="00EE3113"/>
    <w:rsid w:val="00EE4E52"/>
    <w:rsid w:val="00EE5E91"/>
    <w:rsid w:val="00EE60B0"/>
    <w:rsid w:val="00EE66A6"/>
    <w:rsid w:val="00EF1D4A"/>
    <w:rsid w:val="00EF2AF8"/>
    <w:rsid w:val="00EF2D35"/>
    <w:rsid w:val="00EF3A0B"/>
    <w:rsid w:val="00F00AB7"/>
    <w:rsid w:val="00F02F84"/>
    <w:rsid w:val="00F0671B"/>
    <w:rsid w:val="00F0783B"/>
    <w:rsid w:val="00F102E7"/>
    <w:rsid w:val="00F11426"/>
    <w:rsid w:val="00F20111"/>
    <w:rsid w:val="00F20D72"/>
    <w:rsid w:val="00F23B41"/>
    <w:rsid w:val="00F2459C"/>
    <w:rsid w:val="00F24D36"/>
    <w:rsid w:val="00F25BB1"/>
    <w:rsid w:val="00F27182"/>
    <w:rsid w:val="00F317FB"/>
    <w:rsid w:val="00F31A59"/>
    <w:rsid w:val="00F333A1"/>
    <w:rsid w:val="00F3414B"/>
    <w:rsid w:val="00F34353"/>
    <w:rsid w:val="00F41EE1"/>
    <w:rsid w:val="00F41FA4"/>
    <w:rsid w:val="00F4218F"/>
    <w:rsid w:val="00F449AE"/>
    <w:rsid w:val="00F4670A"/>
    <w:rsid w:val="00F504BC"/>
    <w:rsid w:val="00F52B18"/>
    <w:rsid w:val="00F52DD6"/>
    <w:rsid w:val="00F57EB6"/>
    <w:rsid w:val="00F601D0"/>
    <w:rsid w:val="00F62C26"/>
    <w:rsid w:val="00F6382E"/>
    <w:rsid w:val="00F6773D"/>
    <w:rsid w:val="00F71BEC"/>
    <w:rsid w:val="00F73361"/>
    <w:rsid w:val="00F74EF5"/>
    <w:rsid w:val="00F77604"/>
    <w:rsid w:val="00F823E9"/>
    <w:rsid w:val="00F90CB6"/>
    <w:rsid w:val="00F91E78"/>
    <w:rsid w:val="00F937F0"/>
    <w:rsid w:val="00FA066F"/>
    <w:rsid w:val="00FA1E28"/>
    <w:rsid w:val="00FA39ED"/>
    <w:rsid w:val="00FA3B6F"/>
    <w:rsid w:val="00FA6684"/>
    <w:rsid w:val="00FB0704"/>
    <w:rsid w:val="00FB273D"/>
    <w:rsid w:val="00FB3A47"/>
    <w:rsid w:val="00FB561F"/>
    <w:rsid w:val="00FC0CA5"/>
    <w:rsid w:val="00FC1AD8"/>
    <w:rsid w:val="00FC2FC1"/>
    <w:rsid w:val="00FC3604"/>
    <w:rsid w:val="00FC51A4"/>
    <w:rsid w:val="00FC617B"/>
    <w:rsid w:val="00FC7E2E"/>
    <w:rsid w:val="00FD01D0"/>
    <w:rsid w:val="00FD21DC"/>
    <w:rsid w:val="00FD2DD7"/>
    <w:rsid w:val="00FD3D87"/>
    <w:rsid w:val="00FD4BAE"/>
    <w:rsid w:val="00FD4E05"/>
    <w:rsid w:val="00FD6B6D"/>
    <w:rsid w:val="00FE06F1"/>
    <w:rsid w:val="00FE34EF"/>
    <w:rsid w:val="00FE3775"/>
    <w:rsid w:val="00FE3AEC"/>
    <w:rsid w:val="00FE6CA9"/>
    <w:rsid w:val="00FF02C3"/>
    <w:rsid w:val="00FF1666"/>
    <w:rsid w:val="00FF23CD"/>
    <w:rsid w:val="00FF28FF"/>
    <w:rsid w:val="00FF48F6"/>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AD56F7"/>
  <w15:docId w15:val="{E13823E5-A49D-4CE8-88F9-56129E84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420"/>
    <w:rPr>
      <w:sz w:val="16"/>
      <w:szCs w:val="16"/>
    </w:rPr>
  </w:style>
  <w:style w:type="paragraph" w:styleId="CommentText">
    <w:name w:val="annotation text"/>
    <w:basedOn w:val="Normal"/>
    <w:link w:val="CommentTextChar"/>
    <w:uiPriority w:val="99"/>
    <w:unhideWhenUsed/>
    <w:rsid w:val="00BE6420"/>
    <w:pPr>
      <w:spacing w:line="240" w:lineRule="auto"/>
    </w:pPr>
    <w:rPr>
      <w:sz w:val="20"/>
      <w:szCs w:val="20"/>
    </w:rPr>
  </w:style>
  <w:style w:type="character" w:customStyle="1" w:styleId="CommentTextChar">
    <w:name w:val="Comment Text Char"/>
    <w:basedOn w:val="DefaultParagraphFont"/>
    <w:link w:val="CommentText"/>
    <w:uiPriority w:val="99"/>
    <w:rsid w:val="00BE6420"/>
    <w:rPr>
      <w:sz w:val="20"/>
      <w:szCs w:val="20"/>
    </w:rPr>
  </w:style>
  <w:style w:type="paragraph" w:styleId="BalloonText">
    <w:name w:val="Balloon Text"/>
    <w:basedOn w:val="Normal"/>
    <w:link w:val="BalloonTextChar"/>
    <w:uiPriority w:val="99"/>
    <w:semiHidden/>
    <w:unhideWhenUsed/>
    <w:rsid w:val="00BE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588"/>
    <w:rPr>
      <w:b/>
      <w:bCs/>
    </w:rPr>
  </w:style>
  <w:style w:type="character" w:customStyle="1" w:styleId="CommentSubjectChar">
    <w:name w:val="Comment Subject Char"/>
    <w:basedOn w:val="CommentTextChar"/>
    <w:link w:val="CommentSubject"/>
    <w:uiPriority w:val="99"/>
    <w:semiHidden/>
    <w:rsid w:val="00422588"/>
    <w:rPr>
      <w:b/>
      <w:bCs/>
      <w:sz w:val="20"/>
      <w:szCs w:val="20"/>
    </w:rPr>
  </w:style>
  <w:style w:type="paragraph" w:styleId="Header">
    <w:name w:val="header"/>
    <w:basedOn w:val="Normal"/>
    <w:link w:val="HeaderChar"/>
    <w:uiPriority w:val="99"/>
    <w:unhideWhenUsed/>
    <w:rsid w:val="00AE35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5D1"/>
  </w:style>
  <w:style w:type="paragraph" w:styleId="Footer">
    <w:name w:val="footer"/>
    <w:basedOn w:val="Normal"/>
    <w:link w:val="FooterChar"/>
    <w:uiPriority w:val="99"/>
    <w:unhideWhenUsed/>
    <w:rsid w:val="00AE35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5D1"/>
  </w:style>
  <w:style w:type="table" w:styleId="TableGrid">
    <w:name w:val="Table Grid"/>
    <w:basedOn w:val="TableNormal"/>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147"/>
    <w:pPr>
      <w:spacing w:after="0" w:line="240" w:lineRule="auto"/>
    </w:pPr>
  </w:style>
  <w:style w:type="paragraph" w:styleId="ListParagraph">
    <w:name w:val="List Paragraph"/>
    <w:basedOn w:val="Normal"/>
    <w:link w:val="ListParagraph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rsid w:val="00BE2A95"/>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2.png"/><Relationship Id="rId39" Type="http://schemas.openxmlformats.org/officeDocument/2006/relationships/image" Target="media/image18.png"/><Relationship Id="rId21" Type="http://schemas.openxmlformats.org/officeDocument/2006/relationships/footer" Target="footer5.xml"/><Relationship Id="rId34" Type="http://schemas.openxmlformats.org/officeDocument/2006/relationships/image" Target="media/image17.png"/><Relationship Id="rId42" Type="http://schemas.openxmlformats.org/officeDocument/2006/relationships/footer" Target="footer16.xml"/><Relationship Id="rId47"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9.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image" Target="media/image19.png"/><Relationship Id="rId45"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image" Target="media/image15.png"/><Relationship Id="rId44"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6.xml"/><Relationship Id="rId27" Type="http://schemas.openxmlformats.org/officeDocument/2006/relationships/image" Target="media/image13.png"/><Relationship Id="rId30" Type="http://schemas.openxmlformats.org/officeDocument/2006/relationships/image" Target="media/image14.png"/><Relationship Id="rId35" Type="http://schemas.openxmlformats.org/officeDocument/2006/relationships/footer" Target="footer11.xml"/><Relationship Id="rId43" Type="http://schemas.openxmlformats.org/officeDocument/2006/relationships/image" Target="media/image20.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footer" Target="footer14.xml"/><Relationship Id="rId46" Type="http://schemas.openxmlformats.org/officeDocument/2006/relationships/image" Target="media/image23.png"/><Relationship Id="rId20" Type="http://schemas.openxmlformats.org/officeDocument/2006/relationships/image" Target="media/image9.png"/><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D4BDF-282B-4844-AB34-E17DE471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17</Pages>
  <Words>3041</Words>
  <Characters>17335</Characters>
  <Application>Microsoft Office Word</Application>
  <DocSecurity>0</DocSecurity>
  <Lines>144</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Juras Mirjana</cp:lastModifiedBy>
  <cp:revision>52</cp:revision>
  <cp:lastPrinted>2018-08-29T13:38:00Z</cp:lastPrinted>
  <dcterms:created xsi:type="dcterms:W3CDTF">2018-11-23T09:46:00Z</dcterms:created>
  <dcterms:modified xsi:type="dcterms:W3CDTF">2022-05-12T13:52:00Z</dcterms:modified>
</cp:coreProperties>
</file>