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header1.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40B46F" w14:textId="77777777" w:rsidR="007E222A" w:rsidRPr="00041197" w:rsidRDefault="00C71598"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bookmarkStart w:id="0" w:name="_Hlk8731720"/>
      <w:bookmarkEnd w:id="0"/>
      <w:r w:rsidRPr="00041197">
        <w:rPr>
          <w:rFonts w:eastAsia="Times New Roman" w:cs="Calibri"/>
          <w:b/>
          <w:spacing w:val="-3"/>
          <w:sz w:val="24"/>
          <w:szCs w:val="24"/>
          <w:u w:val="single"/>
          <w:lang w:val="en-GB" w:eastAsia="hr-HR"/>
        </w:rPr>
        <w:t xml:space="preserve">  </w:t>
      </w:r>
    </w:p>
    <w:p w14:paraId="1856E45D" w14:textId="77777777" w:rsidR="007E222A" w:rsidRPr="00041197" w:rsidRDefault="00102A38"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r w:rsidRPr="00041197">
        <w:rPr>
          <w:rFonts w:eastAsia="Times New Roman" w:cs="Calibri"/>
          <w:b/>
          <w:noProof/>
          <w:spacing w:val="-3"/>
          <w:sz w:val="24"/>
          <w:szCs w:val="24"/>
          <w:u w:val="single"/>
          <w:lang w:val="en-GB" w:eastAsia="hr-HR"/>
        </w:rPr>
        <w:drawing>
          <wp:anchor distT="0" distB="0" distL="114300" distR="114300" simplePos="0" relativeHeight="251658240" behindDoc="1" locked="0" layoutInCell="1" allowOverlap="1" wp14:anchorId="7B3AB9E9" wp14:editId="16FB24F2">
            <wp:simplePos x="0" y="0"/>
            <wp:positionH relativeFrom="column">
              <wp:posOffset>-316865</wp:posOffset>
            </wp:positionH>
            <wp:positionV relativeFrom="paragraph">
              <wp:posOffset>252730</wp:posOffset>
            </wp:positionV>
            <wp:extent cx="3081341" cy="1044000"/>
            <wp:effectExtent l="0" t="0" r="0" b="0"/>
            <wp:wrapThrough wrapText="bothSides">
              <wp:wrapPolygon edited="0">
                <wp:start x="4274" y="3942"/>
                <wp:lineTo x="2538" y="6701"/>
                <wp:lineTo x="2270" y="7489"/>
                <wp:lineTo x="2270" y="18526"/>
                <wp:lineTo x="5075" y="19314"/>
                <wp:lineTo x="17362" y="19314"/>
                <wp:lineTo x="19098" y="18526"/>
                <wp:lineTo x="19766" y="18131"/>
                <wp:lineTo x="19899" y="16161"/>
                <wp:lineTo x="9482" y="11036"/>
                <wp:lineTo x="9883" y="7883"/>
                <wp:lineTo x="9349" y="7095"/>
                <wp:lineTo x="5743" y="3942"/>
                <wp:lineTo x="4274" y="3942"/>
              </wp:wrapPolygon>
            </wp:wrapThrough>
            <wp:docPr id="9" name="Picture 9" descr="hbor_memo_HRV_ENG_novo_24_04-2_header_HR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bor_memo_HRV_ENG_novo_24_04-2_header_HRV"/>
                    <pic:cNvPicPr>
                      <a:picLocks noChangeAspect="1" noChangeArrowheads="1"/>
                    </pic:cNvPicPr>
                  </pic:nvPicPr>
                  <pic:blipFill>
                    <a:blip r:embed="rId8" cstate="print">
                      <a:extLst>
                        <a:ext uri="{28A0092B-C50C-407E-A947-70E740481C1C}">
                          <a14:useLocalDpi xmlns:a14="http://schemas.microsoft.com/office/drawing/2010/main" val="0"/>
                        </a:ext>
                      </a:extLst>
                    </a:blip>
                    <a:srcRect t="22328" r="60526" b="13531"/>
                    <a:stretch>
                      <a:fillRect/>
                    </a:stretch>
                  </pic:blipFill>
                  <pic:spPr bwMode="auto">
                    <a:xfrm>
                      <a:off x="0" y="0"/>
                      <a:ext cx="3081341" cy="1044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88375B0" w14:textId="77777777" w:rsidR="007E222A" w:rsidRPr="00041197" w:rsidRDefault="007E222A"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4646B9BA" w14:textId="77777777" w:rsidR="007E222A" w:rsidRPr="00041197" w:rsidRDefault="007E222A"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224FF7C7" w14:textId="77777777" w:rsidR="007E222A" w:rsidRPr="00041197" w:rsidRDefault="007E222A"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70E153A6" w14:textId="77777777" w:rsidR="007E222A" w:rsidRPr="00041197" w:rsidRDefault="007E222A"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0F52F6A7" w14:textId="77777777" w:rsidR="007E222A" w:rsidRPr="00041197" w:rsidRDefault="007E222A"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7CCD1525" w14:textId="77777777" w:rsidR="007E222A" w:rsidRPr="00041197" w:rsidRDefault="007E222A"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62B11A49" w14:textId="77777777" w:rsidR="007E222A" w:rsidRPr="00041197" w:rsidRDefault="007E222A"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3F4A4773" w14:textId="77777777" w:rsidR="007E222A" w:rsidRPr="00041197" w:rsidRDefault="007E222A"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1FA3D3F5" w14:textId="77777777" w:rsidR="007E222A" w:rsidRPr="00041197" w:rsidRDefault="007E222A"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6B0714ED" w14:textId="77777777" w:rsidR="001D478E" w:rsidRPr="00041197" w:rsidRDefault="001D478E"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09BAA769" w14:textId="77777777" w:rsidR="001D478E" w:rsidRPr="00041197" w:rsidRDefault="001D478E"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58B51C6B" w14:textId="77777777" w:rsidR="001D478E" w:rsidRPr="00041197" w:rsidRDefault="001D478E"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37101455" w14:textId="77777777" w:rsidR="001D478E" w:rsidRPr="00041197" w:rsidRDefault="001D478E"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7EE8C416" w14:textId="77777777" w:rsidR="007E222A" w:rsidRPr="00041197" w:rsidRDefault="007E222A"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42B77D92" w14:textId="77777777" w:rsidR="007E222A" w:rsidRPr="00041197" w:rsidRDefault="007E222A"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1459345E" w14:textId="77777777" w:rsidR="007E222A" w:rsidRPr="00041197" w:rsidRDefault="007E222A"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3D3AA3F5" w14:textId="77777777" w:rsidR="007E222A" w:rsidRPr="00041197" w:rsidRDefault="00041197" w:rsidP="00290697">
      <w:pPr>
        <w:tabs>
          <w:tab w:val="left" w:pos="-720"/>
          <w:tab w:val="left" w:pos="0"/>
        </w:tabs>
        <w:suppressAutoHyphens/>
        <w:spacing w:after="0" w:line="240" w:lineRule="auto"/>
        <w:jc w:val="center"/>
        <w:rPr>
          <w:rFonts w:eastAsia="Times New Roman" w:cs="Calibri"/>
          <w:b/>
          <w:spacing w:val="-3"/>
          <w:sz w:val="32"/>
          <w:szCs w:val="32"/>
          <w:lang w:val="en-GB" w:eastAsia="hr-HR"/>
        </w:rPr>
      </w:pPr>
      <w:r w:rsidRPr="00041197">
        <w:rPr>
          <w:rFonts w:eastAsia="Times New Roman" w:cs="Calibri"/>
          <w:b/>
          <w:spacing w:val="-3"/>
          <w:sz w:val="32"/>
          <w:szCs w:val="32"/>
          <w:lang w:val="en-GB" w:eastAsia="hr-HR"/>
        </w:rPr>
        <w:t>REPORT ON FINANCIAL PERFORMANCE</w:t>
      </w:r>
    </w:p>
    <w:p w14:paraId="0DB0D57C" w14:textId="77777777" w:rsidR="001D478E" w:rsidRPr="00041197" w:rsidRDefault="001D478E" w:rsidP="00AE35D1">
      <w:pPr>
        <w:tabs>
          <w:tab w:val="left" w:pos="-720"/>
          <w:tab w:val="left" w:pos="426"/>
        </w:tabs>
        <w:suppressAutoHyphens/>
        <w:spacing w:after="0" w:line="240" w:lineRule="auto"/>
        <w:jc w:val="center"/>
        <w:rPr>
          <w:rFonts w:eastAsia="Times New Roman" w:cs="Calibri"/>
          <w:b/>
          <w:spacing w:val="-3"/>
          <w:sz w:val="32"/>
          <w:szCs w:val="32"/>
          <w:lang w:val="en-GB" w:eastAsia="hr-HR"/>
        </w:rPr>
      </w:pPr>
    </w:p>
    <w:p w14:paraId="53FAA39A" w14:textId="43F77CBA" w:rsidR="00422588" w:rsidRPr="00041197" w:rsidRDefault="00041197" w:rsidP="00290697">
      <w:pPr>
        <w:tabs>
          <w:tab w:val="left" w:pos="-720"/>
          <w:tab w:val="left" w:pos="0"/>
        </w:tabs>
        <w:suppressAutoHyphens/>
        <w:spacing w:after="0" w:line="240" w:lineRule="auto"/>
        <w:jc w:val="center"/>
        <w:rPr>
          <w:rFonts w:eastAsia="Times New Roman" w:cs="Calibri"/>
          <w:b/>
          <w:spacing w:val="-3"/>
          <w:sz w:val="32"/>
          <w:szCs w:val="32"/>
          <w:lang w:val="en-GB" w:eastAsia="hr-HR"/>
        </w:rPr>
      </w:pPr>
      <w:r w:rsidRPr="00041197">
        <w:rPr>
          <w:rFonts w:eastAsia="Times New Roman" w:cs="Calibri"/>
          <w:b/>
          <w:spacing w:val="-3"/>
          <w:sz w:val="32"/>
          <w:szCs w:val="32"/>
          <w:lang w:val="en-GB" w:eastAsia="hr-HR"/>
        </w:rPr>
        <w:t>FOR THE PERIOD</w:t>
      </w:r>
      <w:r w:rsidR="001D478E" w:rsidRPr="00041197">
        <w:rPr>
          <w:rFonts w:eastAsia="Times New Roman" w:cs="Calibri"/>
          <w:b/>
          <w:spacing w:val="-3"/>
          <w:sz w:val="32"/>
          <w:szCs w:val="32"/>
          <w:lang w:val="en-GB" w:eastAsia="hr-HR"/>
        </w:rPr>
        <w:t xml:space="preserve"> 1</w:t>
      </w:r>
      <w:r w:rsidRPr="00041197">
        <w:rPr>
          <w:rFonts w:eastAsia="Times New Roman" w:cs="Calibri"/>
          <w:b/>
          <w:spacing w:val="-3"/>
          <w:sz w:val="32"/>
          <w:szCs w:val="32"/>
          <w:lang w:val="en-GB" w:eastAsia="hr-HR"/>
        </w:rPr>
        <w:t xml:space="preserve"> JANUARY – 3</w:t>
      </w:r>
      <w:r w:rsidR="00FF4EE9" w:rsidRPr="00041197">
        <w:rPr>
          <w:rFonts w:eastAsia="Times New Roman" w:cs="Calibri"/>
          <w:b/>
          <w:spacing w:val="-3"/>
          <w:sz w:val="32"/>
          <w:szCs w:val="32"/>
          <w:lang w:val="en-GB" w:eastAsia="hr-HR"/>
        </w:rPr>
        <w:t>1</w:t>
      </w:r>
      <w:r w:rsidRPr="00041197">
        <w:rPr>
          <w:rFonts w:eastAsia="Times New Roman" w:cs="Calibri"/>
          <w:b/>
          <w:spacing w:val="-3"/>
          <w:sz w:val="32"/>
          <w:szCs w:val="32"/>
          <w:lang w:val="en-GB" w:eastAsia="hr-HR"/>
        </w:rPr>
        <w:t xml:space="preserve"> MARCH </w:t>
      </w:r>
      <w:r w:rsidR="001D478E" w:rsidRPr="00041197">
        <w:rPr>
          <w:rFonts w:eastAsia="Times New Roman" w:cs="Calibri"/>
          <w:b/>
          <w:spacing w:val="-3"/>
          <w:sz w:val="32"/>
          <w:szCs w:val="32"/>
          <w:lang w:val="en-GB" w:eastAsia="hr-HR"/>
        </w:rPr>
        <w:t>20</w:t>
      </w:r>
      <w:r w:rsidR="00C02F4E">
        <w:rPr>
          <w:rFonts w:eastAsia="Times New Roman" w:cs="Calibri"/>
          <w:b/>
          <w:spacing w:val="-3"/>
          <w:sz w:val="32"/>
          <w:szCs w:val="32"/>
          <w:lang w:val="en-GB" w:eastAsia="hr-HR"/>
        </w:rPr>
        <w:t>20</w:t>
      </w:r>
    </w:p>
    <w:p w14:paraId="51633591" w14:textId="77777777" w:rsidR="007E222A" w:rsidRPr="00041197" w:rsidRDefault="007E222A" w:rsidP="00422588">
      <w:pPr>
        <w:tabs>
          <w:tab w:val="left" w:pos="-720"/>
          <w:tab w:val="left" w:pos="426"/>
        </w:tabs>
        <w:suppressAutoHyphens/>
        <w:spacing w:after="0" w:line="240" w:lineRule="auto"/>
        <w:jc w:val="both"/>
        <w:rPr>
          <w:rFonts w:eastAsia="Times New Roman" w:cs="Calibri"/>
          <w:b/>
          <w:spacing w:val="-3"/>
          <w:sz w:val="24"/>
          <w:szCs w:val="24"/>
          <w:lang w:val="en-GB" w:eastAsia="hr-HR"/>
        </w:rPr>
      </w:pPr>
    </w:p>
    <w:p w14:paraId="660AE7B8" w14:textId="77777777" w:rsidR="007E222A" w:rsidRPr="00041197" w:rsidRDefault="007E222A" w:rsidP="00422588">
      <w:pPr>
        <w:tabs>
          <w:tab w:val="left" w:pos="-720"/>
          <w:tab w:val="left" w:pos="426"/>
        </w:tabs>
        <w:suppressAutoHyphens/>
        <w:spacing w:after="0" w:line="240" w:lineRule="auto"/>
        <w:jc w:val="both"/>
        <w:rPr>
          <w:rFonts w:eastAsia="Times New Roman" w:cs="Calibri"/>
          <w:b/>
          <w:spacing w:val="-3"/>
          <w:sz w:val="24"/>
          <w:szCs w:val="24"/>
          <w:lang w:val="en-GB" w:eastAsia="hr-HR"/>
        </w:rPr>
      </w:pPr>
    </w:p>
    <w:p w14:paraId="4B687B33" w14:textId="77777777" w:rsidR="00BE6420" w:rsidRPr="00041197" w:rsidRDefault="00BE6420"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024B28F3" w14:textId="77777777" w:rsidR="002D1C76" w:rsidRPr="00041197" w:rsidRDefault="002D1C76"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186EA874" w14:textId="77777777" w:rsidR="001D478E" w:rsidRPr="00041197" w:rsidRDefault="001D478E"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68412A21" w14:textId="77777777" w:rsidR="001D478E" w:rsidRPr="00041197" w:rsidRDefault="001D478E"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26FA297A" w14:textId="77777777" w:rsidR="001D478E" w:rsidRPr="00041197" w:rsidRDefault="001D478E"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6615FFF7" w14:textId="77777777" w:rsidR="001D478E" w:rsidRPr="00041197" w:rsidRDefault="001D478E"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75098DFB" w14:textId="77777777" w:rsidR="001D478E" w:rsidRPr="00041197" w:rsidRDefault="001D478E"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0A98BB91" w14:textId="77777777" w:rsidR="001D478E" w:rsidRPr="00041197" w:rsidRDefault="001D478E"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20605403" w14:textId="77777777" w:rsidR="001D478E" w:rsidRPr="00041197" w:rsidRDefault="001D478E"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2A83C29F" w14:textId="77777777" w:rsidR="001D478E" w:rsidRPr="00041197" w:rsidRDefault="001D478E"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1BCE04D6" w14:textId="77777777" w:rsidR="001D478E" w:rsidRPr="00041197" w:rsidRDefault="001D478E"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499C4CA0" w14:textId="77777777" w:rsidR="001D478E" w:rsidRPr="00041197" w:rsidRDefault="001D478E"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0C346986" w14:textId="77777777" w:rsidR="001D478E" w:rsidRPr="00041197" w:rsidRDefault="001D478E"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51C0F386" w14:textId="77777777" w:rsidR="001D478E" w:rsidRPr="00041197" w:rsidRDefault="001D478E"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724B3E35" w14:textId="77777777" w:rsidR="001D478E" w:rsidRPr="00041197" w:rsidRDefault="001D478E"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4B9E71FC" w14:textId="77777777" w:rsidR="001D478E" w:rsidRPr="00041197" w:rsidRDefault="001D478E"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1887BEC5" w14:textId="77777777" w:rsidR="001D478E" w:rsidRPr="00041197" w:rsidRDefault="001D478E"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2AAE4676" w14:textId="25206113" w:rsidR="001D478E" w:rsidRDefault="001D478E"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6638DD28" w14:textId="2E893DC5" w:rsidR="00092DFD" w:rsidRDefault="00092DFD"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62137A2B" w14:textId="2042A807" w:rsidR="00092DFD" w:rsidRDefault="00092DFD"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3834D74E" w14:textId="5E349F1B" w:rsidR="00092DFD" w:rsidRDefault="00092DFD"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03313D0F" w14:textId="77777777" w:rsidR="00092DFD" w:rsidRPr="00041197" w:rsidRDefault="00092DFD"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7AD1EDDD" w14:textId="77777777" w:rsidR="001D478E" w:rsidRPr="00041197" w:rsidRDefault="001D478E"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629F1EAF" w14:textId="77777777" w:rsidR="001D478E" w:rsidRPr="00041197" w:rsidRDefault="001D478E"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0D6912E4" w14:textId="77777777" w:rsidR="001D478E" w:rsidRPr="00041197" w:rsidRDefault="001D478E" w:rsidP="00422588">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13067D36" w14:textId="26B9320B" w:rsidR="007E222A" w:rsidRPr="00041197" w:rsidRDefault="001D478E" w:rsidP="004066BD">
      <w:pPr>
        <w:tabs>
          <w:tab w:val="left" w:pos="-720"/>
          <w:tab w:val="left" w:pos="426"/>
        </w:tabs>
        <w:suppressAutoHyphens/>
        <w:spacing w:after="0" w:line="240" w:lineRule="auto"/>
        <w:jc w:val="center"/>
        <w:rPr>
          <w:rFonts w:eastAsia="Times New Roman" w:cs="Calibri"/>
          <w:b/>
          <w:spacing w:val="-3"/>
          <w:sz w:val="24"/>
          <w:szCs w:val="24"/>
          <w:u w:val="single"/>
          <w:lang w:val="en-GB" w:eastAsia="hr-HR"/>
        </w:rPr>
      </w:pPr>
      <w:r w:rsidRPr="00041197">
        <w:rPr>
          <w:rFonts w:eastAsia="Times New Roman" w:cs="Calibri"/>
          <w:b/>
          <w:spacing w:val="-3"/>
          <w:sz w:val="24"/>
          <w:szCs w:val="24"/>
          <w:lang w:val="en-GB" w:eastAsia="hr-HR"/>
        </w:rPr>
        <w:t xml:space="preserve">Zagreb, </w:t>
      </w:r>
      <w:r w:rsidR="00041197" w:rsidRPr="00041197">
        <w:rPr>
          <w:rFonts w:eastAsia="Times New Roman" w:cs="Calibri"/>
          <w:b/>
          <w:spacing w:val="-3"/>
          <w:sz w:val="24"/>
          <w:szCs w:val="24"/>
          <w:lang w:val="en-GB" w:eastAsia="hr-HR"/>
        </w:rPr>
        <w:t>May</w:t>
      </w:r>
      <w:r w:rsidR="00BC412E" w:rsidRPr="00041197">
        <w:rPr>
          <w:rFonts w:eastAsia="Times New Roman" w:cs="Calibri"/>
          <w:b/>
          <w:spacing w:val="-3"/>
          <w:sz w:val="24"/>
          <w:szCs w:val="24"/>
          <w:lang w:val="en-GB" w:eastAsia="hr-HR"/>
        </w:rPr>
        <w:t xml:space="preserve"> </w:t>
      </w:r>
      <w:r w:rsidRPr="00041197">
        <w:rPr>
          <w:rFonts w:eastAsia="Times New Roman" w:cs="Calibri"/>
          <w:b/>
          <w:spacing w:val="-3"/>
          <w:sz w:val="24"/>
          <w:szCs w:val="24"/>
          <w:lang w:val="en-GB" w:eastAsia="hr-HR"/>
        </w:rPr>
        <w:t>20</w:t>
      </w:r>
      <w:r w:rsidR="00C02F4E">
        <w:rPr>
          <w:rFonts w:eastAsia="Times New Roman" w:cs="Calibri"/>
          <w:b/>
          <w:spacing w:val="-3"/>
          <w:sz w:val="24"/>
          <w:szCs w:val="24"/>
          <w:lang w:val="en-GB" w:eastAsia="hr-HR"/>
        </w:rPr>
        <w:t>20</w:t>
      </w:r>
    </w:p>
    <w:p w14:paraId="7AFE45EC" w14:textId="77777777" w:rsidR="00E70A27" w:rsidRPr="00041197" w:rsidRDefault="00E70A27">
      <w:pPr>
        <w:tabs>
          <w:tab w:val="left" w:pos="-720"/>
          <w:tab w:val="left" w:pos="426"/>
        </w:tabs>
        <w:suppressAutoHyphens/>
        <w:spacing w:after="0" w:line="240" w:lineRule="auto"/>
        <w:jc w:val="both"/>
        <w:rPr>
          <w:rFonts w:eastAsia="Times New Roman" w:cs="Calibri"/>
          <w:b/>
          <w:spacing w:val="-3"/>
          <w:sz w:val="24"/>
          <w:szCs w:val="24"/>
          <w:u w:val="single"/>
          <w:lang w:val="en-GB" w:eastAsia="hr-HR"/>
        </w:rPr>
        <w:sectPr w:rsidR="00E70A27" w:rsidRPr="00041197" w:rsidSect="000241D5">
          <w:footerReference w:type="default" r:id="rId9"/>
          <w:pgSz w:w="11906" w:h="16838" w:code="9"/>
          <w:pgMar w:top="596" w:right="1133" w:bottom="1417" w:left="1417" w:header="709" w:footer="709" w:gutter="0"/>
          <w:cols w:space="708"/>
          <w:titlePg/>
          <w:docGrid w:linePitch="360"/>
        </w:sectPr>
      </w:pPr>
    </w:p>
    <w:p w14:paraId="07CD6F9D" w14:textId="77777777" w:rsidR="001D2396" w:rsidRPr="00041197" w:rsidRDefault="001D2396">
      <w:pPr>
        <w:rPr>
          <w:rFonts w:eastAsia="Times New Roman" w:cs="Calibri"/>
          <w:b/>
          <w:spacing w:val="-3"/>
          <w:sz w:val="24"/>
          <w:szCs w:val="24"/>
          <w:u w:val="single"/>
          <w:lang w:val="en-GB" w:eastAsia="hr-HR"/>
        </w:rPr>
      </w:pPr>
    </w:p>
    <w:p w14:paraId="6F3F9DB1" w14:textId="77777777" w:rsidR="001D2396" w:rsidRPr="00041197" w:rsidRDefault="001D2396" w:rsidP="00290697">
      <w:pPr>
        <w:spacing w:after="0" w:line="240" w:lineRule="auto"/>
        <w:rPr>
          <w:rFonts w:eastAsia="Times New Roman" w:cs="Calibri"/>
          <w:b/>
          <w:spacing w:val="-3"/>
          <w:sz w:val="24"/>
          <w:szCs w:val="24"/>
          <w:u w:val="single"/>
          <w:lang w:val="en-GB" w:eastAsia="hr-HR"/>
        </w:rPr>
      </w:pPr>
    </w:p>
    <w:p w14:paraId="76919053" w14:textId="77777777" w:rsidR="001D2396" w:rsidRPr="00041197" w:rsidRDefault="001D2396" w:rsidP="00290697">
      <w:pPr>
        <w:spacing w:after="0" w:line="240" w:lineRule="auto"/>
        <w:rPr>
          <w:rFonts w:eastAsia="Times New Roman" w:cs="Calibri"/>
          <w:b/>
          <w:spacing w:val="-3"/>
          <w:sz w:val="24"/>
          <w:szCs w:val="24"/>
          <w:u w:val="single"/>
          <w:lang w:val="en-GB" w:eastAsia="hr-HR"/>
        </w:rPr>
      </w:pPr>
    </w:p>
    <w:p w14:paraId="495AB843" w14:textId="77777777" w:rsidR="001D2396" w:rsidRPr="00041197" w:rsidRDefault="001D2396" w:rsidP="00290697">
      <w:pPr>
        <w:spacing w:after="0" w:line="240" w:lineRule="auto"/>
        <w:rPr>
          <w:rFonts w:eastAsia="Times New Roman" w:cs="Calibri"/>
          <w:b/>
          <w:spacing w:val="-3"/>
          <w:sz w:val="24"/>
          <w:szCs w:val="24"/>
          <w:u w:val="single"/>
          <w:lang w:val="en-GB" w:eastAsia="hr-HR"/>
        </w:rPr>
      </w:pPr>
    </w:p>
    <w:p w14:paraId="385BC2C6" w14:textId="77777777" w:rsidR="001D2396" w:rsidRPr="00041197" w:rsidRDefault="001D2396" w:rsidP="00290697">
      <w:pPr>
        <w:spacing w:after="0" w:line="240" w:lineRule="auto"/>
        <w:rPr>
          <w:rFonts w:eastAsia="Times New Roman" w:cs="Calibri"/>
          <w:b/>
          <w:spacing w:val="-3"/>
          <w:sz w:val="24"/>
          <w:szCs w:val="24"/>
          <w:u w:val="single"/>
          <w:lang w:val="en-GB" w:eastAsia="hr-HR"/>
        </w:rPr>
      </w:pPr>
    </w:p>
    <w:p w14:paraId="334BF701" w14:textId="77777777" w:rsidR="00C21778" w:rsidRPr="00041197" w:rsidRDefault="00C21778" w:rsidP="00290697">
      <w:pPr>
        <w:spacing w:after="0" w:line="240" w:lineRule="auto"/>
        <w:rPr>
          <w:rFonts w:eastAsia="Times New Roman" w:cs="Calibri"/>
          <w:b/>
          <w:spacing w:val="-3"/>
          <w:sz w:val="24"/>
          <w:szCs w:val="24"/>
          <w:u w:val="single"/>
          <w:lang w:val="en-GB" w:eastAsia="hr-HR"/>
        </w:rPr>
      </w:pPr>
    </w:p>
    <w:p w14:paraId="044FA960" w14:textId="77777777" w:rsidR="00C21778" w:rsidRPr="00041197" w:rsidRDefault="00C21778" w:rsidP="00290697">
      <w:pPr>
        <w:spacing w:after="0" w:line="240" w:lineRule="auto"/>
        <w:rPr>
          <w:rFonts w:eastAsia="Times New Roman" w:cs="Calibri"/>
          <w:b/>
          <w:spacing w:val="-3"/>
          <w:sz w:val="24"/>
          <w:szCs w:val="24"/>
          <w:u w:val="single"/>
          <w:lang w:val="en-GB" w:eastAsia="hr-HR"/>
        </w:rPr>
      </w:pPr>
    </w:p>
    <w:p w14:paraId="7F216A57" w14:textId="77777777" w:rsidR="001D2396" w:rsidRPr="00041197" w:rsidRDefault="001D2396" w:rsidP="00290697">
      <w:pPr>
        <w:spacing w:after="0" w:line="240" w:lineRule="auto"/>
        <w:rPr>
          <w:rFonts w:eastAsia="Times New Roman" w:cs="Calibri"/>
          <w:b/>
          <w:spacing w:val="-3"/>
          <w:sz w:val="24"/>
          <w:szCs w:val="24"/>
          <w:u w:val="single"/>
          <w:lang w:val="en-GB" w:eastAsia="hr-HR"/>
        </w:rPr>
      </w:pPr>
    </w:p>
    <w:p w14:paraId="3FF97AB9" w14:textId="77777777" w:rsidR="001D2396" w:rsidRPr="00041197" w:rsidRDefault="001D2396" w:rsidP="00290697">
      <w:pPr>
        <w:spacing w:after="0" w:line="240" w:lineRule="auto"/>
        <w:rPr>
          <w:rFonts w:eastAsia="Times New Roman" w:cs="Calibri"/>
          <w:b/>
          <w:spacing w:val="-3"/>
          <w:sz w:val="24"/>
          <w:szCs w:val="24"/>
          <w:u w:val="single"/>
          <w:lang w:val="en-GB" w:eastAsia="hr-HR"/>
        </w:rPr>
      </w:pPr>
    </w:p>
    <w:p w14:paraId="60E5F36E" w14:textId="77777777" w:rsidR="001D2396" w:rsidRPr="00041197" w:rsidRDefault="001D2396" w:rsidP="00290697">
      <w:pPr>
        <w:spacing w:after="0" w:line="240" w:lineRule="auto"/>
        <w:rPr>
          <w:rFonts w:eastAsia="Times New Roman" w:cs="Calibri"/>
          <w:b/>
          <w:spacing w:val="-3"/>
          <w:sz w:val="24"/>
          <w:szCs w:val="24"/>
          <w:u w:val="single"/>
          <w:lang w:val="en-GB" w:eastAsia="hr-HR"/>
        </w:rPr>
      </w:pPr>
    </w:p>
    <w:p w14:paraId="70B8B633" w14:textId="77777777" w:rsidR="001D2396" w:rsidRPr="00041197" w:rsidRDefault="001D2396" w:rsidP="00290697">
      <w:pPr>
        <w:spacing w:after="0" w:line="240" w:lineRule="auto"/>
        <w:rPr>
          <w:rFonts w:eastAsia="Times New Roman" w:cs="Calibri"/>
          <w:b/>
          <w:spacing w:val="-3"/>
          <w:sz w:val="24"/>
          <w:szCs w:val="24"/>
          <w:u w:val="single"/>
          <w:lang w:val="en-GB" w:eastAsia="hr-HR"/>
        </w:rPr>
      </w:pPr>
    </w:p>
    <w:p w14:paraId="7932AA4D" w14:textId="77777777" w:rsidR="00C21778" w:rsidRPr="00041197" w:rsidRDefault="00C21778" w:rsidP="00290697">
      <w:pPr>
        <w:spacing w:after="0" w:line="240" w:lineRule="auto"/>
        <w:rPr>
          <w:rFonts w:eastAsia="Times New Roman" w:cs="Calibri"/>
          <w:b/>
          <w:spacing w:val="-3"/>
          <w:sz w:val="24"/>
          <w:szCs w:val="24"/>
          <w:u w:val="single"/>
          <w:lang w:val="en-GB" w:eastAsia="hr-HR"/>
        </w:rPr>
      </w:pPr>
    </w:p>
    <w:p w14:paraId="27BC3BD8" w14:textId="77777777" w:rsidR="00C21778" w:rsidRPr="00041197" w:rsidRDefault="00C21778" w:rsidP="00290697">
      <w:pPr>
        <w:spacing w:after="0" w:line="240" w:lineRule="auto"/>
        <w:rPr>
          <w:rFonts w:eastAsia="Times New Roman" w:cs="Calibri"/>
          <w:b/>
          <w:spacing w:val="-3"/>
          <w:sz w:val="24"/>
          <w:szCs w:val="24"/>
          <w:u w:val="single"/>
          <w:lang w:val="en-GB" w:eastAsia="hr-HR"/>
        </w:rPr>
      </w:pPr>
    </w:p>
    <w:p w14:paraId="7B508849" w14:textId="77777777" w:rsidR="00C21778" w:rsidRPr="00041197" w:rsidRDefault="00C21778" w:rsidP="00290697">
      <w:pPr>
        <w:spacing w:after="0" w:line="240" w:lineRule="auto"/>
        <w:rPr>
          <w:rFonts w:eastAsia="Times New Roman" w:cs="Calibri"/>
          <w:b/>
          <w:spacing w:val="-3"/>
          <w:sz w:val="24"/>
          <w:szCs w:val="24"/>
          <w:u w:val="single"/>
          <w:lang w:val="en-GB" w:eastAsia="hr-HR"/>
        </w:rPr>
      </w:pPr>
    </w:p>
    <w:p w14:paraId="5B8948E9" w14:textId="77777777" w:rsidR="00C21778" w:rsidRPr="00041197" w:rsidRDefault="00C21778" w:rsidP="00290697">
      <w:pPr>
        <w:spacing w:after="0" w:line="240" w:lineRule="auto"/>
        <w:rPr>
          <w:rFonts w:eastAsia="Times New Roman" w:cs="Calibri"/>
          <w:b/>
          <w:spacing w:val="-3"/>
          <w:sz w:val="24"/>
          <w:szCs w:val="24"/>
          <w:u w:val="single"/>
          <w:lang w:val="en-GB" w:eastAsia="hr-HR"/>
        </w:rPr>
      </w:pPr>
    </w:p>
    <w:p w14:paraId="3CBEFE2B" w14:textId="77777777" w:rsidR="00C21778" w:rsidRPr="00041197" w:rsidRDefault="00C21778" w:rsidP="00290697">
      <w:pPr>
        <w:spacing w:after="0" w:line="240" w:lineRule="auto"/>
        <w:rPr>
          <w:rFonts w:eastAsia="Times New Roman" w:cs="Calibri"/>
          <w:b/>
          <w:spacing w:val="-3"/>
          <w:sz w:val="24"/>
          <w:szCs w:val="24"/>
          <w:u w:val="single"/>
          <w:lang w:val="en-GB" w:eastAsia="hr-HR"/>
        </w:rPr>
      </w:pPr>
    </w:p>
    <w:p w14:paraId="06298434" w14:textId="77777777" w:rsidR="00C21778" w:rsidRPr="00041197" w:rsidRDefault="00C21778" w:rsidP="00290697">
      <w:pPr>
        <w:spacing w:after="0" w:line="240" w:lineRule="auto"/>
        <w:rPr>
          <w:rFonts w:eastAsia="Times New Roman" w:cs="Calibri"/>
          <w:b/>
          <w:spacing w:val="-3"/>
          <w:sz w:val="24"/>
          <w:szCs w:val="24"/>
          <w:u w:val="single"/>
          <w:lang w:val="en-GB" w:eastAsia="hr-HR"/>
        </w:rPr>
      </w:pPr>
    </w:p>
    <w:p w14:paraId="01C1646F" w14:textId="77777777" w:rsidR="00C21778" w:rsidRPr="00041197" w:rsidRDefault="00C21778" w:rsidP="00290697">
      <w:pPr>
        <w:spacing w:after="0" w:line="240" w:lineRule="auto"/>
        <w:rPr>
          <w:rFonts w:eastAsia="Times New Roman" w:cs="Calibri"/>
          <w:b/>
          <w:spacing w:val="-3"/>
          <w:sz w:val="24"/>
          <w:szCs w:val="24"/>
          <w:u w:val="single"/>
          <w:lang w:val="en-GB" w:eastAsia="hr-HR"/>
        </w:rPr>
      </w:pPr>
    </w:p>
    <w:p w14:paraId="7336A9DF" w14:textId="77777777" w:rsidR="00C21778" w:rsidRPr="00041197" w:rsidRDefault="00C21778" w:rsidP="00290697">
      <w:pPr>
        <w:spacing w:after="0" w:line="240" w:lineRule="auto"/>
        <w:rPr>
          <w:rFonts w:eastAsia="Times New Roman" w:cs="Calibri"/>
          <w:b/>
          <w:spacing w:val="-3"/>
          <w:sz w:val="24"/>
          <w:szCs w:val="24"/>
          <w:u w:val="single"/>
          <w:lang w:val="en-GB" w:eastAsia="hr-HR"/>
        </w:rPr>
      </w:pPr>
    </w:p>
    <w:p w14:paraId="131FCF05" w14:textId="77777777" w:rsidR="00C21778" w:rsidRPr="00041197" w:rsidRDefault="00C21778" w:rsidP="00290697">
      <w:pPr>
        <w:spacing w:after="0" w:line="240" w:lineRule="auto"/>
        <w:rPr>
          <w:rFonts w:eastAsia="Times New Roman" w:cs="Calibri"/>
          <w:b/>
          <w:spacing w:val="-3"/>
          <w:sz w:val="24"/>
          <w:szCs w:val="24"/>
          <w:u w:val="single"/>
          <w:lang w:val="en-GB" w:eastAsia="hr-HR"/>
        </w:rPr>
      </w:pPr>
    </w:p>
    <w:p w14:paraId="4655B8B9" w14:textId="77777777" w:rsidR="001D2396" w:rsidRPr="00041197" w:rsidRDefault="001D2396" w:rsidP="00290697">
      <w:pPr>
        <w:spacing w:after="0" w:line="240" w:lineRule="auto"/>
        <w:rPr>
          <w:rFonts w:eastAsia="Times New Roman" w:cs="Calibri"/>
          <w:b/>
          <w:spacing w:val="-3"/>
          <w:sz w:val="24"/>
          <w:szCs w:val="24"/>
          <w:u w:val="single"/>
          <w:lang w:val="en-GB" w:eastAsia="hr-HR"/>
        </w:rPr>
      </w:pPr>
    </w:p>
    <w:p w14:paraId="619C7D1A" w14:textId="77777777" w:rsidR="001D2396" w:rsidRPr="00041197" w:rsidRDefault="001D2396" w:rsidP="001D2396">
      <w:pPr>
        <w:tabs>
          <w:tab w:val="left" w:pos="-720"/>
          <w:tab w:val="left" w:pos="426"/>
        </w:tabs>
        <w:suppressAutoHyphens/>
        <w:spacing w:after="0" w:line="240" w:lineRule="auto"/>
        <w:jc w:val="center"/>
        <w:rPr>
          <w:rFonts w:eastAsia="Times New Roman" w:cs="Calibri"/>
          <w:b/>
          <w:spacing w:val="-3"/>
          <w:sz w:val="24"/>
          <w:szCs w:val="24"/>
          <w:u w:val="single"/>
          <w:lang w:val="en-GB" w:eastAsia="hr-HR"/>
        </w:rPr>
      </w:pPr>
      <w:r w:rsidRPr="00041197">
        <w:rPr>
          <w:rFonts w:ascii="Calibri" w:eastAsia="Times New Roman" w:hAnsi="Calibri" w:cs="Arial"/>
          <w:b/>
          <w:sz w:val="32"/>
          <w:szCs w:val="32"/>
          <w:lang w:val="en-GB"/>
        </w:rPr>
        <w:t>RE</w:t>
      </w:r>
      <w:r w:rsidR="00041197" w:rsidRPr="00041197">
        <w:rPr>
          <w:rFonts w:ascii="Calibri" w:eastAsia="Times New Roman" w:hAnsi="Calibri" w:cs="Arial"/>
          <w:b/>
          <w:sz w:val="32"/>
          <w:szCs w:val="32"/>
          <w:lang w:val="en-GB"/>
        </w:rPr>
        <w:t>SULTS OF THE GROUP</w:t>
      </w:r>
    </w:p>
    <w:p w14:paraId="4B783DDD" w14:textId="77777777" w:rsidR="00B37082" w:rsidRPr="00041197" w:rsidRDefault="00B37082">
      <w:pPr>
        <w:rPr>
          <w:rFonts w:eastAsia="Times New Roman" w:cs="Calibri"/>
          <w:b/>
          <w:spacing w:val="-3"/>
          <w:sz w:val="24"/>
          <w:szCs w:val="24"/>
          <w:u w:val="single"/>
          <w:lang w:val="en-GB" w:eastAsia="hr-HR"/>
        </w:rPr>
        <w:sectPr w:rsidR="00B37082" w:rsidRPr="00041197" w:rsidSect="00C23C95">
          <w:footerReference w:type="first" r:id="rId10"/>
          <w:pgSz w:w="11906" w:h="16838" w:code="9"/>
          <w:pgMar w:top="863" w:right="1133" w:bottom="1417" w:left="1417" w:header="709" w:footer="709" w:gutter="0"/>
          <w:cols w:space="708"/>
          <w:titlePg/>
          <w:docGrid w:linePitch="360"/>
        </w:sectPr>
      </w:pPr>
    </w:p>
    <w:p w14:paraId="5EEA24F2" w14:textId="77777777" w:rsidR="001D2396" w:rsidRPr="00041197" w:rsidRDefault="001D2396">
      <w:pPr>
        <w:rPr>
          <w:rFonts w:eastAsia="Times New Roman" w:cs="Calibri"/>
          <w:b/>
          <w:spacing w:val="-3"/>
          <w:sz w:val="24"/>
          <w:szCs w:val="24"/>
          <w:u w:val="single"/>
          <w:lang w:val="en-GB" w:eastAsia="hr-HR"/>
        </w:rPr>
      </w:pPr>
    </w:p>
    <w:p w14:paraId="579833B3" w14:textId="77777777" w:rsidR="00D06365" w:rsidRPr="00041197" w:rsidRDefault="00D06365" w:rsidP="00C23C95">
      <w:pPr>
        <w:tabs>
          <w:tab w:val="left" w:pos="-720"/>
          <w:tab w:val="left" w:pos="426"/>
        </w:tabs>
        <w:suppressAutoHyphens/>
        <w:spacing w:after="0" w:line="240" w:lineRule="auto"/>
        <w:jc w:val="center"/>
        <w:rPr>
          <w:rFonts w:eastAsia="Times New Roman" w:cs="Calibri"/>
          <w:b/>
          <w:caps/>
          <w:spacing w:val="-3"/>
          <w:sz w:val="26"/>
          <w:szCs w:val="26"/>
          <w:lang w:val="en-GB" w:eastAsia="hr-HR"/>
        </w:rPr>
      </w:pPr>
    </w:p>
    <w:p w14:paraId="0504476D" w14:textId="77777777" w:rsidR="00041197" w:rsidRPr="00041197" w:rsidRDefault="00041197" w:rsidP="00041197">
      <w:pPr>
        <w:tabs>
          <w:tab w:val="left" w:pos="-720"/>
          <w:tab w:val="left" w:pos="426"/>
        </w:tabs>
        <w:suppressAutoHyphens/>
        <w:spacing w:after="0" w:line="240" w:lineRule="auto"/>
        <w:jc w:val="center"/>
        <w:rPr>
          <w:rFonts w:eastAsia="Times New Roman" w:cs="Calibri"/>
          <w:b/>
          <w:caps/>
          <w:spacing w:val="-3"/>
          <w:sz w:val="26"/>
          <w:szCs w:val="26"/>
          <w:lang w:val="en-GB" w:eastAsia="hr-HR"/>
        </w:rPr>
      </w:pPr>
      <w:r w:rsidRPr="00041197">
        <w:rPr>
          <w:rFonts w:eastAsia="Times New Roman" w:cs="Calibri"/>
          <w:b/>
          <w:caps/>
          <w:spacing w:val="-3"/>
          <w:sz w:val="26"/>
          <w:szCs w:val="26"/>
          <w:lang w:val="en-GB" w:eastAsia="hr-HR"/>
        </w:rPr>
        <w:t>BREAKDOWN OF THE MOST SIGNIFICANT FINANCIAL INFORMATION OF hbor GROUP</w:t>
      </w:r>
    </w:p>
    <w:p w14:paraId="1034DB92" w14:textId="48158E80" w:rsidR="00794772" w:rsidRPr="00041197" w:rsidRDefault="00DB38B6" w:rsidP="00C23C95">
      <w:pPr>
        <w:spacing w:before="120" w:after="120"/>
        <w:ind w:left="360"/>
        <w:jc w:val="center"/>
        <w:rPr>
          <w:rFonts w:ascii="Calibri" w:hAnsi="Calibri" w:cs="Calibri"/>
          <w:lang w:val="en-GB"/>
        </w:rPr>
      </w:pPr>
      <w:r w:rsidRPr="00041197">
        <w:rPr>
          <w:rFonts w:ascii="Calibri" w:hAnsi="Calibri" w:cs="Calibri"/>
          <w:bCs/>
          <w:lang w:val="en-GB"/>
        </w:rPr>
        <w:t>-</w:t>
      </w:r>
      <w:r w:rsidR="00041197" w:rsidRPr="00041197">
        <w:rPr>
          <w:rFonts w:ascii="Calibri" w:hAnsi="Calibri" w:cs="Calibri"/>
          <w:bCs/>
          <w:lang w:val="en-GB"/>
        </w:rPr>
        <w:t>HRK million</w:t>
      </w:r>
      <w:r w:rsidR="00794772" w:rsidRPr="00041197">
        <w:rPr>
          <w:rFonts w:ascii="Calibri" w:hAnsi="Calibri" w:cs="Calibri"/>
          <w:bCs/>
          <w:lang w:val="en-GB"/>
        </w:rPr>
        <w:t>-</w:t>
      </w:r>
    </w:p>
    <w:p w14:paraId="56D821A4" w14:textId="77777777" w:rsidR="00D845FC" w:rsidRPr="002A10E9" w:rsidRDefault="00D845FC" w:rsidP="001D2396">
      <w:pPr>
        <w:tabs>
          <w:tab w:val="left" w:pos="-720"/>
          <w:tab w:val="left" w:pos="426"/>
        </w:tabs>
        <w:suppressAutoHyphens/>
        <w:spacing w:after="0" w:line="240" w:lineRule="auto"/>
        <w:jc w:val="both"/>
        <w:rPr>
          <w:rFonts w:eastAsia="Times New Roman" w:cs="Calibri"/>
          <w:b/>
          <w:caps/>
          <w:spacing w:val="-3"/>
          <w:szCs w:val="26"/>
          <w:lang w:val="en-GB" w:eastAsia="hr-HR"/>
        </w:rPr>
      </w:pPr>
    </w:p>
    <w:tbl>
      <w:tblPr>
        <w:tblStyle w:val="GridTable1Light"/>
        <w:tblW w:w="9100" w:type="dxa"/>
        <w:tblLayout w:type="fixed"/>
        <w:tblLook w:val="04A0" w:firstRow="1" w:lastRow="0" w:firstColumn="1" w:lastColumn="0" w:noHBand="0" w:noVBand="1"/>
      </w:tblPr>
      <w:tblGrid>
        <w:gridCol w:w="2263"/>
        <w:gridCol w:w="2279"/>
        <w:gridCol w:w="2279"/>
        <w:gridCol w:w="2279"/>
      </w:tblGrid>
      <w:tr w:rsidR="00402103" w:rsidRPr="00041197" w14:paraId="13453D8D" w14:textId="77777777" w:rsidTr="001E3F66">
        <w:trPr>
          <w:cnfStyle w:val="100000000000" w:firstRow="1" w:lastRow="0" w:firstColumn="0" w:lastColumn="0" w:oddVBand="0" w:evenVBand="0" w:oddHBand="0"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2263" w:type="dxa"/>
            <w:tcBorders>
              <w:bottom w:val="single" w:sz="4" w:space="0" w:color="808080" w:themeColor="background1" w:themeShade="80"/>
            </w:tcBorders>
            <w:hideMark/>
          </w:tcPr>
          <w:p w14:paraId="3C8F73DC" w14:textId="77777777" w:rsidR="00402103" w:rsidRPr="00041197" w:rsidRDefault="00402103" w:rsidP="00402103">
            <w:pPr>
              <w:rPr>
                <w:rFonts w:ascii="Calibri" w:eastAsia="Times New Roman" w:hAnsi="Calibri" w:cs="Times New Roman"/>
                <w:color w:val="000000"/>
                <w:sz w:val="24"/>
                <w:szCs w:val="24"/>
                <w:lang w:val="en-GB" w:eastAsia="hr-HR"/>
              </w:rPr>
            </w:pPr>
            <w:r w:rsidRPr="00041197">
              <w:rPr>
                <w:rFonts w:ascii="Calibri" w:eastAsia="Times New Roman" w:hAnsi="Calibri" w:cs="Times New Roman"/>
                <w:color w:val="000000"/>
                <w:sz w:val="24"/>
                <w:szCs w:val="24"/>
                <w:lang w:val="en-GB" w:eastAsia="hr-HR"/>
              </w:rPr>
              <w:t> </w:t>
            </w:r>
          </w:p>
        </w:tc>
        <w:tc>
          <w:tcPr>
            <w:tcW w:w="2279" w:type="dxa"/>
            <w:tcBorders>
              <w:top w:val="single" w:sz="8" w:space="0" w:color="808080"/>
              <w:left w:val="nil"/>
              <w:bottom w:val="single" w:sz="8" w:space="0" w:color="999999"/>
              <w:right w:val="single" w:sz="8" w:space="0" w:color="999999"/>
            </w:tcBorders>
            <w:shd w:val="clear" w:color="auto" w:fill="FFFFFF"/>
          </w:tcPr>
          <w:p w14:paraId="665C8C3F" w14:textId="1CEF74E4" w:rsidR="00402103" w:rsidRPr="00041197" w:rsidRDefault="00402103" w:rsidP="00402103">
            <w:pPr>
              <w:jc w:val="right"/>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Cs w:val="0"/>
                <w:color w:val="000000"/>
                <w:sz w:val="24"/>
                <w:szCs w:val="24"/>
                <w:lang w:val="en-GB" w:eastAsia="hr-HR"/>
              </w:rPr>
            </w:pPr>
            <w:r w:rsidRPr="00041197">
              <w:rPr>
                <w:rFonts w:eastAsia="Times New Roman"/>
                <w:color w:val="000000"/>
                <w:sz w:val="24"/>
                <w:szCs w:val="24"/>
                <w:lang w:val="en-GB" w:eastAsia="hr-HR"/>
              </w:rPr>
              <w:t>31 December 2018</w:t>
            </w:r>
          </w:p>
        </w:tc>
        <w:tc>
          <w:tcPr>
            <w:tcW w:w="2279" w:type="dxa"/>
            <w:tcBorders>
              <w:left w:val="single" w:sz="4" w:space="0" w:color="A6A6A6" w:themeColor="background1" w:themeShade="A6"/>
              <w:bottom w:val="single" w:sz="4" w:space="0" w:color="808080" w:themeColor="background1" w:themeShade="80"/>
            </w:tcBorders>
            <w:vAlign w:val="bottom"/>
          </w:tcPr>
          <w:p w14:paraId="077D381D" w14:textId="35B0B892" w:rsidR="00402103" w:rsidRPr="00041197" w:rsidRDefault="00402103" w:rsidP="00402103">
            <w:pPr>
              <w:jc w:val="right"/>
              <w:cnfStyle w:val="100000000000" w:firstRow="1" w:lastRow="0" w:firstColumn="0" w:lastColumn="0" w:oddVBand="0" w:evenVBand="0" w:oddHBand="0" w:evenHBand="0" w:firstRowFirstColumn="0" w:firstRowLastColumn="0" w:lastRowFirstColumn="0" w:lastRowLastColumn="0"/>
              <w:rPr>
                <w:rFonts w:eastAsia="Times New Roman"/>
                <w:color w:val="000000"/>
                <w:sz w:val="24"/>
                <w:szCs w:val="24"/>
                <w:lang w:val="en-GB" w:eastAsia="hr-HR"/>
              </w:rPr>
            </w:pPr>
            <w:r w:rsidRPr="00041197">
              <w:rPr>
                <w:rFonts w:ascii="Calibri" w:eastAsia="Times New Roman" w:hAnsi="Calibri" w:cs="Times New Roman"/>
                <w:color w:val="000000"/>
                <w:sz w:val="24"/>
                <w:szCs w:val="24"/>
                <w:lang w:val="en-GB" w:eastAsia="hr-HR"/>
              </w:rPr>
              <w:t xml:space="preserve">31 </w:t>
            </w:r>
            <w:r w:rsidR="000411AD">
              <w:rPr>
                <w:rFonts w:ascii="Calibri" w:eastAsia="Times New Roman" w:hAnsi="Calibri" w:cs="Times New Roman"/>
                <w:color w:val="000000"/>
                <w:sz w:val="24"/>
                <w:szCs w:val="24"/>
                <w:lang w:val="en-GB" w:eastAsia="hr-HR"/>
              </w:rPr>
              <w:t>December</w:t>
            </w:r>
            <w:r w:rsidRPr="00041197">
              <w:rPr>
                <w:rFonts w:ascii="Calibri" w:eastAsia="Times New Roman" w:hAnsi="Calibri" w:cs="Times New Roman"/>
                <w:color w:val="000000"/>
                <w:sz w:val="24"/>
                <w:szCs w:val="24"/>
                <w:lang w:val="en-GB" w:eastAsia="hr-HR"/>
              </w:rPr>
              <w:t xml:space="preserve"> 2019</w:t>
            </w:r>
          </w:p>
        </w:tc>
        <w:tc>
          <w:tcPr>
            <w:tcW w:w="2279" w:type="dxa"/>
            <w:tcBorders>
              <w:left w:val="single" w:sz="4" w:space="0" w:color="A6A6A6" w:themeColor="background1" w:themeShade="A6"/>
              <w:bottom w:val="single" w:sz="4" w:space="0" w:color="808080" w:themeColor="background1" w:themeShade="80"/>
            </w:tcBorders>
            <w:vAlign w:val="bottom"/>
          </w:tcPr>
          <w:p w14:paraId="69DE613C" w14:textId="338B4F01" w:rsidR="00402103" w:rsidRPr="00041197" w:rsidRDefault="00402103" w:rsidP="00402103">
            <w:pPr>
              <w:jc w:val="right"/>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Cs w:val="0"/>
                <w:color w:val="000000"/>
                <w:sz w:val="24"/>
                <w:szCs w:val="24"/>
                <w:lang w:val="en-GB" w:eastAsia="hr-HR"/>
              </w:rPr>
            </w:pPr>
            <w:r w:rsidRPr="00041197">
              <w:rPr>
                <w:rFonts w:ascii="Calibri" w:eastAsia="Times New Roman" w:hAnsi="Calibri" w:cs="Times New Roman"/>
                <w:color w:val="000000"/>
                <w:sz w:val="24"/>
                <w:szCs w:val="24"/>
                <w:lang w:val="en-GB" w:eastAsia="hr-HR"/>
              </w:rPr>
              <w:t>31 March 2</w:t>
            </w:r>
            <w:r>
              <w:rPr>
                <w:rFonts w:ascii="Calibri" w:eastAsia="Times New Roman" w:hAnsi="Calibri" w:cs="Times New Roman"/>
                <w:color w:val="000000"/>
                <w:sz w:val="24"/>
                <w:szCs w:val="24"/>
                <w:lang w:val="en-GB" w:eastAsia="hr-HR"/>
              </w:rPr>
              <w:t>020</w:t>
            </w:r>
          </w:p>
        </w:tc>
      </w:tr>
      <w:tr w:rsidR="000411AD" w:rsidRPr="00041197" w14:paraId="435C76D3" w14:textId="77777777" w:rsidTr="00C46F43">
        <w:trPr>
          <w:trHeight w:val="270"/>
        </w:trPr>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808080" w:themeColor="background1" w:themeShade="80"/>
            </w:tcBorders>
            <w:hideMark/>
          </w:tcPr>
          <w:p w14:paraId="6256FC46" w14:textId="77777777" w:rsidR="000411AD" w:rsidRPr="00041197" w:rsidRDefault="000411AD" w:rsidP="000411AD">
            <w:pPr>
              <w:rPr>
                <w:rFonts w:ascii="Calibri" w:eastAsia="Times New Roman" w:hAnsi="Calibri" w:cs="Times New Roman"/>
                <w:b w:val="0"/>
                <w:color w:val="000000"/>
                <w:sz w:val="24"/>
                <w:szCs w:val="24"/>
                <w:lang w:val="en-GB" w:eastAsia="hr-HR"/>
              </w:rPr>
            </w:pPr>
            <w:r>
              <w:rPr>
                <w:rFonts w:ascii="Calibri" w:eastAsia="Times New Roman" w:hAnsi="Calibri" w:cs="Times New Roman"/>
                <w:color w:val="000000"/>
                <w:sz w:val="24"/>
                <w:szCs w:val="24"/>
                <w:lang w:val="en-GB" w:eastAsia="hr-HR"/>
              </w:rPr>
              <w:t>Total assets</w:t>
            </w:r>
          </w:p>
        </w:tc>
        <w:tc>
          <w:tcPr>
            <w:tcW w:w="2279" w:type="dxa"/>
            <w:tcBorders>
              <w:top w:val="nil"/>
              <w:left w:val="nil"/>
              <w:bottom w:val="single" w:sz="8" w:space="0" w:color="999999"/>
              <w:right w:val="single" w:sz="8" w:space="0" w:color="999999"/>
            </w:tcBorders>
            <w:shd w:val="clear" w:color="auto" w:fill="FFFFFF"/>
            <w:vAlign w:val="bottom"/>
          </w:tcPr>
          <w:p w14:paraId="3E18F028" w14:textId="5BA59EF0" w:rsidR="000411AD" w:rsidRPr="00041197" w:rsidRDefault="000411AD" w:rsidP="000411A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4"/>
                <w:szCs w:val="24"/>
                <w:lang w:val="en-GB" w:eastAsia="hr-HR"/>
              </w:rPr>
            </w:pPr>
            <w:r w:rsidRPr="00041197">
              <w:rPr>
                <w:rFonts w:eastAsia="Times New Roman"/>
                <w:color w:val="000000"/>
                <w:sz w:val="24"/>
                <w:szCs w:val="24"/>
                <w:lang w:val="en-GB" w:eastAsia="hr-HR"/>
              </w:rPr>
              <w:t>27</w:t>
            </w:r>
            <w:r>
              <w:rPr>
                <w:rFonts w:eastAsia="Times New Roman"/>
                <w:color w:val="000000"/>
                <w:sz w:val="24"/>
                <w:szCs w:val="24"/>
                <w:lang w:val="en-GB" w:eastAsia="hr-HR"/>
              </w:rPr>
              <w:t>,</w:t>
            </w:r>
            <w:r w:rsidRPr="00041197">
              <w:rPr>
                <w:rFonts w:eastAsia="Times New Roman"/>
                <w:color w:val="000000"/>
                <w:sz w:val="24"/>
                <w:szCs w:val="24"/>
                <w:lang w:val="en-GB" w:eastAsia="hr-HR"/>
              </w:rPr>
              <w:t>219</w:t>
            </w:r>
            <w:r>
              <w:rPr>
                <w:rFonts w:eastAsia="Times New Roman"/>
                <w:color w:val="000000"/>
                <w:sz w:val="24"/>
                <w:szCs w:val="24"/>
                <w:lang w:val="en-GB" w:eastAsia="hr-HR"/>
              </w:rPr>
              <w:t>.</w:t>
            </w:r>
            <w:r w:rsidRPr="00041197">
              <w:rPr>
                <w:rFonts w:eastAsia="Times New Roman"/>
                <w:color w:val="000000"/>
                <w:sz w:val="24"/>
                <w:szCs w:val="24"/>
                <w:lang w:val="en-GB" w:eastAsia="hr-HR"/>
              </w:rPr>
              <w:t>0</w:t>
            </w:r>
          </w:p>
        </w:tc>
        <w:tc>
          <w:tcPr>
            <w:tcW w:w="22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shd w:val="clear" w:color="auto" w:fill="FFFFFF"/>
            <w:vAlign w:val="bottom"/>
          </w:tcPr>
          <w:p w14:paraId="5DC2097E" w14:textId="1B8BC885" w:rsidR="000411AD" w:rsidRPr="00041197" w:rsidRDefault="000411AD" w:rsidP="000411AD">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lang w:val="en-GB" w:eastAsia="hr-HR"/>
              </w:rPr>
            </w:pPr>
            <w:r w:rsidRPr="00677419">
              <w:rPr>
                <w:rFonts w:eastAsia="Times New Roman"/>
                <w:color w:val="000000"/>
                <w:sz w:val="24"/>
                <w:szCs w:val="24"/>
                <w:lang w:eastAsia="hr-HR"/>
              </w:rPr>
              <w:t>26</w:t>
            </w:r>
            <w:r>
              <w:rPr>
                <w:rFonts w:eastAsia="Times New Roman"/>
                <w:color w:val="000000"/>
                <w:sz w:val="24"/>
                <w:szCs w:val="24"/>
                <w:lang w:eastAsia="hr-HR"/>
              </w:rPr>
              <w:t>,</w:t>
            </w:r>
            <w:r w:rsidRPr="00677419">
              <w:rPr>
                <w:rFonts w:eastAsia="Times New Roman"/>
                <w:color w:val="000000"/>
                <w:sz w:val="24"/>
                <w:szCs w:val="24"/>
                <w:lang w:eastAsia="hr-HR"/>
              </w:rPr>
              <w:t>470</w:t>
            </w:r>
            <w:r>
              <w:rPr>
                <w:rFonts w:eastAsia="Times New Roman"/>
                <w:color w:val="000000"/>
                <w:sz w:val="24"/>
                <w:szCs w:val="24"/>
                <w:lang w:eastAsia="hr-HR"/>
              </w:rPr>
              <w:t>.</w:t>
            </w:r>
            <w:r w:rsidRPr="00677419">
              <w:rPr>
                <w:rFonts w:eastAsia="Times New Roman"/>
                <w:color w:val="000000"/>
                <w:sz w:val="24"/>
                <w:szCs w:val="24"/>
                <w:lang w:eastAsia="hr-HR"/>
              </w:rPr>
              <w:t>6</w:t>
            </w:r>
          </w:p>
        </w:tc>
        <w:tc>
          <w:tcPr>
            <w:tcW w:w="2279" w:type="dxa"/>
            <w:tcBorders>
              <w:top w:val="single" w:sz="4" w:space="0" w:color="999999" w:themeColor="text1" w:themeTint="66"/>
              <w:left w:val="single" w:sz="4" w:space="0" w:color="999999" w:themeColor="text1" w:themeTint="66"/>
              <w:bottom w:val="single" w:sz="4" w:space="0" w:color="999999" w:themeColor="text1" w:themeTint="66"/>
            </w:tcBorders>
            <w:vAlign w:val="bottom"/>
          </w:tcPr>
          <w:p w14:paraId="77F3143E" w14:textId="4A291EFA" w:rsidR="000411AD" w:rsidRPr="00041197" w:rsidRDefault="000411AD" w:rsidP="000411A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4"/>
                <w:szCs w:val="24"/>
                <w:lang w:val="en-GB" w:eastAsia="hr-HR"/>
              </w:rPr>
            </w:pPr>
            <w:r w:rsidRPr="00402103">
              <w:rPr>
                <w:rFonts w:ascii="Calibri" w:eastAsia="Times New Roman" w:hAnsi="Calibri" w:cs="Times New Roman"/>
                <w:color w:val="000000"/>
                <w:sz w:val="24"/>
                <w:szCs w:val="24"/>
                <w:lang w:val="en-GB" w:eastAsia="hr-HR"/>
              </w:rPr>
              <w:t>26</w:t>
            </w:r>
            <w:r>
              <w:rPr>
                <w:rFonts w:ascii="Calibri" w:eastAsia="Times New Roman" w:hAnsi="Calibri" w:cs="Times New Roman"/>
                <w:color w:val="000000"/>
                <w:sz w:val="24"/>
                <w:szCs w:val="24"/>
                <w:lang w:val="en-GB" w:eastAsia="hr-HR"/>
              </w:rPr>
              <w:t>,</w:t>
            </w:r>
            <w:r w:rsidRPr="00402103">
              <w:rPr>
                <w:rFonts w:ascii="Calibri" w:eastAsia="Times New Roman" w:hAnsi="Calibri" w:cs="Times New Roman"/>
                <w:color w:val="000000"/>
                <w:sz w:val="24"/>
                <w:szCs w:val="24"/>
                <w:lang w:val="en-GB" w:eastAsia="hr-HR"/>
              </w:rPr>
              <w:t>662</w:t>
            </w:r>
            <w:r>
              <w:rPr>
                <w:rFonts w:ascii="Calibri" w:eastAsia="Times New Roman" w:hAnsi="Calibri" w:cs="Times New Roman"/>
                <w:color w:val="000000"/>
                <w:sz w:val="24"/>
                <w:szCs w:val="24"/>
                <w:lang w:val="en-GB" w:eastAsia="hr-HR"/>
              </w:rPr>
              <w:t>.</w:t>
            </w:r>
            <w:r w:rsidRPr="00402103">
              <w:rPr>
                <w:rFonts w:ascii="Calibri" w:eastAsia="Times New Roman" w:hAnsi="Calibri" w:cs="Times New Roman"/>
                <w:color w:val="000000"/>
                <w:sz w:val="24"/>
                <w:szCs w:val="24"/>
                <w:lang w:val="en-GB" w:eastAsia="hr-HR"/>
              </w:rPr>
              <w:t>0</w:t>
            </w:r>
          </w:p>
        </w:tc>
      </w:tr>
      <w:tr w:rsidR="000411AD" w:rsidRPr="00041197" w14:paraId="37DB500C" w14:textId="77777777" w:rsidTr="00C46F43">
        <w:trPr>
          <w:trHeight w:val="270"/>
        </w:trPr>
        <w:tc>
          <w:tcPr>
            <w:cnfStyle w:val="001000000000" w:firstRow="0" w:lastRow="0" w:firstColumn="1" w:lastColumn="0" w:oddVBand="0" w:evenVBand="0" w:oddHBand="0" w:evenHBand="0" w:firstRowFirstColumn="0" w:firstRowLastColumn="0" w:lastRowFirstColumn="0" w:lastRowLastColumn="0"/>
            <w:tcW w:w="2263" w:type="dxa"/>
            <w:hideMark/>
          </w:tcPr>
          <w:p w14:paraId="4D47507F" w14:textId="77777777" w:rsidR="000411AD" w:rsidRPr="00041197" w:rsidRDefault="000411AD" w:rsidP="000411AD">
            <w:pPr>
              <w:rPr>
                <w:rFonts w:ascii="Calibri" w:eastAsia="Times New Roman" w:hAnsi="Calibri" w:cs="Times New Roman"/>
                <w:b w:val="0"/>
                <w:color w:val="000000"/>
                <w:sz w:val="24"/>
                <w:szCs w:val="24"/>
                <w:lang w:val="en-GB" w:eastAsia="hr-HR"/>
              </w:rPr>
            </w:pPr>
            <w:r>
              <w:rPr>
                <w:rFonts w:ascii="Calibri" w:eastAsia="Times New Roman" w:hAnsi="Calibri" w:cs="Times New Roman"/>
                <w:color w:val="000000"/>
                <w:sz w:val="24"/>
                <w:szCs w:val="24"/>
                <w:lang w:val="en-GB" w:eastAsia="hr-HR"/>
              </w:rPr>
              <w:t>Gross loans</w:t>
            </w:r>
          </w:p>
        </w:tc>
        <w:tc>
          <w:tcPr>
            <w:tcW w:w="2279" w:type="dxa"/>
            <w:tcBorders>
              <w:top w:val="nil"/>
              <w:left w:val="nil"/>
              <w:bottom w:val="single" w:sz="8" w:space="0" w:color="999999"/>
              <w:right w:val="single" w:sz="8" w:space="0" w:color="999999"/>
            </w:tcBorders>
            <w:shd w:val="clear" w:color="auto" w:fill="FFFFFF"/>
            <w:vAlign w:val="bottom"/>
          </w:tcPr>
          <w:p w14:paraId="43E7FBCB" w14:textId="3F7E8BF9" w:rsidR="000411AD" w:rsidRPr="00041197" w:rsidRDefault="000411AD" w:rsidP="000411AD">
            <w:pPr>
              <w:jc w:val="right"/>
              <w:cnfStyle w:val="000000000000" w:firstRow="0" w:lastRow="0" w:firstColumn="0" w:lastColumn="0" w:oddVBand="0" w:evenVBand="0" w:oddHBand="0" w:evenHBand="0" w:firstRowFirstColumn="0" w:firstRowLastColumn="0" w:lastRowFirstColumn="0" w:lastRowLastColumn="0"/>
              <w:rPr>
                <w:rFonts w:ascii="Calibri" w:hAnsi="Calibri" w:cs="Calibri"/>
                <w:sz w:val="24"/>
                <w:szCs w:val="24"/>
                <w:lang w:val="en-GB"/>
              </w:rPr>
            </w:pPr>
            <w:r w:rsidRPr="00041197">
              <w:rPr>
                <w:rFonts w:eastAsia="Times New Roman"/>
                <w:color w:val="000000"/>
                <w:sz w:val="24"/>
                <w:szCs w:val="24"/>
                <w:lang w:val="en-GB" w:eastAsia="hr-HR"/>
              </w:rPr>
              <w:t>26</w:t>
            </w:r>
            <w:r>
              <w:rPr>
                <w:rFonts w:eastAsia="Times New Roman"/>
                <w:color w:val="000000"/>
                <w:sz w:val="24"/>
                <w:szCs w:val="24"/>
                <w:lang w:val="en-GB" w:eastAsia="hr-HR"/>
              </w:rPr>
              <w:t>,</w:t>
            </w:r>
            <w:r w:rsidRPr="00041197">
              <w:rPr>
                <w:rFonts w:eastAsia="Times New Roman"/>
                <w:color w:val="000000"/>
                <w:sz w:val="24"/>
                <w:szCs w:val="24"/>
                <w:lang w:val="en-GB" w:eastAsia="hr-HR"/>
              </w:rPr>
              <w:t>243</w:t>
            </w:r>
            <w:r>
              <w:rPr>
                <w:rFonts w:eastAsia="Times New Roman"/>
                <w:color w:val="000000"/>
                <w:sz w:val="24"/>
                <w:szCs w:val="24"/>
                <w:lang w:val="en-GB" w:eastAsia="hr-HR"/>
              </w:rPr>
              <w:t>.</w:t>
            </w:r>
            <w:r w:rsidRPr="00041197">
              <w:rPr>
                <w:rFonts w:eastAsia="Times New Roman"/>
                <w:color w:val="000000"/>
                <w:sz w:val="24"/>
                <w:szCs w:val="24"/>
                <w:lang w:val="en-GB" w:eastAsia="hr-HR"/>
              </w:rPr>
              <w:t>1</w:t>
            </w:r>
          </w:p>
        </w:tc>
        <w:tc>
          <w:tcPr>
            <w:tcW w:w="22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shd w:val="clear" w:color="auto" w:fill="FFFFFF"/>
            <w:vAlign w:val="bottom"/>
          </w:tcPr>
          <w:p w14:paraId="35B3648D" w14:textId="2FD97CE4" w:rsidR="000411AD" w:rsidRPr="00041197" w:rsidRDefault="000411AD" w:rsidP="000411AD">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lang w:val="en-GB" w:eastAsia="hr-HR"/>
              </w:rPr>
            </w:pPr>
            <w:r w:rsidRPr="00677419">
              <w:rPr>
                <w:rFonts w:eastAsia="Times New Roman"/>
                <w:color w:val="000000"/>
                <w:sz w:val="24"/>
                <w:szCs w:val="24"/>
                <w:lang w:eastAsia="hr-HR"/>
              </w:rPr>
              <w:t>26</w:t>
            </w:r>
            <w:r>
              <w:rPr>
                <w:rFonts w:eastAsia="Times New Roman"/>
                <w:color w:val="000000"/>
                <w:sz w:val="24"/>
                <w:szCs w:val="24"/>
                <w:lang w:eastAsia="hr-HR"/>
              </w:rPr>
              <w:t>,</w:t>
            </w:r>
            <w:r w:rsidRPr="00677419">
              <w:rPr>
                <w:rFonts w:eastAsia="Times New Roman"/>
                <w:color w:val="000000"/>
                <w:sz w:val="24"/>
                <w:szCs w:val="24"/>
                <w:lang w:eastAsia="hr-HR"/>
              </w:rPr>
              <w:t>571</w:t>
            </w:r>
            <w:r>
              <w:rPr>
                <w:rFonts w:eastAsia="Times New Roman"/>
                <w:color w:val="000000"/>
                <w:sz w:val="24"/>
                <w:szCs w:val="24"/>
                <w:lang w:eastAsia="hr-HR"/>
              </w:rPr>
              <w:t>.</w:t>
            </w:r>
            <w:r w:rsidRPr="00677419">
              <w:rPr>
                <w:rFonts w:eastAsia="Times New Roman"/>
                <w:color w:val="000000"/>
                <w:sz w:val="24"/>
                <w:szCs w:val="24"/>
                <w:lang w:eastAsia="hr-HR"/>
              </w:rPr>
              <w:t>1</w:t>
            </w:r>
          </w:p>
        </w:tc>
        <w:tc>
          <w:tcPr>
            <w:tcW w:w="2279" w:type="dxa"/>
            <w:tcBorders>
              <w:top w:val="single" w:sz="4" w:space="0" w:color="999999" w:themeColor="text1" w:themeTint="66"/>
              <w:left w:val="single" w:sz="4" w:space="0" w:color="999999" w:themeColor="text1" w:themeTint="66"/>
              <w:bottom w:val="single" w:sz="4" w:space="0" w:color="999999" w:themeColor="text1" w:themeTint="66"/>
            </w:tcBorders>
            <w:vAlign w:val="bottom"/>
          </w:tcPr>
          <w:p w14:paraId="3E254BD7" w14:textId="3C5B354B" w:rsidR="000411AD" w:rsidRPr="00041197" w:rsidRDefault="000411AD" w:rsidP="000411A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4"/>
                <w:szCs w:val="24"/>
                <w:lang w:val="en-GB" w:eastAsia="hr-HR"/>
              </w:rPr>
            </w:pPr>
            <w:r w:rsidRPr="00402103">
              <w:rPr>
                <w:rFonts w:ascii="Calibri" w:eastAsia="Times New Roman" w:hAnsi="Calibri" w:cs="Times New Roman"/>
                <w:color w:val="000000"/>
                <w:sz w:val="24"/>
                <w:szCs w:val="24"/>
                <w:lang w:val="en-GB" w:eastAsia="hr-HR"/>
              </w:rPr>
              <w:t>26</w:t>
            </w:r>
            <w:r>
              <w:rPr>
                <w:rFonts w:ascii="Calibri" w:eastAsia="Times New Roman" w:hAnsi="Calibri" w:cs="Times New Roman"/>
                <w:color w:val="000000"/>
                <w:sz w:val="24"/>
                <w:szCs w:val="24"/>
                <w:lang w:val="en-GB" w:eastAsia="hr-HR"/>
              </w:rPr>
              <w:t>,</w:t>
            </w:r>
            <w:r w:rsidRPr="00402103">
              <w:rPr>
                <w:rFonts w:ascii="Calibri" w:eastAsia="Times New Roman" w:hAnsi="Calibri" w:cs="Times New Roman"/>
                <w:color w:val="000000"/>
                <w:sz w:val="24"/>
                <w:szCs w:val="24"/>
                <w:lang w:val="en-GB" w:eastAsia="hr-HR"/>
              </w:rPr>
              <w:t>969</w:t>
            </w:r>
            <w:r>
              <w:rPr>
                <w:rFonts w:ascii="Calibri" w:eastAsia="Times New Roman" w:hAnsi="Calibri" w:cs="Times New Roman"/>
                <w:color w:val="000000"/>
                <w:sz w:val="24"/>
                <w:szCs w:val="24"/>
                <w:lang w:val="en-GB" w:eastAsia="hr-HR"/>
              </w:rPr>
              <w:t>.</w:t>
            </w:r>
            <w:r w:rsidRPr="00402103">
              <w:rPr>
                <w:rFonts w:ascii="Calibri" w:eastAsia="Times New Roman" w:hAnsi="Calibri" w:cs="Times New Roman"/>
                <w:color w:val="000000"/>
                <w:sz w:val="24"/>
                <w:szCs w:val="24"/>
                <w:lang w:val="en-GB" w:eastAsia="hr-HR"/>
              </w:rPr>
              <w:t>8</w:t>
            </w:r>
          </w:p>
        </w:tc>
      </w:tr>
      <w:tr w:rsidR="000411AD" w:rsidRPr="00041197" w14:paraId="22CEE40F" w14:textId="77777777" w:rsidTr="00C46F43">
        <w:trPr>
          <w:trHeight w:val="270"/>
        </w:trPr>
        <w:tc>
          <w:tcPr>
            <w:cnfStyle w:val="001000000000" w:firstRow="0" w:lastRow="0" w:firstColumn="1" w:lastColumn="0" w:oddVBand="0" w:evenVBand="0" w:oddHBand="0" w:evenHBand="0" w:firstRowFirstColumn="0" w:firstRowLastColumn="0" w:lastRowFirstColumn="0" w:lastRowLastColumn="0"/>
            <w:tcW w:w="2263" w:type="dxa"/>
            <w:hideMark/>
          </w:tcPr>
          <w:p w14:paraId="739AA723" w14:textId="77777777" w:rsidR="000411AD" w:rsidRPr="00041197" w:rsidRDefault="000411AD" w:rsidP="000411AD">
            <w:pPr>
              <w:rPr>
                <w:rFonts w:ascii="Calibri" w:eastAsia="Times New Roman" w:hAnsi="Calibri" w:cs="Times New Roman"/>
                <w:b w:val="0"/>
                <w:color w:val="000000"/>
                <w:sz w:val="24"/>
                <w:szCs w:val="24"/>
                <w:lang w:val="en-GB" w:eastAsia="hr-HR"/>
              </w:rPr>
            </w:pPr>
            <w:r>
              <w:rPr>
                <w:rFonts w:ascii="Calibri" w:eastAsia="Times New Roman" w:hAnsi="Calibri" w:cs="Times New Roman"/>
                <w:color w:val="000000"/>
                <w:sz w:val="24"/>
                <w:szCs w:val="24"/>
                <w:lang w:val="en-GB" w:eastAsia="hr-HR"/>
              </w:rPr>
              <w:t>Total equity</w:t>
            </w:r>
          </w:p>
        </w:tc>
        <w:tc>
          <w:tcPr>
            <w:tcW w:w="2279" w:type="dxa"/>
            <w:tcBorders>
              <w:top w:val="nil"/>
              <w:left w:val="nil"/>
              <w:bottom w:val="single" w:sz="8" w:space="0" w:color="999999"/>
              <w:right w:val="single" w:sz="8" w:space="0" w:color="999999"/>
            </w:tcBorders>
            <w:shd w:val="clear" w:color="auto" w:fill="FFFFFF"/>
            <w:vAlign w:val="bottom"/>
          </w:tcPr>
          <w:p w14:paraId="0F0ACE32" w14:textId="4F987D83" w:rsidR="000411AD" w:rsidRPr="00041197" w:rsidRDefault="000411AD" w:rsidP="000411A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4"/>
                <w:szCs w:val="24"/>
                <w:lang w:val="en-GB" w:eastAsia="hr-HR"/>
              </w:rPr>
            </w:pPr>
            <w:r w:rsidRPr="00041197">
              <w:rPr>
                <w:rFonts w:eastAsia="Times New Roman"/>
                <w:color w:val="000000"/>
                <w:sz w:val="24"/>
                <w:szCs w:val="24"/>
                <w:lang w:val="en-GB" w:eastAsia="hr-HR"/>
              </w:rPr>
              <w:t>10</w:t>
            </w:r>
            <w:r>
              <w:rPr>
                <w:rFonts w:eastAsia="Times New Roman"/>
                <w:color w:val="000000"/>
                <w:sz w:val="24"/>
                <w:szCs w:val="24"/>
                <w:lang w:val="en-GB" w:eastAsia="hr-HR"/>
              </w:rPr>
              <w:t>,</w:t>
            </w:r>
            <w:r w:rsidRPr="00041197">
              <w:rPr>
                <w:rFonts w:eastAsia="Times New Roman"/>
                <w:color w:val="000000"/>
                <w:sz w:val="24"/>
                <w:szCs w:val="24"/>
                <w:lang w:val="en-GB" w:eastAsia="hr-HR"/>
              </w:rPr>
              <w:t>061</w:t>
            </w:r>
            <w:r>
              <w:rPr>
                <w:rFonts w:eastAsia="Times New Roman"/>
                <w:color w:val="000000"/>
                <w:sz w:val="24"/>
                <w:szCs w:val="24"/>
                <w:lang w:val="en-GB" w:eastAsia="hr-HR"/>
              </w:rPr>
              <w:t>.</w:t>
            </w:r>
            <w:r w:rsidRPr="00041197">
              <w:rPr>
                <w:rFonts w:eastAsia="Times New Roman"/>
                <w:color w:val="000000"/>
                <w:sz w:val="24"/>
                <w:szCs w:val="24"/>
                <w:lang w:val="en-GB" w:eastAsia="hr-HR"/>
              </w:rPr>
              <w:t>1</w:t>
            </w:r>
          </w:p>
        </w:tc>
        <w:tc>
          <w:tcPr>
            <w:tcW w:w="22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shd w:val="clear" w:color="auto" w:fill="FFFFFF"/>
            <w:vAlign w:val="bottom"/>
          </w:tcPr>
          <w:p w14:paraId="2C951DF8" w14:textId="660F0C76" w:rsidR="000411AD" w:rsidRPr="00041197" w:rsidRDefault="000411AD" w:rsidP="000411AD">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lang w:val="en-GB" w:eastAsia="hr-HR"/>
              </w:rPr>
            </w:pPr>
            <w:r w:rsidRPr="00677419">
              <w:rPr>
                <w:rFonts w:eastAsia="Times New Roman"/>
                <w:color w:val="000000"/>
                <w:sz w:val="24"/>
                <w:szCs w:val="24"/>
                <w:lang w:eastAsia="hr-HR"/>
              </w:rPr>
              <w:t>10</w:t>
            </w:r>
            <w:r>
              <w:rPr>
                <w:rFonts w:eastAsia="Times New Roman"/>
                <w:color w:val="000000"/>
                <w:sz w:val="24"/>
                <w:szCs w:val="24"/>
                <w:lang w:eastAsia="hr-HR"/>
              </w:rPr>
              <w:t>,</w:t>
            </w:r>
            <w:r w:rsidRPr="00677419">
              <w:rPr>
                <w:rFonts w:eastAsia="Times New Roman"/>
                <w:color w:val="000000"/>
                <w:sz w:val="24"/>
                <w:szCs w:val="24"/>
                <w:lang w:eastAsia="hr-HR"/>
              </w:rPr>
              <w:t>274</w:t>
            </w:r>
            <w:r>
              <w:rPr>
                <w:rFonts w:eastAsia="Times New Roman"/>
                <w:color w:val="000000"/>
                <w:sz w:val="24"/>
                <w:szCs w:val="24"/>
                <w:lang w:eastAsia="hr-HR"/>
              </w:rPr>
              <w:t>.</w:t>
            </w:r>
            <w:r w:rsidRPr="00677419">
              <w:rPr>
                <w:rFonts w:eastAsia="Times New Roman"/>
                <w:color w:val="000000"/>
                <w:sz w:val="24"/>
                <w:szCs w:val="24"/>
                <w:lang w:eastAsia="hr-HR"/>
              </w:rPr>
              <w:t>6</w:t>
            </w:r>
          </w:p>
        </w:tc>
        <w:tc>
          <w:tcPr>
            <w:tcW w:w="2279" w:type="dxa"/>
            <w:tcBorders>
              <w:top w:val="single" w:sz="4" w:space="0" w:color="999999" w:themeColor="text1" w:themeTint="66"/>
              <w:left w:val="single" w:sz="4" w:space="0" w:color="999999" w:themeColor="text1" w:themeTint="66"/>
              <w:bottom w:val="single" w:sz="4" w:space="0" w:color="999999" w:themeColor="text1" w:themeTint="66"/>
            </w:tcBorders>
            <w:vAlign w:val="bottom"/>
          </w:tcPr>
          <w:p w14:paraId="6FAB89B5" w14:textId="490D1BE8" w:rsidR="000411AD" w:rsidRPr="00041197" w:rsidRDefault="000411AD" w:rsidP="000411AD">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4"/>
                <w:szCs w:val="24"/>
                <w:lang w:val="en-GB" w:eastAsia="hr-HR"/>
              </w:rPr>
            </w:pPr>
            <w:r w:rsidRPr="00402103">
              <w:rPr>
                <w:rFonts w:ascii="Calibri" w:eastAsia="Times New Roman" w:hAnsi="Calibri" w:cs="Times New Roman"/>
                <w:color w:val="000000"/>
                <w:sz w:val="24"/>
                <w:szCs w:val="24"/>
                <w:lang w:val="en-GB" w:eastAsia="hr-HR"/>
              </w:rPr>
              <w:t>10</w:t>
            </w:r>
            <w:r>
              <w:rPr>
                <w:rFonts w:ascii="Calibri" w:eastAsia="Times New Roman" w:hAnsi="Calibri" w:cs="Times New Roman"/>
                <w:color w:val="000000"/>
                <w:sz w:val="24"/>
                <w:szCs w:val="24"/>
                <w:lang w:val="en-GB" w:eastAsia="hr-HR"/>
              </w:rPr>
              <w:t>,</w:t>
            </w:r>
            <w:r w:rsidRPr="00402103">
              <w:rPr>
                <w:rFonts w:ascii="Calibri" w:eastAsia="Times New Roman" w:hAnsi="Calibri" w:cs="Times New Roman"/>
                <w:color w:val="000000"/>
                <w:sz w:val="24"/>
                <w:szCs w:val="24"/>
                <w:lang w:val="en-GB" w:eastAsia="hr-HR"/>
              </w:rPr>
              <w:t>277</w:t>
            </w:r>
            <w:r>
              <w:rPr>
                <w:rFonts w:ascii="Calibri" w:eastAsia="Times New Roman" w:hAnsi="Calibri" w:cs="Times New Roman"/>
                <w:color w:val="000000"/>
                <w:sz w:val="24"/>
                <w:szCs w:val="24"/>
                <w:lang w:val="en-GB" w:eastAsia="hr-HR"/>
              </w:rPr>
              <w:t>.</w:t>
            </w:r>
            <w:r w:rsidRPr="00402103">
              <w:rPr>
                <w:rFonts w:ascii="Calibri" w:eastAsia="Times New Roman" w:hAnsi="Calibri" w:cs="Times New Roman"/>
                <w:color w:val="000000"/>
                <w:sz w:val="24"/>
                <w:szCs w:val="24"/>
                <w:lang w:val="en-GB" w:eastAsia="hr-HR"/>
              </w:rPr>
              <w:t>1</w:t>
            </w:r>
          </w:p>
        </w:tc>
      </w:tr>
      <w:tr w:rsidR="00402103" w:rsidRPr="00041197" w14:paraId="58F26018" w14:textId="77777777" w:rsidTr="001E3F66">
        <w:trPr>
          <w:trHeight w:val="270"/>
        </w:trPr>
        <w:tc>
          <w:tcPr>
            <w:cnfStyle w:val="001000000000" w:firstRow="0" w:lastRow="0" w:firstColumn="1" w:lastColumn="0" w:oddVBand="0" w:evenVBand="0" w:oddHBand="0" w:evenHBand="0" w:firstRowFirstColumn="0" w:firstRowLastColumn="0" w:lastRowFirstColumn="0" w:lastRowLastColumn="0"/>
            <w:tcW w:w="2263" w:type="dxa"/>
            <w:hideMark/>
          </w:tcPr>
          <w:p w14:paraId="760FDE4D" w14:textId="77777777" w:rsidR="00402103" w:rsidRPr="00041197" w:rsidRDefault="00402103" w:rsidP="00402103">
            <w:pPr>
              <w:rPr>
                <w:rFonts w:ascii="Calibri" w:eastAsia="Times New Roman" w:hAnsi="Calibri" w:cs="Times New Roman"/>
                <w:b w:val="0"/>
                <w:color w:val="000000"/>
                <w:sz w:val="24"/>
                <w:szCs w:val="24"/>
                <w:lang w:val="en-GB" w:eastAsia="hr-HR"/>
              </w:rPr>
            </w:pPr>
            <w:r w:rsidRPr="00041197">
              <w:rPr>
                <w:rFonts w:ascii="Calibri" w:eastAsia="Times New Roman" w:hAnsi="Calibri" w:cs="Times New Roman"/>
                <w:color w:val="000000"/>
                <w:sz w:val="24"/>
                <w:szCs w:val="24"/>
                <w:lang w:val="en-GB" w:eastAsia="hr-HR"/>
              </w:rPr>
              <w:t> </w:t>
            </w:r>
          </w:p>
        </w:tc>
        <w:tc>
          <w:tcPr>
            <w:tcW w:w="2279" w:type="dxa"/>
            <w:tcBorders>
              <w:top w:val="nil"/>
              <w:left w:val="nil"/>
              <w:bottom w:val="single" w:sz="8" w:space="0" w:color="999999"/>
              <w:right w:val="single" w:sz="8" w:space="0" w:color="999999"/>
            </w:tcBorders>
            <w:shd w:val="clear" w:color="auto" w:fill="FFFFFF"/>
            <w:vAlign w:val="bottom"/>
          </w:tcPr>
          <w:p w14:paraId="59D01B6B" w14:textId="77777777" w:rsidR="00402103" w:rsidRPr="00041197" w:rsidRDefault="00402103" w:rsidP="00402103">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4"/>
                <w:szCs w:val="24"/>
                <w:lang w:val="en-GB" w:eastAsia="hr-HR"/>
              </w:rPr>
            </w:pPr>
          </w:p>
        </w:tc>
        <w:tc>
          <w:tcPr>
            <w:tcW w:w="2279" w:type="dxa"/>
            <w:tcBorders>
              <w:left w:val="single" w:sz="4" w:space="0" w:color="A6A6A6" w:themeColor="background1" w:themeShade="A6"/>
            </w:tcBorders>
            <w:vAlign w:val="bottom"/>
          </w:tcPr>
          <w:p w14:paraId="1FB8C3FF" w14:textId="77777777" w:rsidR="00402103" w:rsidRPr="00041197" w:rsidRDefault="00402103" w:rsidP="00402103">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lang w:val="en-GB" w:eastAsia="hr-HR"/>
              </w:rPr>
            </w:pPr>
          </w:p>
        </w:tc>
        <w:tc>
          <w:tcPr>
            <w:tcW w:w="2279" w:type="dxa"/>
            <w:tcBorders>
              <w:left w:val="single" w:sz="4" w:space="0" w:color="A6A6A6" w:themeColor="background1" w:themeShade="A6"/>
            </w:tcBorders>
            <w:vAlign w:val="bottom"/>
          </w:tcPr>
          <w:p w14:paraId="0E43C53D" w14:textId="77777777" w:rsidR="00402103" w:rsidRPr="00041197" w:rsidRDefault="00402103" w:rsidP="00402103">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4"/>
                <w:szCs w:val="24"/>
                <w:lang w:val="en-GB" w:eastAsia="hr-HR"/>
              </w:rPr>
            </w:pPr>
          </w:p>
        </w:tc>
      </w:tr>
      <w:tr w:rsidR="00402103" w:rsidRPr="00041197" w14:paraId="7EDEBC92" w14:textId="77777777" w:rsidTr="001E3F66">
        <w:trPr>
          <w:trHeight w:val="270"/>
        </w:trPr>
        <w:tc>
          <w:tcPr>
            <w:cnfStyle w:val="001000000000" w:firstRow="0" w:lastRow="0" w:firstColumn="1" w:lastColumn="0" w:oddVBand="0" w:evenVBand="0" w:oddHBand="0" w:evenHBand="0" w:firstRowFirstColumn="0" w:firstRowLastColumn="0" w:lastRowFirstColumn="0" w:lastRowLastColumn="0"/>
            <w:tcW w:w="2263" w:type="dxa"/>
          </w:tcPr>
          <w:p w14:paraId="655D55A1" w14:textId="77777777" w:rsidR="00402103" w:rsidRPr="00041197" w:rsidRDefault="00402103" w:rsidP="00402103">
            <w:pPr>
              <w:rPr>
                <w:rFonts w:ascii="Calibri" w:eastAsia="Times New Roman" w:hAnsi="Calibri" w:cs="Times New Roman"/>
                <w:b w:val="0"/>
                <w:color w:val="000000"/>
                <w:sz w:val="24"/>
                <w:szCs w:val="24"/>
                <w:lang w:val="en-GB" w:eastAsia="hr-HR"/>
              </w:rPr>
            </w:pPr>
          </w:p>
        </w:tc>
        <w:tc>
          <w:tcPr>
            <w:tcW w:w="2279" w:type="dxa"/>
            <w:tcBorders>
              <w:top w:val="nil"/>
              <w:left w:val="nil"/>
              <w:bottom w:val="single" w:sz="8" w:space="0" w:color="999999"/>
              <w:right w:val="single" w:sz="8" w:space="0" w:color="999999"/>
            </w:tcBorders>
            <w:shd w:val="clear" w:color="auto" w:fill="FFFFFF"/>
            <w:vAlign w:val="bottom"/>
          </w:tcPr>
          <w:p w14:paraId="48AAE452" w14:textId="3B2CA369" w:rsidR="00402103" w:rsidRPr="00041197" w:rsidRDefault="00402103" w:rsidP="00402103">
            <w:pPr>
              <w:jc w:val="right"/>
              <w:cnfStyle w:val="000000000000" w:firstRow="0" w:lastRow="0" w:firstColumn="0" w:lastColumn="0" w:oddVBand="0" w:evenVBand="0" w:oddHBand="0" w:evenHBand="0" w:firstRowFirstColumn="0" w:firstRowLastColumn="0" w:lastRowFirstColumn="0" w:lastRowLastColumn="0"/>
              <w:rPr>
                <w:rFonts w:ascii="Calibri" w:hAnsi="Calibri"/>
                <w:b/>
                <w:bCs/>
                <w:color w:val="000000"/>
                <w:sz w:val="24"/>
                <w:szCs w:val="24"/>
                <w:lang w:val="en-GB"/>
              </w:rPr>
            </w:pPr>
            <w:r w:rsidRPr="00041197">
              <w:rPr>
                <w:rFonts w:eastAsia="Times New Roman"/>
                <w:b/>
                <w:color w:val="000000"/>
                <w:sz w:val="24"/>
                <w:szCs w:val="24"/>
                <w:lang w:val="en-GB" w:eastAsia="hr-HR"/>
              </w:rPr>
              <w:t>31</w:t>
            </w:r>
            <w:r>
              <w:rPr>
                <w:rFonts w:eastAsia="Times New Roman"/>
                <w:b/>
                <w:color w:val="000000"/>
                <w:sz w:val="24"/>
                <w:szCs w:val="24"/>
                <w:lang w:val="en-GB" w:eastAsia="hr-HR"/>
              </w:rPr>
              <w:t xml:space="preserve"> March 2</w:t>
            </w:r>
            <w:r w:rsidRPr="00041197">
              <w:rPr>
                <w:rFonts w:eastAsia="Times New Roman"/>
                <w:b/>
                <w:color w:val="000000"/>
                <w:sz w:val="24"/>
                <w:szCs w:val="24"/>
                <w:lang w:val="en-GB" w:eastAsia="hr-HR"/>
              </w:rPr>
              <w:t>018</w:t>
            </w:r>
          </w:p>
        </w:tc>
        <w:tc>
          <w:tcPr>
            <w:tcW w:w="2279" w:type="dxa"/>
            <w:tcBorders>
              <w:left w:val="single" w:sz="4" w:space="0" w:color="A6A6A6" w:themeColor="background1" w:themeShade="A6"/>
              <w:bottom w:val="single" w:sz="4" w:space="0" w:color="999999" w:themeColor="text1" w:themeTint="66"/>
            </w:tcBorders>
            <w:vAlign w:val="bottom"/>
          </w:tcPr>
          <w:p w14:paraId="5F05E7AB" w14:textId="369A9950" w:rsidR="00402103" w:rsidRPr="00041197" w:rsidRDefault="00402103" w:rsidP="00402103">
            <w:pPr>
              <w:jc w:val="right"/>
              <w:cnfStyle w:val="000000000000" w:firstRow="0" w:lastRow="0" w:firstColumn="0" w:lastColumn="0" w:oddVBand="0" w:evenVBand="0" w:oddHBand="0" w:evenHBand="0" w:firstRowFirstColumn="0" w:firstRowLastColumn="0" w:lastRowFirstColumn="0" w:lastRowLastColumn="0"/>
              <w:rPr>
                <w:rFonts w:eastAsia="Times New Roman"/>
                <w:b/>
                <w:color w:val="000000"/>
                <w:sz w:val="24"/>
                <w:szCs w:val="24"/>
                <w:lang w:val="en-GB" w:eastAsia="hr-HR"/>
              </w:rPr>
            </w:pPr>
            <w:r w:rsidRPr="00041197">
              <w:rPr>
                <w:rFonts w:ascii="Calibri" w:hAnsi="Calibri"/>
                <w:b/>
                <w:bCs/>
                <w:color w:val="000000"/>
                <w:sz w:val="24"/>
                <w:szCs w:val="24"/>
                <w:lang w:val="en-GB"/>
              </w:rPr>
              <w:t>31</w:t>
            </w:r>
            <w:r>
              <w:rPr>
                <w:rFonts w:ascii="Calibri" w:hAnsi="Calibri"/>
                <w:b/>
                <w:bCs/>
                <w:color w:val="000000"/>
                <w:sz w:val="24"/>
                <w:szCs w:val="24"/>
                <w:lang w:val="en-GB"/>
              </w:rPr>
              <w:t xml:space="preserve"> March </w:t>
            </w:r>
            <w:r w:rsidRPr="00041197">
              <w:rPr>
                <w:rFonts w:ascii="Calibri" w:hAnsi="Calibri"/>
                <w:b/>
                <w:bCs/>
                <w:color w:val="000000"/>
                <w:sz w:val="24"/>
                <w:szCs w:val="24"/>
                <w:lang w:val="en-GB"/>
              </w:rPr>
              <w:t>2019</w:t>
            </w:r>
          </w:p>
        </w:tc>
        <w:tc>
          <w:tcPr>
            <w:tcW w:w="2279" w:type="dxa"/>
            <w:tcBorders>
              <w:left w:val="single" w:sz="4" w:space="0" w:color="A6A6A6" w:themeColor="background1" w:themeShade="A6"/>
              <w:bottom w:val="single" w:sz="4" w:space="0" w:color="999999" w:themeColor="text1" w:themeTint="66"/>
            </w:tcBorders>
            <w:vAlign w:val="bottom"/>
          </w:tcPr>
          <w:p w14:paraId="009568B6" w14:textId="5B13C3AC" w:rsidR="00402103" w:rsidRPr="00041197" w:rsidRDefault="00402103" w:rsidP="00402103">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4"/>
                <w:szCs w:val="24"/>
                <w:lang w:val="en-GB" w:eastAsia="hr-HR"/>
              </w:rPr>
            </w:pPr>
            <w:r w:rsidRPr="00041197">
              <w:rPr>
                <w:rFonts w:ascii="Calibri" w:hAnsi="Calibri"/>
                <w:b/>
                <w:bCs/>
                <w:color w:val="000000"/>
                <w:sz w:val="24"/>
                <w:szCs w:val="24"/>
                <w:lang w:val="en-GB"/>
              </w:rPr>
              <w:t>31</w:t>
            </w:r>
            <w:r>
              <w:rPr>
                <w:rFonts w:ascii="Calibri" w:hAnsi="Calibri"/>
                <w:b/>
                <w:bCs/>
                <w:color w:val="000000"/>
                <w:sz w:val="24"/>
                <w:szCs w:val="24"/>
                <w:lang w:val="en-GB"/>
              </w:rPr>
              <w:t xml:space="preserve"> March </w:t>
            </w:r>
            <w:r w:rsidRPr="00041197">
              <w:rPr>
                <w:rFonts w:ascii="Calibri" w:hAnsi="Calibri"/>
                <w:b/>
                <w:bCs/>
                <w:color w:val="000000"/>
                <w:sz w:val="24"/>
                <w:szCs w:val="24"/>
                <w:lang w:val="en-GB"/>
              </w:rPr>
              <w:t>20</w:t>
            </w:r>
            <w:r>
              <w:rPr>
                <w:rFonts w:ascii="Calibri" w:hAnsi="Calibri"/>
                <w:b/>
                <w:bCs/>
                <w:color w:val="000000"/>
                <w:sz w:val="24"/>
                <w:szCs w:val="24"/>
                <w:lang w:val="en-GB"/>
              </w:rPr>
              <w:t>20</w:t>
            </w:r>
          </w:p>
        </w:tc>
      </w:tr>
      <w:tr w:rsidR="00402103" w:rsidRPr="00041197" w14:paraId="2181DB6C" w14:textId="77777777" w:rsidTr="008D4502">
        <w:trPr>
          <w:trHeight w:val="270"/>
        </w:trPr>
        <w:tc>
          <w:tcPr>
            <w:cnfStyle w:val="001000000000" w:firstRow="0" w:lastRow="0" w:firstColumn="1" w:lastColumn="0" w:oddVBand="0" w:evenVBand="0" w:oddHBand="0" w:evenHBand="0" w:firstRowFirstColumn="0" w:firstRowLastColumn="0" w:lastRowFirstColumn="0" w:lastRowLastColumn="0"/>
            <w:tcW w:w="2263" w:type="dxa"/>
            <w:hideMark/>
          </w:tcPr>
          <w:p w14:paraId="41F51E8F" w14:textId="77777777" w:rsidR="00402103" w:rsidRPr="00041197" w:rsidRDefault="00402103" w:rsidP="00402103">
            <w:pPr>
              <w:rPr>
                <w:rFonts w:ascii="Calibri" w:eastAsia="Times New Roman" w:hAnsi="Calibri" w:cs="Times New Roman"/>
                <w:b w:val="0"/>
                <w:color w:val="000000"/>
                <w:sz w:val="24"/>
                <w:szCs w:val="24"/>
                <w:lang w:val="en-GB" w:eastAsia="hr-HR"/>
              </w:rPr>
            </w:pPr>
            <w:r>
              <w:rPr>
                <w:rFonts w:ascii="Calibri" w:eastAsia="Times New Roman" w:hAnsi="Calibri" w:cs="Times New Roman"/>
                <w:color w:val="000000"/>
                <w:sz w:val="24"/>
                <w:szCs w:val="24"/>
                <w:lang w:val="en-GB" w:eastAsia="hr-HR"/>
              </w:rPr>
              <w:t>Total income</w:t>
            </w:r>
          </w:p>
        </w:tc>
        <w:tc>
          <w:tcPr>
            <w:tcW w:w="2279" w:type="dxa"/>
            <w:tcBorders>
              <w:top w:val="nil"/>
              <w:left w:val="nil"/>
              <w:bottom w:val="single" w:sz="8" w:space="0" w:color="999999"/>
              <w:right w:val="single" w:sz="8" w:space="0" w:color="999999"/>
            </w:tcBorders>
            <w:shd w:val="clear" w:color="auto" w:fill="FFFFFF"/>
            <w:vAlign w:val="bottom"/>
          </w:tcPr>
          <w:p w14:paraId="73A21A27" w14:textId="4839FDAA" w:rsidR="00402103" w:rsidRPr="00041197" w:rsidRDefault="00402103" w:rsidP="00402103">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4"/>
                <w:szCs w:val="24"/>
                <w:lang w:val="en-GB" w:eastAsia="hr-HR"/>
              </w:rPr>
            </w:pPr>
            <w:r w:rsidRPr="00041197">
              <w:rPr>
                <w:rFonts w:eastAsia="Times New Roman"/>
                <w:color w:val="000000"/>
                <w:sz w:val="24"/>
                <w:szCs w:val="24"/>
                <w:lang w:val="en-GB" w:eastAsia="hr-HR"/>
              </w:rPr>
              <w:t>219</w:t>
            </w:r>
            <w:r>
              <w:rPr>
                <w:rFonts w:eastAsia="Times New Roman"/>
                <w:color w:val="000000"/>
                <w:sz w:val="24"/>
                <w:szCs w:val="24"/>
                <w:lang w:val="en-GB" w:eastAsia="hr-HR"/>
              </w:rPr>
              <w:t>.</w:t>
            </w:r>
            <w:r w:rsidRPr="00041197">
              <w:rPr>
                <w:rFonts w:eastAsia="Times New Roman"/>
                <w:color w:val="000000"/>
                <w:sz w:val="24"/>
                <w:szCs w:val="24"/>
                <w:lang w:val="en-GB" w:eastAsia="hr-HR"/>
              </w:rPr>
              <w:t>6</w:t>
            </w:r>
          </w:p>
        </w:tc>
        <w:tc>
          <w:tcPr>
            <w:tcW w:w="2279" w:type="dxa"/>
            <w:tcBorders>
              <w:left w:val="single" w:sz="4" w:space="0" w:color="A6A6A6" w:themeColor="background1" w:themeShade="A6"/>
            </w:tcBorders>
            <w:vAlign w:val="bottom"/>
          </w:tcPr>
          <w:p w14:paraId="2CD251F1" w14:textId="7136C54D" w:rsidR="00402103" w:rsidRPr="00041197" w:rsidRDefault="00402103" w:rsidP="00402103">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lang w:val="en-GB" w:eastAsia="hr-HR"/>
              </w:rPr>
            </w:pPr>
            <w:r w:rsidRPr="00041197">
              <w:rPr>
                <w:rFonts w:ascii="Calibri" w:eastAsia="Times New Roman" w:hAnsi="Calibri" w:cs="Times New Roman"/>
                <w:color w:val="000000"/>
                <w:sz w:val="24"/>
                <w:szCs w:val="24"/>
                <w:lang w:val="en-GB" w:eastAsia="hr-HR"/>
              </w:rPr>
              <w:t>177</w:t>
            </w:r>
            <w:r>
              <w:rPr>
                <w:rFonts w:ascii="Calibri" w:eastAsia="Times New Roman" w:hAnsi="Calibri" w:cs="Times New Roman"/>
                <w:color w:val="000000"/>
                <w:sz w:val="24"/>
                <w:szCs w:val="24"/>
                <w:lang w:val="en-GB" w:eastAsia="hr-HR"/>
              </w:rPr>
              <w:t>.</w:t>
            </w:r>
            <w:r w:rsidRPr="00041197">
              <w:rPr>
                <w:rFonts w:ascii="Calibri" w:eastAsia="Times New Roman" w:hAnsi="Calibri" w:cs="Times New Roman"/>
                <w:color w:val="000000"/>
                <w:sz w:val="24"/>
                <w:szCs w:val="24"/>
                <w:lang w:val="en-GB" w:eastAsia="hr-HR"/>
              </w:rPr>
              <w:t>4</w:t>
            </w:r>
          </w:p>
        </w:tc>
        <w:tc>
          <w:tcPr>
            <w:tcW w:w="2279" w:type="dxa"/>
            <w:tcBorders>
              <w:top w:val="single" w:sz="4" w:space="0" w:color="999999" w:themeColor="text1" w:themeTint="66"/>
              <w:left w:val="single" w:sz="4" w:space="0" w:color="999999" w:themeColor="text1" w:themeTint="66"/>
              <w:bottom w:val="single" w:sz="4" w:space="0" w:color="999999" w:themeColor="text1" w:themeTint="66"/>
            </w:tcBorders>
            <w:vAlign w:val="bottom"/>
          </w:tcPr>
          <w:p w14:paraId="1B9E4320" w14:textId="083784F0" w:rsidR="00402103" w:rsidRPr="00041197" w:rsidRDefault="00402103" w:rsidP="00402103">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4"/>
                <w:szCs w:val="24"/>
                <w:lang w:val="en-GB" w:eastAsia="hr-HR"/>
              </w:rPr>
            </w:pPr>
            <w:r w:rsidRPr="006B3473">
              <w:rPr>
                <w:rFonts w:ascii="Calibri" w:eastAsia="Times New Roman" w:hAnsi="Calibri" w:cs="Times New Roman"/>
                <w:color w:val="000000"/>
                <w:sz w:val="24"/>
                <w:szCs w:val="24"/>
                <w:lang w:eastAsia="hr-HR"/>
              </w:rPr>
              <w:t>170</w:t>
            </w:r>
            <w:r>
              <w:rPr>
                <w:rFonts w:ascii="Calibri" w:eastAsia="Times New Roman" w:hAnsi="Calibri" w:cs="Times New Roman"/>
                <w:color w:val="000000"/>
                <w:sz w:val="24"/>
                <w:szCs w:val="24"/>
                <w:lang w:eastAsia="hr-HR"/>
              </w:rPr>
              <w:t>.</w:t>
            </w:r>
            <w:r w:rsidRPr="006B3473">
              <w:rPr>
                <w:rFonts w:ascii="Calibri" w:eastAsia="Times New Roman" w:hAnsi="Calibri" w:cs="Times New Roman"/>
                <w:color w:val="000000"/>
                <w:sz w:val="24"/>
                <w:szCs w:val="24"/>
                <w:lang w:eastAsia="hr-HR"/>
              </w:rPr>
              <w:t>3</w:t>
            </w:r>
          </w:p>
        </w:tc>
      </w:tr>
      <w:tr w:rsidR="00402103" w:rsidRPr="00041197" w14:paraId="6FD2D16E" w14:textId="77777777" w:rsidTr="008D4502">
        <w:trPr>
          <w:trHeight w:val="270"/>
        </w:trPr>
        <w:tc>
          <w:tcPr>
            <w:cnfStyle w:val="001000000000" w:firstRow="0" w:lastRow="0" w:firstColumn="1" w:lastColumn="0" w:oddVBand="0" w:evenVBand="0" w:oddHBand="0" w:evenHBand="0" w:firstRowFirstColumn="0" w:firstRowLastColumn="0" w:lastRowFirstColumn="0" w:lastRowLastColumn="0"/>
            <w:tcW w:w="2263" w:type="dxa"/>
            <w:hideMark/>
          </w:tcPr>
          <w:p w14:paraId="0DCB8BF0" w14:textId="77777777" w:rsidR="00402103" w:rsidRPr="00041197" w:rsidRDefault="00402103" w:rsidP="00402103">
            <w:pPr>
              <w:rPr>
                <w:rFonts w:ascii="Calibri" w:eastAsia="Times New Roman" w:hAnsi="Calibri" w:cs="Times New Roman"/>
                <w:b w:val="0"/>
                <w:color w:val="000000"/>
                <w:sz w:val="24"/>
                <w:szCs w:val="24"/>
                <w:lang w:val="en-GB" w:eastAsia="hr-HR"/>
              </w:rPr>
            </w:pPr>
            <w:r>
              <w:rPr>
                <w:rFonts w:ascii="Calibri" w:eastAsia="Times New Roman" w:hAnsi="Calibri" w:cs="Times New Roman"/>
                <w:color w:val="000000"/>
                <w:sz w:val="24"/>
                <w:szCs w:val="24"/>
                <w:lang w:val="en-GB" w:eastAsia="hr-HR"/>
              </w:rPr>
              <w:t>Total expense</w:t>
            </w:r>
          </w:p>
        </w:tc>
        <w:tc>
          <w:tcPr>
            <w:tcW w:w="2279" w:type="dxa"/>
            <w:tcBorders>
              <w:top w:val="nil"/>
              <w:left w:val="nil"/>
              <w:bottom w:val="single" w:sz="8" w:space="0" w:color="999999"/>
              <w:right w:val="single" w:sz="8" w:space="0" w:color="999999"/>
            </w:tcBorders>
            <w:shd w:val="clear" w:color="auto" w:fill="FFFFFF"/>
            <w:vAlign w:val="bottom"/>
          </w:tcPr>
          <w:p w14:paraId="54C43786" w14:textId="66305BFD" w:rsidR="00402103" w:rsidRPr="00041197" w:rsidRDefault="00402103" w:rsidP="00402103">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4"/>
                <w:szCs w:val="24"/>
                <w:lang w:val="en-GB" w:eastAsia="hr-HR"/>
              </w:rPr>
            </w:pPr>
            <w:r w:rsidRPr="00041197">
              <w:rPr>
                <w:rFonts w:eastAsia="Times New Roman"/>
                <w:color w:val="000000"/>
                <w:sz w:val="24"/>
                <w:szCs w:val="24"/>
                <w:lang w:val="en-GB" w:eastAsia="hr-HR"/>
              </w:rPr>
              <w:t>(144</w:t>
            </w:r>
            <w:r>
              <w:rPr>
                <w:rFonts w:eastAsia="Times New Roman"/>
                <w:color w:val="000000"/>
                <w:sz w:val="24"/>
                <w:szCs w:val="24"/>
                <w:lang w:val="en-GB" w:eastAsia="hr-HR"/>
              </w:rPr>
              <w:t>.</w:t>
            </w:r>
            <w:r w:rsidRPr="00041197">
              <w:rPr>
                <w:rFonts w:eastAsia="Times New Roman"/>
                <w:color w:val="000000"/>
                <w:sz w:val="24"/>
                <w:szCs w:val="24"/>
                <w:lang w:val="en-GB" w:eastAsia="hr-HR"/>
              </w:rPr>
              <w:t>6)</w:t>
            </w:r>
          </w:p>
        </w:tc>
        <w:tc>
          <w:tcPr>
            <w:tcW w:w="2279" w:type="dxa"/>
            <w:tcBorders>
              <w:left w:val="single" w:sz="4" w:space="0" w:color="A6A6A6" w:themeColor="background1" w:themeShade="A6"/>
            </w:tcBorders>
            <w:vAlign w:val="bottom"/>
          </w:tcPr>
          <w:p w14:paraId="0692F882" w14:textId="5D19DA3C" w:rsidR="00402103" w:rsidRPr="00041197" w:rsidRDefault="00402103" w:rsidP="00402103">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lang w:val="en-GB" w:eastAsia="hr-HR"/>
              </w:rPr>
            </w:pPr>
            <w:r w:rsidRPr="00041197">
              <w:rPr>
                <w:rFonts w:ascii="Calibri" w:eastAsia="Times New Roman" w:hAnsi="Calibri" w:cs="Times New Roman"/>
                <w:color w:val="000000"/>
                <w:sz w:val="24"/>
                <w:szCs w:val="24"/>
                <w:lang w:val="en-GB" w:eastAsia="hr-HR"/>
              </w:rPr>
              <w:t>(155</w:t>
            </w:r>
            <w:r>
              <w:rPr>
                <w:rFonts w:ascii="Calibri" w:eastAsia="Times New Roman" w:hAnsi="Calibri" w:cs="Times New Roman"/>
                <w:color w:val="000000"/>
                <w:sz w:val="24"/>
                <w:szCs w:val="24"/>
                <w:lang w:val="en-GB" w:eastAsia="hr-HR"/>
              </w:rPr>
              <w:t>.</w:t>
            </w:r>
            <w:r w:rsidRPr="00041197">
              <w:rPr>
                <w:rFonts w:ascii="Calibri" w:eastAsia="Times New Roman" w:hAnsi="Calibri" w:cs="Times New Roman"/>
                <w:color w:val="000000"/>
                <w:sz w:val="24"/>
                <w:szCs w:val="24"/>
                <w:lang w:val="en-GB" w:eastAsia="hr-HR"/>
              </w:rPr>
              <w:t>8)</w:t>
            </w:r>
          </w:p>
        </w:tc>
        <w:tc>
          <w:tcPr>
            <w:tcW w:w="2279" w:type="dxa"/>
            <w:tcBorders>
              <w:top w:val="single" w:sz="4" w:space="0" w:color="999999" w:themeColor="text1" w:themeTint="66"/>
              <w:left w:val="single" w:sz="4" w:space="0" w:color="999999" w:themeColor="text1" w:themeTint="66"/>
              <w:bottom w:val="single" w:sz="4" w:space="0" w:color="999999" w:themeColor="text1" w:themeTint="66"/>
            </w:tcBorders>
            <w:vAlign w:val="bottom"/>
          </w:tcPr>
          <w:p w14:paraId="4F544B1F" w14:textId="2100D299" w:rsidR="00402103" w:rsidRPr="00041197" w:rsidRDefault="00402103" w:rsidP="00402103">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4"/>
                <w:szCs w:val="24"/>
                <w:lang w:val="en-GB" w:eastAsia="hr-HR"/>
              </w:rPr>
            </w:pPr>
            <w:r>
              <w:rPr>
                <w:rFonts w:ascii="Calibri" w:eastAsia="Times New Roman" w:hAnsi="Calibri" w:cs="Times New Roman"/>
                <w:color w:val="000000"/>
                <w:sz w:val="24"/>
                <w:szCs w:val="24"/>
                <w:lang w:eastAsia="hr-HR"/>
              </w:rPr>
              <w:t>(</w:t>
            </w:r>
            <w:r w:rsidRPr="006B3473">
              <w:rPr>
                <w:rFonts w:ascii="Calibri" w:eastAsia="Times New Roman" w:hAnsi="Calibri" w:cs="Times New Roman"/>
                <w:color w:val="000000"/>
                <w:sz w:val="24"/>
                <w:szCs w:val="24"/>
                <w:lang w:eastAsia="hr-HR"/>
              </w:rPr>
              <w:t>148</w:t>
            </w:r>
            <w:r>
              <w:rPr>
                <w:rFonts w:ascii="Calibri" w:eastAsia="Times New Roman" w:hAnsi="Calibri" w:cs="Times New Roman"/>
                <w:color w:val="000000"/>
                <w:sz w:val="24"/>
                <w:szCs w:val="24"/>
                <w:lang w:eastAsia="hr-HR"/>
              </w:rPr>
              <w:t>.</w:t>
            </w:r>
            <w:r w:rsidRPr="006B3473">
              <w:rPr>
                <w:rFonts w:ascii="Calibri" w:eastAsia="Times New Roman" w:hAnsi="Calibri" w:cs="Times New Roman"/>
                <w:color w:val="000000"/>
                <w:sz w:val="24"/>
                <w:szCs w:val="24"/>
                <w:lang w:eastAsia="hr-HR"/>
              </w:rPr>
              <w:t>1</w:t>
            </w:r>
            <w:r>
              <w:rPr>
                <w:rFonts w:ascii="Calibri" w:eastAsia="Times New Roman" w:hAnsi="Calibri" w:cs="Times New Roman"/>
                <w:color w:val="000000"/>
                <w:sz w:val="24"/>
                <w:szCs w:val="24"/>
                <w:lang w:eastAsia="hr-HR"/>
              </w:rPr>
              <w:t>)</w:t>
            </w:r>
          </w:p>
        </w:tc>
      </w:tr>
      <w:tr w:rsidR="00402103" w:rsidRPr="00041197" w14:paraId="6DCC78EF" w14:textId="77777777" w:rsidTr="008D4502">
        <w:trPr>
          <w:trHeight w:val="270"/>
        </w:trPr>
        <w:tc>
          <w:tcPr>
            <w:cnfStyle w:val="001000000000" w:firstRow="0" w:lastRow="0" w:firstColumn="1" w:lastColumn="0" w:oddVBand="0" w:evenVBand="0" w:oddHBand="0" w:evenHBand="0" w:firstRowFirstColumn="0" w:firstRowLastColumn="0" w:lastRowFirstColumn="0" w:lastRowLastColumn="0"/>
            <w:tcW w:w="2263" w:type="dxa"/>
            <w:hideMark/>
          </w:tcPr>
          <w:p w14:paraId="05B95BC1" w14:textId="77777777" w:rsidR="00402103" w:rsidRPr="00041197" w:rsidRDefault="00402103" w:rsidP="00402103">
            <w:pPr>
              <w:rPr>
                <w:rFonts w:ascii="Calibri" w:eastAsia="Times New Roman" w:hAnsi="Calibri" w:cs="Times New Roman"/>
                <w:b w:val="0"/>
                <w:color w:val="000000"/>
                <w:sz w:val="24"/>
                <w:szCs w:val="24"/>
                <w:lang w:val="en-GB" w:eastAsia="hr-HR"/>
              </w:rPr>
            </w:pPr>
            <w:r>
              <w:rPr>
                <w:rFonts w:ascii="Calibri" w:eastAsia="Times New Roman" w:hAnsi="Calibri" w:cs="Times New Roman"/>
                <w:color w:val="000000"/>
                <w:sz w:val="24"/>
                <w:szCs w:val="24"/>
                <w:lang w:val="en-GB" w:eastAsia="hr-HR"/>
              </w:rPr>
              <w:t>Profit</w:t>
            </w:r>
          </w:p>
        </w:tc>
        <w:tc>
          <w:tcPr>
            <w:tcW w:w="2279" w:type="dxa"/>
            <w:tcBorders>
              <w:top w:val="nil"/>
              <w:left w:val="nil"/>
              <w:bottom w:val="single" w:sz="8" w:space="0" w:color="999999"/>
              <w:right w:val="single" w:sz="8" w:space="0" w:color="999999"/>
            </w:tcBorders>
            <w:shd w:val="clear" w:color="auto" w:fill="FFFFFF"/>
            <w:vAlign w:val="bottom"/>
          </w:tcPr>
          <w:p w14:paraId="3301B915" w14:textId="07C346CB" w:rsidR="00402103" w:rsidRPr="00041197" w:rsidRDefault="00402103" w:rsidP="00402103">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4"/>
                <w:szCs w:val="24"/>
                <w:lang w:val="en-GB" w:eastAsia="hr-HR"/>
              </w:rPr>
            </w:pPr>
            <w:r w:rsidRPr="00041197">
              <w:rPr>
                <w:rFonts w:eastAsia="Times New Roman"/>
                <w:color w:val="000000"/>
                <w:sz w:val="24"/>
                <w:szCs w:val="24"/>
                <w:lang w:val="en-GB" w:eastAsia="hr-HR"/>
              </w:rPr>
              <w:t>75</w:t>
            </w:r>
            <w:r>
              <w:rPr>
                <w:rFonts w:eastAsia="Times New Roman"/>
                <w:color w:val="000000"/>
                <w:sz w:val="24"/>
                <w:szCs w:val="24"/>
                <w:lang w:val="en-GB" w:eastAsia="hr-HR"/>
              </w:rPr>
              <w:t>.</w:t>
            </w:r>
            <w:r w:rsidRPr="00041197">
              <w:rPr>
                <w:rFonts w:eastAsia="Times New Roman"/>
                <w:color w:val="000000"/>
                <w:sz w:val="24"/>
                <w:szCs w:val="24"/>
                <w:lang w:val="en-GB" w:eastAsia="hr-HR"/>
              </w:rPr>
              <w:t>0</w:t>
            </w:r>
          </w:p>
        </w:tc>
        <w:tc>
          <w:tcPr>
            <w:tcW w:w="2279" w:type="dxa"/>
            <w:tcBorders>
              <w:left w:val="single" w:sz="4" w:space="0" w:color="A6A6A6" w:themeColor="background1" w:themeShade="A6"/>
            </w:tcBorders>
            <w:vAlign w:val="bottom"/>
          </w:tcPr>
          <w:p w14:paraId="6426166B" w14:textId="5C4E4168" w:rsidR="00402103" w:rsidRPr="00041197" w:rsidRDefault="00402103" w:rsidP="00402103">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lang w:val="en-GB" w:eastAsia="hr-HR"/>
              </w:rPr>
            </w:pPr>
            <w:r w:rsidRPr="00041197">
              <w:rPr>
                <w:rFonts w:ascii="Calibri" w:eastAsia="Times New Roman" w:hAnsi="Calibri" w:cs="Times New Roman"/>
                <w:color w:val="000000"/>
                <w:sz w:val="24"/>
                <w:szCs w:val="24"/>
                <w:lang w:val="en-GB" w:eastAsia="hr-HR"/>
              </w:rPr>
              <w:t>21</w:t>
            </w:r>
            <w:r>
              <w:rPr>
                <w:rFonts w:ascii="Calibri" w:eastAsia="Times New Roman" w:hAnsi="Calibri" w:cs="Times New Roman"/>
                <w:color w:val="000000"/>
                <w:sz w:val="24"/>
                <w:szCs w:val="24"/>
                <w:lang w:val="en-GB" w:eastAsia="hr-HR"/>
              </w:rPr>
              <w:t>.</w:t>
            </w:r>
            <w:r w:rsidRPr="00041197">
              <w:rPr>
                <w:rFonts w:ascii="Calibri" w:eastAsia="Times New Roman" w:hAnsi="Calibri" w:cs="Times New Roman"/>
                <w:color w:val="000000"/>
                <w:sz w:val="24"/>
                <w:szCs w:val="24"/>
                <w:lang w:val="en-GB" w:eastAsia="hr-HR"/>
              </w:rPr>
              <w:t>6</w:t>
            </w:r>
          </w:p>
        </w:tc>
        <w:tc>
          <w:tcPr>
            <w:tcW w:w="2279" w:type="dxa"/>
            <w:tcBorders>
              <w:top w:val="single" w:sz="4" w:space="0" w:color="999999" w:themeColor="text1" w:themeTint="66"/>
              <w:left w:val="single" w:sz="4" w:space="0" w:color="999999" w:themeColor="text1" w:themeTint="66"/>
              <w:bottom w:val="single" w:sz="4" w:space="0" w:color="999999" w:themeColor="text1" w:themeTint="66"/>
            </w:tcBorders>
            <w:vAlign w:val="bottom"/>
          </w:tcPr>
          <w:p w14:paraId="24370521" w14:textId="73535318" w:rsidR="00402103" w:rsidRPr="00041197" w:rsidRDefault="00402103" w:rsidP="00402103">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4"/>
                <w:szCs w:val="24"/>
                <w:lang w:val="en-GB" w:eastAsia="hr-HR"/>
              </w:rPr>
            </w:pPr>
            <w:r w:rsidRPr="006B3473">
              <w:rPr>
                <w:rFonts w:ascii="Calibri" w:eastAsia="Times New Roman" w:hAnsi="Calibri" w:cs="Times New Roman"/>
                <w:color w:val="000000"/>
                <w:sz w:val="24"/>
                <w:szCs w:val="24"/>
                <w:lang w:eastAsia="hr-HR"/>
              </w:rPr>
              <w:t>22</w:t>
            </w:r>
            <w:r>
              <w:rPr>
                <w:rFonts w:ascii="Calibri" w:eastAsia="Times New Roman" w:hAnsi="Calibri" w:cs="Times New Roman"/>
                <w:color w:val="000000"/>
                <w:sz w:val="24"/>
                <w:szCs w:val="24"/>
                <w:lang w:eastAsia="hr-HR"/>
              </w:rPr>
              <w:t>.</w:t>
            </w:r>
            <w:r w:rsidRPr="006B3473">
              <w:rPr>
                <w:rFonts w:ascii="Calibri" w:eastAsia="Times New Roman" w:hAnsi="Calibri" w:cs="Times New Roman"/>
                <w:color w:val="000000"/>
                <w:sz w:val="24"/>
                <w:szCs w:val="24"/>
                <w:lang w:eastAsia="hr-HR"/>
              </w:rPr>
              <w:t>2</w:t>
            </w:r>
          </w:p>
        </w:tc>
      </w:tr>
      <w:tr w:rsidR="00402103" w:rsidRPr="00041197" w14:paraId="3F07B508" w14:textId="77777777" w:rsidTr="008D4502">
        <w:trPr>
          <w:trHeight w:val="270"/>
        </w:trPr>
        <w:tc>
          <w:tcPr>
            <w:cnfStyle w:val="001000000000" w:firstRow="0" w:lastRow="0" w:firstColumn="1" w:lastColumn="0" w:oddVBand="0" w:evenVBand="0" w:oddHBand="0" w:evenHBand="0" w:firstRowFirstColumn="0" w:firstRowLastColumn="0" w:lastRowFirstColumn="0" w:lastRowLastColumn="0"/>
            <w:tcW w:w="2263" w:type="dxa"/>
            <w:hideMark/>
          </w:tcPr>
          <w:p w14:paraId="584860A2" w14:textId="77777777" w:rsidR="00402103" w:rsidRPr="00041197" w:rsidRDefault="00402103" w:rsidP="00402103">
            <w:pPr>
              <w:rPr>
                <w:rFonts w:ascii="Calibri" w:eastAsia="Times New Roman" w:hAnsi="Calibri" w:cs="Times New Roman"/>
                <w:b w:val="0"/>
                <w:color w:val="000000"/>
                <w:sz w:val="24"/>
                <w:szCs w:val="24"/>
                <w:lang w:val="en-GB" w:eastAsia="hr-HR"/>
              </w:rPr>
            </w:pPr>
            <w:r w:rsidRPr="00041197">
              <w:rPr>
                <w:rFonts w:ascii="Calibri" w:eastAsia="Times New Roman" w:hAnsi="Calibri" w:cs="Times New Roman"/>
                <w:color w:val="000000"/>
                <w:sz w:val="24"/>
                <w:szCs w:val="24"/>
                <w:lang w:val="en-GB" w:eastAsia="hr-HR"/>
              </w:rPr>
              <w:t> </w:t>
            </w:r>
          </w:p>
        </w:tc>
        <w:tc>
          <w:tcPr>
            <w:tcW w:w="2279" w:type="dxa"/>
            <w:tcBorders>
              <w:top w:val="nil"/>
              <w:left w:val="nil"/>
              <w:bottom w:val="single" w:sz="8" w:space="0" w:color="999999"/>
              <w:right w:val="single" w:sz="8" w:space="0" w:color="999999"/>
            </w:tcBorders>
            <w:shd w:val="clear" w:color="auto" w:fill="FFFFFF"/>
            <w:vAlign w:val="bottom"/>
          </w:tcPr>
          <w:p w14:paraId="6BB011C6" w14:textId="77777777" w:rsidR="00402103" w:rsidRPr="00041197" w:rsidRDefault="00402103" w:rsidP="00402103">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4"/>
                <w:szCs w:val="24"/>
                <w:lang w:val="en-GB" w:eastAsia="hr-HR"/>
              </w:rPr>
            </w:pPr>
          </w:p>
        </w:tc>
        <w:tc>
          <w:tcPr>
            <w:tcW w:w="2279" w:type="dxa"/>
            <w:tcBorders>
              <w:left w:val="single" w:sz="4" w:space="0" w:color="A6A6A6" w:themeColor="background1" w:themeShade="A6"/>
            </w:tcBorders>
            <w:vAlign w:val="bottom"/>
          </w:tcPr>
          <w:p w14:paraId="5CA6BA7C" w14:textId="77777777" w:rsidR="00402103" w:rsidRPr="00041197" w:rsidRDefault="00402103" w:rsidP="00402103">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lang w:val="en-GB" w:eastAsia="hr-HR"/>
              </w:rPr>
            </w:pPr>
          </w:p>
        </w:tc>
        <w:tc>
          <w:tcPr>
            <w:tcW w:w="2279" w:type="dxa"/>
            <w:tcBorders>
              <w:top w:val="single" w:sz="4" w:space="0" w:color="999999" w:themeColor="text1" w:themeTint="66"/>
              <w:left w:val="single" w:sz="4" w:space="0" w:color="999999" w:themeColor="text1" w:themeTint="66"/>
              <w:bottom w:val="single" w:sz="4" w:space="0" w:color="999999" w:themeColor="text1" w:themeTint="66"/>
            </w:tcBorders>
            <w:vAlign w:val="bottom"/>
          </w:tcPr>
          <w:p w14:paraId="034D1412" w14:textId="77777777" w:rsidR="00402103" w:rsidRPr="00041197" w:rsidRDefault="00402103" w:rsidP="00402103">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4"/>
                <w:szCs w:val="24"/>
                <w:lang w:val="en-GB" w:eastAsia="hr-HR"/>
              </w:rPr>
            </w:pPr>
          </w:p>
        </w:tc>
      </w:tr>
      <w:tr w:rsidR="00402103" w:rsidRPr="00041197" w14:paraId="7243E433" w14:textId="77777777" w:rsidTr="008D4502">
        <w:trPr>
          <w:trHeight w:val="270"/>
        </w:trPr>
        <w:tc>
          <w:tcPr>
            <w:cnfStyle w:val="001000000000" w:firstRow="0" w:lastRow="0" w:firstColumn="1" w:lastColumn="0" w:oddVBand="0" w:evenVBand="0" w:oddHBand="0" w:evenHBand="0" w:firstRowFirstColumn="0" w:firstRowLastColumn="0" w:lastRowFirstColumn="0" w:lastRowLastColumn="0"/>
            <w:tcW w:w="2263" w:type="dxa"/>
            <w:hideMark/>
          </w:tcPr>
          <w:p w14:paraId="25B8BA1E" w14:textId="77777777" w:rsidR="00402103" w:rsidRPr="00041197" w:rsidRDefault="00402103" w:rsidP="00402103">
            <w:pPr>
              <w:rPr>
                <w:rFonts w:ascii="Calibri" w:eastAsia="Times New Roman" w:hAnsi="Calibri" w:cs="Times New Roman"/>
                <w:b w:val="0"/>
                <w:color w:val="000000"/>
                <w:sz w:val="24"/>
                <w:szCs w:val="24"/>
                <w:lang w:val="en-GB" w:eastAsia="hr-HR"/>
              </w:rPr>
            </w:pPr>
            <w:r>
              <w:rPr>
                <w:rFonts w:ascii="Calibri" w:eastAsia="Times New Roman" w:hAnsi="Calibri" w:cs="Times New Roman"/>
                <w:color w:val="000000"/>
                <w:sz w:val="24"/>
                <w:szCs w:val="24"/>
                <w:lang w:val="en-GB" w:eastAsia="hr-HR"/>
              </w:rPr>
              <w:t>Interest income</w:t>
            </w:r>
          </w:p>
        </w:tc>
        <w:tc>
          <w:tcPr>
            <w:tcW w:w="2279" w:type="dxa"/>
            <w:tcBorders>
              <w:top w:val="nil"/>
              <w:left w:val="nil"/>
              <w:bottom w:val="single" w:sz="8" w:space="0" w:color="999999"/>
              <w:right w:val="single" w:sz="8" w:space="0" w:color="999999"/>
            </w:tcBorders>
            <w:vAlign w:val="bottom"/>
          </w:tcPr>
          <w:p w14:paraId="3AC8E2F2" w14:textId="6B4162DB" w:rsidR="00402103" w:rsidRPr="00041197" w:rsidRDefault="00402103" w:rsidP="00402103">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4"/>
                <w:szCs w:val="24"/>
                <w:lang w:val="en-GB" w:eastAsia="hr-HR"/>
              </w:rPr>
            </w:pPr>
            <w:r w:rsidRPr="00041197">
              <w:rPr>
                <w:rFonts w:eastAsia="Times New Roman"/>
                <w:color w:val="000000"/>
                <w:sz w:val="24"/>
                <w:szCs w:val="24"/>
                <w:lang w:val="en-GB" w:eastAsia="hr-HR"/>
              </w:rPr>
              <w:t>190</w:t>
            </w:r>
            <w:r>
              <w:rPr>
                <w:rFonts w:eastAsia="Times New Roman"/>
                <w:color w:val="000000"/>
                <w:sz w:val="24"/>
                <w:szCs w:val="24"/>
                <w:lang w:val="en-GB" w:eastAsia="hr-HR"/>
              </w:rPr>
              <w:t>.</w:t>
            </w:r>
            <w:r w:rsidRPr="00041197">
              <w:rPr>
                <w:rFonts w:eastAsia="Times New Roman"/>
                <w:color w:val="000000"/>
                <w:sz w:val="24"/>
                <w:szCs w:val="24"/>
                <w:lang w:val="en-GB" w:eastAsia="hr-HR"/>
              </w:rPr>
              <w:t>9</w:t>
            </w:r>
          </w:p>
        </w:tc>
        <w:tc>
          <w:tcPr>
            <w:tcW w:w="2279" w:type="dxa"/>
            <w:tcBorders>
              <w:left w:val="single" w:sz="4" w:space="0" w:color="A6A6A6" w:themeColor="background1" w:themeShade="A6"/>
            </w:tcBorders>
            <w:vAlign w:val="bottom"/>
          </w:tcPr>
          <w:p w14:paraId="47B733C8" w14:textId="5CBF40A0" w:rsidR="00402103" w:rsidRPr="00041197" w:rsidRDefault="00402103" w:rsidP="00402103">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lang w:val="en-GB" w:eastAsia="hr-HR"/>
              </w:rPr>
            </w:pPr>
            <w:r w:rsidRPr="00041197">
              <w:rPr>
                <w:rFonts w:ascii="Calibri" w:eastAsia="Times New Roman" w:hAnsi="Calibri" w:cs="Times New Roman"/>
                <w:color w:val="000000"/>
                <w:sz w:val="24"/>
                <w:szCs w:val="24"/>
                <w:lang w:val="en-GB" w:eastAsia="hr-HR"/>
              </w:rPr>
              <w:t>163</w:t>
            </w:r>
            <w:r>
              <w:rPr>
                <w:rFonts w:ascii="Calibri" w:eastAsia="Times New Roman" w:hAnsi="Calibri" w:cs="Times New Roman"/>
                <w:color w:val="000000"/>
                <w:sz w:val="24"/>
                <w:szCs w:val="24"/>
                <w:lang w:val="en-GB" w:eastAsia="hr-HR"/>
              </w:rPr>
              <w:t>.</w:t>
            </w:r>
            <w:r w:rsidRPr="00041197">
              <w:rPr>
                <w:rFonts w:ascii="Calibri" w:eastAsia="Times New Roman" w:hAnsi="Calibri" w:cs="Times New Roman"/>
                <w:color w:val="000000"/>
                <w:sz w:val="24"/>
                <w:szCs w:val="24"/>
                <w:lang w:val="en-GB" w:eastAsia="hr-HR"/>
              </w:rPr>
              <w:t>3</w:t>
            </w:r>
          </w:p>
        </w:tc>
        <w:tc>
          <w:tcPr>
            <w:tcW w:w="2279" w:type="dxa"/>
            <w:tcBorders>
              <w:top w:val="single" w:sz="4" w:space="0" w:color="999999" w:themeColor="text1" w:themeTint="66"/>
              <w:left w:val="single" w:sz="4" w:space="0" w:color="999999" w:themeColor="text1" w:themeTint="66"/>
              <w:bottom w:val="single" w:sz="4" w:space="0" w:color="999999" w:themeColor="text1" w:themeTint="66"/>
            </w:tcBorders>
            <w:vAlign w:val="bottom"/>
          </w:tcPr>
          <w:p w14:paraId="5A4A5FA3" w14:textId="615E5661" w:rsidR="00402103" w:rsidRPr="00041197" w:rsidRDefault="00402103" w:rsidP="00402103">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4"/>
                <w:szCs w:val="24"/>
                <w:lang w:val="en-GB" w:eastAsia="hr-HR"/>
              </w:rPr>
            </w:pPr>
            <w:r w:rsidRPr="006B3473">
              <w:rPr>
                <w:rFonts w:ascii="Calibri" w:eastAsia="Times New Roman" w:hAnsi="Calibri" w:cs="Times New Roman"/>
                <w:color w:val="000000"/>
                <w:sz w:val="24"/>
                <w:szCs w:val="24"/>
                <w:lang w:eastAsia="hr-HR"/>
              </w:rPr>
              <w:t>160</w:t>
            </w:r>
            <w:r>
              <w:rPr>
                <w:rFonts w:ascii="Calibri" w:eastAsia="Times New Roman" w:hAnsi="Calibri" w:cs="Times New Roman"/>
                <w:color w:val="000000"/>
                <w:sz w:val="24"/>
                <w:szCs w:val="24"/>
                <w:lang w:eastAsia="hr-HR"/>
              </w:rPr>
              <w:t>.</w:t>
            </w:r>
            <w:r w:rsidRPr="006B3473">
              <w:rPr>
                <w:rFonts w:ascii="Calibri" w:eastAsia="Times New Roman" w:hAnsi="Calibri" w:cs="Times New Roman"/>
                <w:color w:val="000000"/>
                <w:sz w:val="24"/>
                <w:szCs w:val="24"/>
                <w:lang w:eastAsia="hr-HR"/>
              </w:rPr>
              <w:t>5</w:t>
            </w:r>
          </w:p>
        </w:tc>
      </w:tr>
      <w:tr w:rsidR="00402103" w:rsidRPr="00041197" w14:paraId="08BF9243" w14:textId="77777777" w:rsidTr="008D4502">
        <w:trPr>
          <w:trHeight w:val="270"/>
        </w:trPr>
        <w:tc>
          <w:tcPr>
            <w:cnfStyle w:val="001000000000" w:firstRow="0" w:lastRow="0" w:firstColumn="1" w:lastColumn="0" w:oddVBand="0" w:evenVBand="0" w:oddHBand="0" w:evenHBand="0" w:firstRowFirstColumn="0" w:firstRowLastColumn="0" w:lastRowFirstColumn="0" w:lastRowLastColumn="0"/>
            <w:tcW w:w="2263" w:type="dxa"/>
            <w:hideMark/>
          </w:tcPr>
          <w:p w14:paraId="31967FA0" w14:textId="77777777" w:rsidR="00402103" w:rsidRPr="00041197" w:rsidRDefault="00402103" w:rsidP="00402103">
            <w:pPr>
              <w:rPr>
                <w:rFonts w:ascii="Calibri" w:eastAsia="Times New Roman" w:hAnsi="Calibri" w:cs="Times New Roman"/>
                <w:b w:val="0"/>
                <w:color w:val="000000"/>
                <w:sz w:val="24"/>
                <w:szCs w:val="24"/>
                <w:lang w:val="en-GB" w:eastAsia="hr-HR"/>
              </w:rPr>
            </w:pPr>
            <w:r>
              <w:rPr>
                <w:rFonts w:ascii="Calibri" w:eastAsia="Times New Roman" w:hAnsi="Calibri" w:cs="Times New Roman"/>
                <w:color w:val="000000"/>
                <w:sz w:val="24"/>
                <w:szCs w:val="24"/>
                <w:lang w:val="en-GB" w:eastAsia="hr-HR"/>
              </w:rPr>
              <w:t>Interest expense</w:t>
            </w:r>
          </w:p>
        </w:tc>
        <w:tc>
          <w:tcPr>
            <w:tcW w:w="2279" w:type="dxa"/>
            <w:tcBorders>
              <w:top w:val="nil"/>
              <w:left w:val="nil"/>
              <w:bottom w:val="single" w:sz="8" w:space="0" w:color="808080"/>
              <w:right w:val="single" w:sz="8" w:space="0" w:color="999999"/>
            </w:tcBorders>
            <w:shd w:val="clear" w:color="auto" w:fill="FFFFFF"/>
            <w:vAlign w:val="bottom"/>
          </w:tcPr>
          <w:p w14:paraId="75AAE3C8" w14:textId="33565C04" w:rsidR="00402103" w:rsidRPr="00041197" w:rsidRDefault="00402103" w:rsidP="00402103">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4"/>
                <w:szCs w:val="24"/>
                <w:lang w:val="en-GB" w:eastAsia="hr-HR"/>
              </w:rPr>
            </w:pPr>
            <w:r w:rsidRPr="00041197">
              <w:rPr>
                <w:rFonts w:eastAsia="Times New Roman"/>
                <w:color w:val="000000"/>
                <w:sz w:val="24"/>
                <w:szCs w:val="24"/>
                <w:lang w:val="en-GB" w:eastAsia="hr-HR"/>
              </w:rPr>
              <w:t>(84</w:t>
            </w:r>
            <w:r>
              <w:rPr>
                <w:rFonts w:eastAsia="Times New Roman"/>
                <w:color w:val="000000"/>
                <w:sz w:val="24"/>
                <w:szCs w:val="24"/>
                <w:lang w:val="en-GB" w:eastAsia="hr-HR"/>
              </w:rPr>
              <w:t>.</w:t>
            </w:r>
            <w:r w:rsidRPr="00041197">
              <w:rPr>
                <w:rFonts w:eastAsia="Times New Roman"/>
                <w:color w:val="000000"/>
                <w:sz w:val="24"/>
                <w:szCs w:val="24"/>
                <w:lang w:val="en-GB" w:eastAsia="hr-HR"/>
              </w:rPr>
              <w:t>5)</w:t>
            </w:r>
          </w:p>
        </w:tc>
        <w:tc>
          <w:tcPr>
            <w:tcW w:w="2279" w:type="dxa"/>
            <w:tcBorders>
              <w:left w:val="single" w:sz="4" w:space="0" w:color="A6A6A6" w:themeColor="background1" w:themeShade="A6"/>
            </w:tcBorders>
            <w:vAlign w:val="bottom"/>
          </w:tcPr>
          <w:p w14:paraId="37F15483" w14:textId="20DB8809" w:rsidR="00402103" w:rsidRPr="00041197" w:rsidRDefault="00402103" w:rsidP="00402103">
            <w:pPr>
              <w:jc w:val="right"/>
              <w:cnfStyle w:val="000000000000" w:firstRow="0" w:lastRow="0" w:firstColumn="0" w:lastColumn="0" w:oddVBand="0" w:evenVBand="0" w:oddHBand="0" w:evenHBand="0" w:firstRowFirstColumn="0" w:firstRowLastColumn="0" w:lastRowFirstColumn="0" w:lastRowLastColumn="0"/>
              <w:rPr>
                <w:rFonts w:eastAsia="Times New Roman"/>
                <w:color w:val="000000"/>
                <w:sz w:val="24"/>
                <w:szCs w:val="24"/>
                <w:lang w:val="en-GB" w:eastAsia="hr-HR"/>
              </w:rPr>
            </w:pPr>
            <w:r w:rsidRPr="00041197">
              <w:rPr>
                <w:rFonts w:ascii="Calibri" w:eastAsia="Times New Roman" w:hAnsi="Calibri" w:cs="Times New Roman"/>
                <w:color w:val="000000"/>
                <w:sz w:val="24"/>
                <w:szCs w:val="24"/>
                <w:lang w:val="en-GB" w:eastAsia="hr-HR"/>
              </w:rPr>
              <w:t>(81</w:t>
            </w:r>
            <w:r>
              <w:rPr>
                <w:rFonts w:ascii="Calibri" w:eastAsia="Times New Roman" w:hAnsi="Calibri" w:cs="Times New Roman"/>
                <w:color w:val="000000"/>
                <w:sz w:val="24"/>
                <w:szCs w:val="24"/>
                <w:lang w:val="en-GB" w:eastAsia="hr-HR"/>
              </w:rPr>
              <w:t>.</w:t>
            </w:r>
            <w:r w:rsidRPr="00041197">
              <w:rPr>
                <w:rFonts w:ascii="Calibri" w:eastAsia="Times New Roman" w:hAnsi="Calibri" w:cs="Times New Roman"/>
                <w:color w:val="000000"/>
                <w:sz w:val="24"/>
                <w:szCs w:val="24"/>
                <w:lang w:val="en-GB" w:eastAsia="hr-HR"/>
              </w:rPr>
              <w:t>8)</w:t>
            </w:r>
          </w:p>
        </w:tc>
        <w:tc>
          <w:tcPr>
            <w:tcW w:w="2279" w:type="dxa"/>
            <w:tcBorders>
              <w:top w:val="single" w:sz="4" w:space="0" w:color="999999" w:themeColor="text1" w:themeTint="66"/>
              <w:left w:val="single" w:sz="4" w:space="0" w:color="999999" w:themeColor="text1" w:themeTint="66"/>
              <w:bottom w:val="single" w:sz="4" w:space="0" w:color="999999" w:themeColor="text1" w:themeTint="66"/>
            </w:tcBorders>
            <w:vAlign w:val="bottom"/>
          </w:tcPr>
          <w:p w14:paraId="4043EBF3" w14:textId="47E266D3" w:rsidR="00402103" w:rsidRPr="00041197" w:rsidRDefault="00402103" w:rsidP="00402103">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4"/>
                <w:szCs w:val="24"/>
                <w:lang w:val="en-GB" w:eastAsia="hr-HR"/>
              </w:rPr>
            </w:pPr>
            <w:r>
              <w:rPr>
                <w:rFonts w:ascii="Calibri" w:eastAsia="Times New Roman" w:hAnsi="Calibri" w:cs="Times New Roman"/>
                <w:color w:val="000000"/>
                <w:sz w:val="24"/>
                <w:szCs w:val="24"/>
                <w:lang w:eastAsia="hr-HR"/>
              </w:rPr>
              <w:t>(</w:t>
            </w:r>
            <w:r w:rsidRPr="006B3473">
              <w:rPr>
                <w:rFonts w:ascii="Calibri" w:eastAsia="Times New Roman" w:hAnsi="Calibri" w:cs="Times New Roman"/>
                <w:color w:val="000000"/>
                <w:sz w:val="24"/>
                <w:szCs w:val="24"/>
                <w:lang w:eastAsia="hr-HR"/>
              </w:rPr>
              <w:t>72</w:t>
            </w:r>
            <w:r>
              <w:rPr>
                <w:rFonts w:ascii="Calibri" w:eastAsia="Times New Roman" w:hAnsi="Calibri" w:cs="Times New Roman"/>
                <w:color w:val="000000"/>
                <w:sz w:val="24"/>
                <w:szCs w:val="24"/>
                <w:lang w:eastAsia="hr-HR"/>
              </w:rPr>
              <w:t>.</w:t>
            </w:r>
            <w:r w:rsidRPr="006B3473">
              <w:rPr>
                <w:rFonts w:ascii="Calibri" w:eastAsia="Times New Roman" w:hAnsi="Calibri" w:cs="Times New Roman"/>
                <w:color w:val="000000"/>
                <w:sz w:val="24"/>
                <w:szCs w:val="24"/>
                <w:lang w:eastAsia="hr-HR"/>
              </w:rPr>
              <w:t>8</w:t>
            </w:r>
            <w:r>
              <w:rPr>
                <w:rFonts w:ascii="Calibri" w:eastAsia="Times New Roman" w:hAnsi="Calibri" w:cs="Times New Roman"/>
                <w:color w:val="000000"/>
                <w:sz w:val="24"/>
                <w:szCs w:val="24"/>
                <w:lang w:eastAsia="hr-HR"/>
              </w:rPr>
              <w:t>)</w:t>
            </w:r>
          </w:p>
        </w:tc>
      </w:tr>
      <w:tr w:rsidR="00402103" w:rsidRPr="00041197" w14:paraId="0D1331D5" w14:textId="77777777" w:rsidTr="008D4502">
        <w:trPr>
          <w:trHeight w:hRule="exact" w:val="324"/>
        </w:trPr>
        <w:tc>
          <w:tcPr>
            <w:cnfStyle w:val="001000000000" w:firstRow="0" w:lastRow="0" w:firstColumn="1" w:lastColumn="0" w:oddVBand="0" w:evenVBand="0" w:oddHBand="0" w:evenHBand="0" w:firstRowFirstColumn="0" w:firstRowLastColumn="0" w:lastRowFirstColumn="0" w:lastRowLastColumn="0"/>
            <w:tcW w:w="2263" w:type="dxa"/>
            <w:vAlign w:val="bottom"/>
            <w:hideMark/>
          </w:tcPr>
          <w:p w14:paraId="385AC4AB" w14:textId="77777777" w:rsidR="00402103" w:rsidRPr="00041197" w:rsidRDefault="00402103" w:rsidP="00402103">
            <w:pPr>
              <w:rPr>
                <w:rFonts w:ascii="Calibri" w:eastAsia="Times New Roman" w:hAnsi="Calibri" w:cs="Times New Roman"/>
                <w:b w:val="0"/>
                <w:color w:val="000000"/>
                <w:sz w:val="24"/>
                <w:szCs w:val="24"/>
                <w:lang w:val="en-GB" w:eastAsia="hr-HR"/>
              </w:rPr>
            </w:pPr>
            <w:r w:rsidRPr="00041197">
              <w:rPr>
                <w:rFonts w:ascii="Calibri" w:eastAsia="Times New Roman" w:hAnsi="Calibri" w:cs="Times New Roman"/>
                <w:color w:val="000000"/>
                <w:sz w:val="24"/>
                <w:szCs w:val="24"/>
                <w:lang w:val="en-GB" w:eastAsia="hr-HR"/>
              </w:rPr>
              <w:t>Net</w:t>
            </w:r>
            <w:r>
              <w:rPr>
                <w:rFonts w:ascii="Calibri" w:eastAsia="Times New Roman" w:hAnsi="Calibri" w:cs="Times New Roman"/>
                <w:color w:val="000000"/>
                <w:sz w:val="24"/>
                <w:szCs w:val="24"/>
                <w:lang w:val="en-GB" w:eastAsia="hr-HR"/>
              </w:rPr>
              <w:t xml:space="preserve"> interest income</w:t>
            </w:r>
          </w:p>
        </w:tc>
        <w:tc>
          <w:tcPr>
            <w:tcW w:w="2279" w:type="dxa"/>
            <w:tcBorders>
              <w:top w:val="single" w:sz="8" w:space="0" w:color="808080"/>
              <w:left w:val="nil"/>
              <w:bottom w:val="single" w:sz="8" w:space="0" w:color="999999"/>
              <w:right w:val="single" w:sz="8" w:space="0" w:color="999999"/>
            </w:tcBorders>
            <w:shd w:val="clear" w:color="auto" w:fill="FFFFFF"/>
            <w:vAlign w:val="bottom"/>
          </w:tcPr>
          <w:p w14:paraId="0D37B408" w14:textId="5EDF9D64" w:rsidR="00402103" w:rsidRPr="00041197" w:rsidRDefault="00402103" w:rsidP="00402103">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4"/>
                <w:szCs w:val="24"/>
                <w:lang w:val="en-GB" w:eastAsia="hr-HR"/>
              </w:rPr>
            </w:pPr>
            <w:r w:rsidRPr="00041197">
              <w:rPr>
                <w:rFonts w:eastAsia="Times New Roman"/>
                <w:bCs/>
                <w:color w:val="000000"/>
                <w:sz w:val="24"/>
                <w:szCs w:val="24"/>
                <w:lang w:val="en-GB" w:eastAsia="hr-HR"/>
              </w:rPr>
              <w:t>106</w:t>
            </w:r>
            <w:r>
              <w:rPr>
                <w:rFonts w:eastAsia="Times New Roman"/>
                <w:bCs/>
                <w:color w:val="000000"/>
                <w:sz w:val="24"/>
                <w:szCs w:val="24"/>
                <w:lang w:val="en-GB" w:eastAsia="hr-HR"/>
              </w:rPr>
              <w:t>.</w:t>
            </w:r>
            <w:r w:rsidRPr="00041197">
              <w:rPr>
                <w:rFonts w:eastAsia="Times New Roman"/>
                <w:bCs/>
                <w:color w:val="000000"/>
                <w:sz w:val="24"/>
                <w:szCs w:val="24"/>
                <w:lang w:val="en-GB" w:eastAsia="hr-HR"/>
              </w:rPr>
              <w:t>4</w:t>
            </w:r>
          </w:p>
        </w:tc>
        <w:tc>
          <w:tcPr>
            <w:tcW w:w="2279" w:type="dxa"/>
            <w:tcBorders>
              <w:left w:val="single" w:sz="4" w:space="0" w:color="A6A6A6" w:themeColor="background1" w:themeShade="A6"/>
            </w:tcBorders>
            <w:vAlign w:val="bottom"/>
          </w:tcPr>
          <w:p w14:paraId="2D025D91" w14:textId="4F551070" w:rsidR="00402103" w:rsidRPr="00041197" w:rsidRDefault="00402103" w:rsidP="00402103">
            <w:pPr>
              <w:jc w:val="right"/>
              <w:cnfStyle w:val="000000000000" w:firstRow="0" w:lastRow="0" w:firstColumn="0" w:lastColumn="0" w:oddVBand="0" w:evenVBand="0" w:oddHBand="0" w:evenHBand="0" w:firstRowFirstColumn="0" w:firstRowLastColumn="0" w:lastRowFirstColumn="0" w:lastRowLastColumn="0"/>
              <w:rPr>
                <w:rFonts w:eastAsia="Times New Roman"/>
                <w:bCs/>
                <w:color w:val="000000"/>
                <w:sz w:val="24"/>
                <w:szCs w:val="24"/>
                <w:lang w:val="en-GB" w:eastAsia="hr-HR"/>
              </w:rPr>
            </w:pPr>
            <w:r w:rsidRPr="00041197">
              <w:rPr>
                <w:rFonts w:ascii="Calibri" w:eastAsia="Times New Roman" w:hAnsi="Calibri" w:cs="Times New Roman"/>
                <w:color w:val="000000"/>
                <w:sz w:val="24"/>
                <w:szCs w:val="24"/>
                <w:lang w:val="en-GB" w:eastAsia="hr-HR"/>
              </w:rPr>
              <w:t>81</w:t>
            </w:r>
            <w:r>
              <w:rPr>
                <w:rFonts w:ascii="Calibri" w:eastAsia="Times New Roman" w:hAnsi="Calibri" w:cs="Times New Roman"/>
                <w:color w:val="000000"/>
                <w:sz w:val="24"/>
                <w:szCs w:val="24"/>
                <w:lang w:val="en-GB" w:eastAsia="hr-HR"/>
              </w:rPr>
              <w:t>.</w:t>
            </w:r>
            <w:r w:rsidRPr="00041197">
              <w:rPr>
                <w:rFonts w:ascii="Calibri" w:eastAsia="Times New Roman" w:hAnsi="Calibri" w:cs="Times New Roman"/>
                <w:color w:val="000000"/>
                <w:sz w:val="24"/>
                <w:szCs w:val="24"/>
                <w:lang w:val="en-GB" w:eastAsia="hr-HR"/>
              </w:rPr>
              <w:t>5</w:t>
            </w:r>
          </w:p>
        </w:tc>
        <w:tc>
          <w:tcPr>
            <w:tcW w:w="2279" w:type="dxa"/>
            <w:tcBorders>
              <w:top w:val="single" w:sz="4" w:space="0" w:color="999999" w:themeColor="text1" w:themeTint="66"/>
              <w:left w:val="single" w:sz="4" w:space="0" w:color="999999" w:themeColor="text1" w:themeTint="66"/>
              <w:bottom w:val="single" w:sz="4" w:space="0" w:color="999999" w:themeColor="text1" w:themeTint="66"/>
            </w:tcBorders>
            <w:vAlign w:val="bottom"/>
          </w:tcPr>
          <w:p w14:paraId="4ECC422A" w14:textId="44A01C03" w:rsidR="00402103" w:rsidRPr="00041197" w:rsidRDefault="00402103" w:rsidP="00402103">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sz w:val="24"/>
                <w:szCs w:val="24"/>
                <w:lang w:val="en-GB" w:eastAsia="hr-HR"/>
              </w:rPr>
            </w:pPr>
            <w:r w:rsidRPr="006B3473">
              <w:rPr>
                <w:rFonts w:ascii="Calibri" w:eastAsia="Times New Roman" w:hAnsi="Calibri" w:cs="Times New Roman"/>
                <w:color w:val="000000"/>
                <w:sz w:val="24"/>
                <w:szCs w:val="24"/>
                <w:lang w:eastAsia="hr-HR"/>
              </w:rPr>
              <w:t>87</w:t>
            </w:r>
            <w:r>
              <w:rPr>
                <w:rFonts w:ascii="Calibri" w:eastAsia="Times New Roman" w:hAnsi="Calibri" w:cs="Times New Roman"/>
                <w:color w:val="000000"/>
                <w:sz w:val="24"/>
                <w:szCs w:val="24"/>
                <w:lang w:eastAsia="hr-HR"/>
              </w:rPr>
              <w:t>.</w:t>
            </w:r>
            <w:r w:rsidRPr="006B3473">
              <w:rPr>
                <w:rFonts w:ascii="Calibri" w:eastAsia="Times New Roman" w:hAnsi="Calibri" w:cs="Times New Roman"/>
                <w:color w:val="000000"/>
                <w:sz w:val="24"/>
                <w:szCs w:val="24"/>
                <w:lang w:eastAsia="hr-HR"/>
              </w:rPr>
              <w:t>7</w:t>
            </w:r>
          </w:p>
        </w:tc>
      </w:tr>
    </w:tbl>
    <w:p w14:paraId="346B736C" w14:textId="77777777" w:rsidR="00D845FC" w:rsidRPr="002A10E9" w:rsidRDefault="00D845FC" w:rsidP="001D2396">
      <w:pPr>
        <w:tabs>
          <w:tab w:val="left" w:pos="-720"/>
          <w:tab w:val="left" w:pos="426"/>
        </w:tabs>
        <w:suppressAutoHyphens/>
        <w:spacing w:after="0" w:line="240" w:lineRule="auto"/>
        <w:jc w:val="both"/>
        <w:rPr>
          <w:rFonts w:eastAsia="Times New Roman" w:cs="Calibri"/>
          <w:b/>
          <w:caps/>
          <w:spacing w:val="-3"/>
          <w:szCs w:val="26"/>
          <w:lang w:val="en-GB" w:eastAsia="hr-HR"/>
        </w:rPr>
      </w:pPr>
    </w:p>
    <w:p w14:paraId="1937D52C" w14:textId="77777777" w:rsidR="00236FE9" w:rsidRPr="00041197" w:rsidRDefault="00236FE9" w:rsidP="001D2396">
      <w:pPr>
        <w:tabs>
          <w:tab w:val="left" w:pos="-720"/>
          <w:tab w:val="left" w:pos="426"/>
        </w:tabs>
        <w:suppressAutoHyphens/>
        <w:spacing w:after="0" w:line="240" w:lineRule="auto"/>
        <w:jc w:val="both"/>
        <w:rPr>
          <w:rFonts w:eastAsia="Times New Roman" w:cs="Calibri"/>
          <w:b/>
          <w:caps/>
          <w:spacing w:val="-3"/>
          <w:sz w:val="26"/>
          <w:szCs w:val="26"/>
          <w:lang w:val="en-GB" w:eastAsia="hr-HR"/>
        </w:rPr>
      </w:pPr>
    </w:p>
    <w:p w14:paraId="43FA31C9" w14:textId="60A3A7AC" w:rsidR="001607DE" w:rsidRDefault="001607DE" w:rsidP="001607DE">
      <w:pPr>
        <w:tabs>
          <w:tab w:val="left" w:pos="-720"/>
          <w:tab w:val="left" w:pos="0"/>
          <w:tab w:val="left" w:pos="4820"/>
        </w:tabs>
        <w:suppressAutoHyphens/>
        <w:spacing w:after="0" w:line="240" w:lineRule="auto"/>
        <w:ind w:left="-426" w:right="-425"/>
        <w:jc w:val="both"/>
        <w:rPr>
          <w:rFonts w:eastAsia="Times New Roman" w:cs="Calibri"/>
          <w:b/>
          <w:caps/>
          <w:spacing w:val="-3"/>
          <w:sz w:val="26"/>
          <w:szCs w:val="26"/>
          <w:lang w:eastAsia="hr-HR"/>
        </w:rPr>
      </w:pPr>
      <w:r w:rsidRPr="001607DE">
        <w:rPr>
          <w:rFonts w:eastAsia="Times New Roman" w:cs="Calibri"/>
          <w:b/>
          <w:caps/>
          <w:spacing w:val="-3"/>
          <w:sz w:val="26"/>
          <w:szCs w:val="26"/>
          <w:lang w:eastAsia="hr-HR"/>
        </w:rPr>
        <w:t xml:space="preserve">   </w:t>
      </w:r>
      <w:r w:rsidR="005609E5">
        <w:rPr>
          <w:rFonts w:eastAsia="Times New Roman" w:cs="Calibri"/>
          <w:b/>
          <w:caps/>
          <w:noProof/>
          <w:spacing w:val="-3"/>
          <w:sz w:val="26"/>
          <w:szCs w:val="26"/>
          <w:lang w:eastAsia="hr-HR"/>
        </w:rPr>
        <w:drawing>
          <wp:inline distT="0" distB="0" distL="0" distR="0" wp14:anchorId="69D457CB" wp14:editId="685A8F0D">
            <wp:extent cx="3042285" cy="2212975"/>
            <wp:effectExtent l="0" t="0" r="5715"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42285" cy="2212975"/>
                    </a:xfrm>
                    <a:prstGeom prst="rect">
                      <a:avLst/>
                    </a:prstGeom>
                    <a:noFill/>
                  </pic:spPr>
                </pic:pic>
              </a:graphicData>
            </a:graphic>
          </wp:inline>
        </w:drawing>
      </w:r>
      <w:r w:rsidR="005609E5">
        <w:rPr>
          <w:rFonts w:eastAsia="Times New Roman" w:cs="Calibri"/>
          <w:b/>
          <w:caps/>
          <w:noProof/>
          <w:spacing w:val="-3"/>
          <w:sz w:val="26"/>
          <w:szCs w:val="26"/>
          <w:lang w:eastAsia="hr-HR"/>
        </w:rPr>
        <w:drawing>
          <wp:inline distT="0" distB="0" distL="0" distR="0" wp14:anchorId="72EA4D29" wp14:editId="68A0171D">
            <wp:extent cx="3042285" cy="2212975"/>
            <wp:effectExtent l="0" t="0" r="5715"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42285" cy="2212975"/>
                    </a:xfrm>
                    <a:prstGeom prst="rect">
                      <a:avLst/>
                    </a:prstGeom>
                    <a:noFill/>
                  </pic:spPr>
                </pic:pic>
              </a:graphicData>
            </a:graphic>
          </wp:inline>
        </w:drawing>
      </w:r>
    </w:p>
    <w:p w14:paraId="30C79597" w14:textId="77777777" w:rsidR="005609E5" w:rsidRPr="001607DE" w:rsidRDefault="005609E5" w:rsidP="001607DE">
      <w:pPr>
        <w:tabs>
          <w:tab w:val="left" w:pos="-720"/>
          <w:tab w:val="left" w:pos="0"/>
          <w:tab w:val="left" w:pos="4820"/>
        </w:tabs>
        <w:suppressAutoHyphens/>
        <w:spacing w:after="0" w:line="240" w:lineRule="auto"/>
        <w:ind w:left="-426" w:right="-425"/>
        <w:jc w:val="both"/>
        <w:rPr>
          <w:rFonts w:eastAsia="Times New Roman" w:cs="Calibri"/>
          <w:b/>
          <w:caps/>
          <w:spacing w:val="-3"/>
          <w:sz w:val="26"/>
          <w:szCs w:val="26"/>
          <w:lang w:eastAsia="hr-HR"/>
        </w:rPr>
      </w:pPr>
    </w:p>
    <w:p w14:paraId="7054B5E5" w14:textId="6FE9FF7D" w:rsidR="001607DE" w:rsidRPr="001607DE" w:rsidRDefault="005609E5" w:rsidP="001607DE">
      <w:pPr>
        <w:tabs>
          <w:tab w:val="left" w:pos="-720"/>
          <w:tab w:val="left" w:pos="0"/>
          <w:tab w:val="left" w:pos="4820"/>
        </w:tabs>
        <w:suppressAutoHyphens/>
        <w:spacing w:after="0" w:line="240" w:lineRule="auto"/>
        <w:ind w:left="-426" w:right="-425"/>
        <w:jc w:val="both"/>
        <w:rPr>
          <w:rFonts w:eastAsia="Times New Roman" w:cs="Calibri"/>
          <w:b/>
          <w:caps/>
          <w:spacing w:val="-3"/>
          <w:sz w:val="26"/>
          <w:szCs w:val="26"/>
          <w:lang w:eastAsia="hr-HR"/>
        </w:rPr>
      </w:pPr>
      <w:r>
        <w:rPr>
          <w:rFonts w:eastAsia="Times New Roman" w:cs="Calibri"/>
          <w:b/>
          <w:caps/>
          <w:noProof/>
          <w:spacing w:val="-3"/>
          <w:sz w:val="26"/>
          <w:szCs w:val="26"/>
          <w:lang w:eastAsia="hr-HR"/>
        </w:rPr>
        <w:drawing>
          <wp:inline distT="0" distB="0" distL="0" distR="0" wp14:anchorId="0B93F5A7" wp14:editId="639C1966">
            <wp:extent cx="3200874" cy="228600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208839" cy="2291689"/>
                    </a:xfrm>
                    <a:prstGeom prst="rect">
                      <a:avLst/>
                    </a:prstGeom>
                    <a:noFill/>
                  </pic:spPr>
                </pic:pic>
              </a:graphicData>
            </a:graphic>
          </wp:inline>
        </w:drawing>
      </w:r>
      <w:r>
        <w:rPr>
          <w:rFonts w:eastAsia="Times New Roman" w:cs="Calibri"/>
          <w:b/>
          <w:caps/>
          <w:spacing w:val="-3"/>
          <w:sz w:val="26"/>
          <w:szCs w:val="26"/>
          <w:lang w:eastAsia="hr-HR"/>
        </w:rPr>
        <w:t xml:space="preserve">      </w:t>
      </w:r>
      <w:r>
        <w:rPr>
          <w:rFonts w:eastAsia="Times New Roman" w:cs="Calibri"/>
          <w:b/>
          <w:caps/>
          <w:noProof/>
          <w:spacing w:val="-3"/>
          <w:sz w:val="26"/>
          <w:szCs w:val="26"/>
          <w:lang w:eastAsia="hr-HR"/>
        </w:rPr>
        <w:drawing>
          <wp:inline distT="0" distB="0" distL="0" distR="0" wp14:anchorId="30C689C2" wp14:editId="43148D49">
            <wp:extent cx="3107055" cy="2290558"/>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117871" cy="2298531"/>
                    </a:xfrm>
                    <a:prstGeom prst="rect">
                      <a:avLst/>
                    </a:prstGeom>
                    <a:noFill/>
                  </pic:spPr>
                </pic:pic>
              </a:graphicData>
            </a:graphic>
          </wp:inline>
        </w:drawing>
      </w:r>
    </w:p>
    <w:p w14:paraId="7CD31623" w14:textId="368FFBD1" w:rsidR="001607DE" w:rsidRPr="001607DE" w:rsidRDefault="001607DE" w:rsidP="001607DE">
      <w:pPr>
        <w:tabs>
          <w:tab w:val="left" w:pos="-720"/>
          <w:tab w:val="left" w:pos="0"/>
          <w:tab w:val="left" w:pos="4820"/>
        </w:tabs>
        <w:suppressAutoHyphens/>
        <w:spacing w:after="0" w:line="240" w:lineRule="auto"/>
        <w:ind w:left="-426" w:right="-425"/>
        <w:jc w:val="both"/>
        <w:rPr>
          <w:rFonts w:eastAsia="Times New Roman" w:cs="Calibri"/>
          <w:b/>
          <w:caps/>
          <w:spacing w:val="-3"/>
          <w:sz w:val="26"/>
          <w:szCs w:val="26"/>
          <w:lang w:eastAsia="hr-HR"/>
        </w:rPr>
      </w:pPr>
      <w:r w:rsidRPr="001607DE">
        <w:rPr>
          <w:rFonts w:eastAsia="Times New Roman" w:cs="Calibri"/>
          <w:b/>
          <w:caps/>
          <w:spacing w:val="-3"/>
          <w:sz w:val="26"/>
          <w:szCs w:val="26"/>
          <w:lang w:eastAsia="hr-HR"/>
        </w:rPr>
        <w:t xml:space="preserve">        </w:t>
      </w:r>
    </w:p>
    <w:p w14:paraId="2DE9503C" w14:textId="7846B243" w:rsidR="007A3C54" w:rsidRDefault="007A3C54" w:rsidP="00F11426">
      <w:pPr>
        <w:tabs>
          <w:tab w:val="left" w:pos="-720"/>
          <w:tab w:val="left" w:pos="0"/>
          <w:tab w:val="left" w:pos="4820"/>
        </w:tabs>
        <w:suppressAutoHyphens/>
        <w:spacing w:after="0" w:line="240" w:lineRule="auto"/>
        <w:ind w:left="-426" w:right="-425"/>
        <w:jc w:val="both"/>
        <w:rPr>
          <w:rFonts w:eastAsia="Times New Roman" w:cs="Calibri"/>
          <w:b/>
          <w:caps/>
          <w:spacing w:val="-3"/>
          <w:sz w:val="26"/>
          <w:szCs w:val="26"/>
          <w:lang w:val="en-GB" w:eastAsia="hr-HR"/>
        </w:rPr>
      </w:pPr>
    </w:p>
    <w:p w14:paraId="4B31A734" w14:textId="77777777" w:rsidR="00DB6E3A" w:rsidRPr="00041197" w:rsidRDefault="00DB6E3A" w:rsidP="00F11426">
      <w:pPr>
        <w:tabs>
          <w:tab w:val="left" w:pos="-720"/>
          <w:tab w:val="left" w:pos="0"/>
          <w:tab w:val="left" w:pos="4820"/>
        </w:tabs>
        <w:suppressAutoHyphens/>
        <w:spacing w:after="0" w:line="240" w:lineRule="auto"/>
        <w:ind w:left="-426" w:right="-425"/>
        <w:jc w:val="both"/>
        <w:rPr>
          <w:rFonts w:eastAsia="Times New Roman" w:cs="Calibri"/>
          <w:b/>
          <w:caps/>
          <w:spacing w:val="-3"/>
          <w:sz w:val="26"/>
          <w:szCs w:val="26"/>
          <w:lang w:val="en-GB" w:eastAsia="hr-HR"/>
        </w:rPr>
      </w:pPr>
    </w:p>
    <w:p w14:paraId="6AB7D49A" w14:textId="77777777" w:rsidR="00D06365" w:rsidRPr="00041197" w:rsidRDefault="00D06365" w:rsidP="00794772">
      <w:pPr>
        <w:tabs>
          <w:tab w:val="left" w:pos="-720"/>
          <w:tab w:val="left" w:pos="426"/>
        </w:tabs>
        <w:suppressAutoHyphens/>
        <w:spacing w:after="0" w:line="240" w:lineRule="auto"/>
        <w:jc w:val="both"/>
        <w:rPr>
          <w:rFonts w:eastAsia="Times New Roman" w:cs="Calibri"/>
          <w:b/>
          <w:spacing w:val="-3"/>
          <w:sz w:val="24"/>
          <w:szCs w:val="24"/>
          <w:lang w:val="en-GB" w:eastAsia="hr-HR"/>
        </w:rPr>
      </w:pPr>
    </w:p>
    <w:p w14:paraId="7D2C795D" w14:textId="77777777" w:rsidR="00A22253" w:rsidRDefault="00A22253" w:rsidP="00E842F7">
      <w:pPr>
        <w:tabs>
          <w:tab w:val="left" w:pos="-720"/>
          <w:tab w:val="left" w:pos="426"/>
        </w:tabs>
        <w:suppressAutoHyphens/>
        <w:spacing w:after="0" w:line="240" w:lineRule="auto"/>
        <w:jc w:val="both"/>
        <w:rPr>
          <w:rFonts w:eastAsia="Times New Roman" w:cs="Calibri"/>
          <w:b/>
          <w:spacing w:val="-3"/>
          <w:sz w:val="24"/>
          <w:szCs w:val="24"/>
          <w:lang w:val="en-GB" w:eastAsia="hr-HR"/>
        </w:rPr>
      </w:pPr>
    </w:p>
    <w:p w14:paraId="56E698F8" w14:textId="77777777" w:rsidR="00A22253" w:rsidRDefault="00A22253" w:rsidP="00E842F7">
      <w:pPr>
        <w:tabs>
          <w:tab w:val="left" w:pos="-720"/>
          <w:tab w:val="left" w:pos="426"/>
        </w:tabs>
        <w:suppressAutoHyphens/>
        <w:spacing w:after="0" w:line="240" w:lineRule="auto"/>
        <w:jc w:val="both"/>
        <w:rPr>
          <w:rFonts w:eastAsia="Times New Roman" w:cs="Calibri"/>
          <w:b/>
          <w:spacing w:val="-3"/>
          <w:sz w:val="24"/>
          <w:szCs w:val="24"/>
          <w:lang w:val="en-GB" w:eastAsia="hr-HR"/>
        </w:rPr>
      </w:pPr>
    </w:p>
    <w:p w14:paraId="29640ABD" w14:textId="2E38DF98" w:rsidR="00E842F7" w:rsidRPr="0005777B" w:rsidRDefault="00E842F7" w:rsidP="00E842F7">
      <w:pPr>
        <w:tabs>
          <w:tab w:val="left" w:pos="-720"/>
          <w:tab w:val="left" w:pos="426"/>
        </w:tabs>
        <w:suppressAutoHyphens/>
        <w:spacing w:after="0" w:line="240" w:lineRule="auto"/>
        <w:jc w:val="both"/>
        <w:rPr>
          <w:rFonts w:eastAsia="Times New Roman" w:cs="Calibri"/>
          <w:b/>
          <w:spacing w:val="-3"/>
          <w:sz w:val="24"/>
          <w:szCs w:val="24"/>
          <w:lang w:val="en-GB" w:eastAsia="hr-HR"/>
        </w:rPr>
      </w:pPr>
      <w:r w:rsidRPr="0005777B">
        <w:rPr>
          <w:rFonts w:eastAsia="Times New Roman" w:cs="Calibri"/>
          <w:b/>
          <w:spacing w:val="-3"/>
          <w:sz w:val="24"/>
          <w:szCs w:val="24"/>
          <w:lang w:val="en-GB" w:eastAsia="hr-HR"/>
        </w:rPr>
        <w:t xml:space="preserve">Results of the Group </w:t>
      </w:r>
    </w:p>
    <w:p w14:paraId="7DFCB29F" w14:textId="77777777" w:rsidR="003E5F5C" w:rsidRPr="00041197" w:rsidRDefault="003E5F5C" w:rsidP="00794772">
      <w:pPr>
        <w:spacing w:after="0" w:line="240" w:lineRule="auto"/>
        <w:rPr>
          <w:rFonts w:eastAsia="Times New Roman" w:cs="Calibri"/>
          <w:b/>
          <w:spacing w:val="-3"/>
          <w:u w:val="single"/>
          <w:lang w:val="en-GB" w:eastAsia="hr-HR"/>
        </w:rPr>
      </w:pPr>
    </w:p>
    <w:p w14:paraId="625D8648" w14:textId="7E1873F2" w:rsidR="00794772" w:rsidRPr="00041197" w:rsidRDefault="00E842F7" w:rsidP="00794772">
      <w:pPr>
        <w:spacing w:after="0" w:line="240" w:lineRule="auto"/>
        <w:jc w:val="both"/>
        <w:rPr>
          <w:rFonts w:cstheme="minorHAnsi"/>
          <w:sz w:val="24"/>
          <w:szCs w:val="24"/>
          <w:lang w:val="en-GB"/>
        </w:rPr>
      </w:pPr>
      <w:r w:rsidRPr="0005777B">
        <w:rPr>
          <w:rFonts w:cstheme="minorHAnsi"/>
          <w:sz w:val="24"/>
          <w:szCs w:val="24"/>
          <w:lang w:val="en-GB"/>
        </w:rPr>
        <w:t xml:space="preserve">In the period 1 January – 31 March </w:t>
      </w:r>
      <w:r w:rsidR="001101C0" w:rsidRPr="00041197">
        <w:rPr>
          <w:rFonts w:cstheme="minorHAnsi"/>
          <w:sz w:val="24"/>
          <w:szCs w:val="24"/>
          <w:lang w:val="en-GB"/>
        </w:rPr>
        <w:t>20</w:t>
      </w:r>
      <w:r w:rsidR="00C02F4E">
        <w:rPr>
          <w:rFonts w:cstheme="minorHAnsi"/>
          <w:sz w:val="24"/>
          <w:szCs w:val="24"/>
          <w:lang w:val="en-GB"/>
        </w:rPr>
        <w:t>20</w:t>
      </w:r>
      <w:r>
        <w:rPr>
          <w:rFonts w:cstheme="minorHAnsi"/>
          <w:sz w:val="24"/>
          <w:szCs w:val="24"/>
          <w:lang w:val="en-GB"/>
        </w:rPr>
        <w:t>, the</w:t>
      </w:r>
      <w:r w:rsidR="00794772" w:rsidRPr="00041197">
        <w:rPr>
          <w:rFonts w:cstheme="minorHAnsi"/>
          <w:sz w:val="24"/>
          <w:szCs w:val="24"/>
          <w:lang w:val="en-GB"/>
        </w:rPr>
        <w:t xml:space="preserve"> </w:t>
      </w:r>
      <w:r w:rsidRPr="0005777B">
        <w:rPr>
          <w:rFonts w:cstheme="minorHAnsi"/>
          <w:sz w:val="24"/>
          <w:szCs w:val="24"/>
          <w:lang w:val="en-GB"/>
        </w:rPr>
        <w:t>HBOR Group generated profit after tax in the amount of HRK</w:t>
      </w:r>
      <w:r w:rsidRPr="00041197">
        <w:rPr>
          <w:rFonts w:cstheme="minorHAnsi"/>
          <w:sz w:val="24"/>
          <w:szCs w:val="24"/>
          <w:lang w:val="en-GB"/>
        </w:rPr>
        <w:t xml:space="preserve"> </w:t>
      </w:r>
      <w:r w:rsidR="005D71A4" w:rsidRPr="00041197">
        <w:rPr>
          <w:rFonts w:cstheme="minorHAnsi"/>
          <w:sz w:val="24"/>
          <w:szCs w:val="24"/>
          <w:lang w:val="en-GB"/>
        </w:rPr>
        <w:t>2</w:t>
      </w:r>
      <w:r w:rsidR="00C66DD7">
        <w:rPr>
          <w:rFonts w:cstheme="minorHAnsi"/>
          <w:sz w:val="24"/>
          <w:szCs w:val="24"/>
          <w:lang w:val="en-GB"/>
        </w:rPr>
        <w:t>2.2</w:t>
      </w:r>
      <w:r w:rsidR="00794772" w:rsidRPr="00041197">
        <w:rPr>
          <w:rFonts w:cstheme="minorHAnsi"/>
          <w:sz w:val="24"/>
          <w:szCs w:val="24"/>
          <w:lang w:val="en-GB"/>
        </w:rPr>
        <w:t xml:space="preserve"> mil</w:t>
      </w:r>
      <w:r>
        <w:rPr>
          <w:rFonts w:cstheme="minorHAnsi"/>
          <w:sz w:val="24"/>
          <w:szCs w:val="24"/>
          <w:lang w:val="en-GB"/>
        </w:rPr>
        <w:t>lion</w:t>
      </w:r>
      <w:r w:rsidR="00794772" w:rsidRPr="00041197">
        <w:rPr>
          <w:rFonts w:cstheme="minorHAnsi"/>
          <w:sz w:val="24"/>
          <w:szCs w:val="24"/>
          <w:lang w:val="en-GB"/>
        </w:rPr>
        <w:t xml:space="preserve">. </w:t>
      </w:r>
    </w:p>
    <w:p w14:paraId="38F55033" w14:textId="77777777" w:rsidR="00794772" w:rsidRPr="00041197" w:rsidRDefault="00794772" w:rsidP="00794772">
      <w:pPr>
        <w:spacing w:after="0" w:line="240" w:lineRule="auto"/>
        <w:jc w:val="both"/>
        <w:rPr>
          <w:rFonts w:cstheme="minorHAnsi"/>
          <w:lang w:val="en-GB"/>
        </w:rPr>
      </w:pPr>
    </w:p>
    <w:p w14:paraId="3612786A" w14:textId="77777777" w:rsidR="00794772" w:rsidRPr="00041197" w:rsidRDefault="00E842F7" w:rsidP="00794772">
      <w:pPr>
        <w:spacing w:after="0" w:line="240" w:lineRule="auto"/>
        <w:jc w:val="both"/>
        <w:rPr>
          <w:rFonts w:cstheme="minorHAnsi"/>
          <w:sz w:val="24"/>
          <w:szCs w:val="24"/>
          <w:lang w:val="en-GB"/>
        </w:rPr>
      </w:pPr>
      <w:r w:rsidRPr="0005777B">
        <w:rPr>
          <w:rFonts w:cstheme="minorHAnsi"/>
          <w:sz w:val="24"/>
          <w:szCs w:val="24"/>
          <w:lang w:val="en-GB"/>
        </w:rPr>
        <w:t>Pursuant to the provisions of the Act on HBOR, the parent company is exempt from income tax and income tax liabilities arise exclusively from the activities of the other members of the Group</w:t>
      </w:r>
      <w:r w:rsidR="00794772" w:rsidRPr="00041197">
        <w:rPr>
          <w:rFonts w:cstheme="minorHAnsi"/>
          <w:sz w:val="24"/>
          <w:szCs w:val="24"/>
          <w:lang w:val="en-GB"/>
        </w:rPr>
        <w:t>.</w:t>
      </w:r>
    </w:p>
    <w:p w14:paraId="7DA243B6" w14:textId="77777777" w:rsidR="00794772" w:rsidRPr="00041197" w:rsidRDefault="00794772" w:rsidP="00794772">
      <w:pPr>
        <w:spacing w:after="0" w:line="240" w:lineRule="auto"/>
        <w:jc w:val="both"/>
        <w:rPr>
          <w:rFonts w:cstheme="minorHAnsi"/>
          <w:lang w:val="en-GB"/>
        </w:rPr>
      </w:pPr>
    </w:p>
    <w:p w14:paraId="550C88B7" w14:textId="7F8FB113" w:rsidR="00794772" w:rsidRPr="00041197" w:rsidRDefault="00E842F7" w:rsidP="00794772">
      <w:pPr>
        <w:spacing w:after="0" w:line="240" w:lineRule="auto"/>
        <w:jc w:val="both"/>
        <w:rPr>
          <w:rFonts w:cstheme="minorHAnsi"/>
          <w:sz w:val="24"/>
          <w:szCs w:val="24"/>
          <w:lang w:val="en-GB"/>
        </w:rPr>
      </w:pPr>
      <w:r w:rsidRPr="0005777B">
        <w:rPr>
          <w:rFonts w:cstheme="minorHAnsi"/>
          <w:sz w:val="24"/>
          <w:szCs w:val="24"/>
          <w:lang w:val="en-GB"/>
        </w:rPr>
        <w:t xml:space="preserve">In the period 1 January – 31 March </w:t>
      </w:r>
      <w:r>
        <w:rPr>
          <w:rFonts w:cstheme="minorHAnsi"/>
          <w:sz w:val="24"/>
          <w:szCs w:val="24"/>
          <w:lang w:val="en-GB"/>
        </w:rPr>
        <w:t>20</w:t>
      </w:r>
      <w:r w:rsidR="00C66DD7">
        <w:rPr>
          <w:rFonts w:cstheme="minorHAnsi"/>
          <w:sz w:val="24"/>
          <w:szCs w:val="24"/>
          <w:lang w:val="en-GB"/>
        </w:rPr>
        <w:t>20</w:t>
      </w:r>
      <w:r>
        <w:rPr>
          <w:rFonts w:cstheme="minorHAnsi"/>
          <w:sz w:val="24"/>
          <w:szCs w:val="24"/>
          <w:lang w:val="en-GB"/>
        </w:rPr>
        <w:t xml:space="preserve">, </w:t>
      </w:r>
      <w:r w:rsidRPr="0005777B">
        <w:rPr>
          <w:rFonts w:cstheme="minorHAnsi"/>
          <w:sz w:val="24"/>
          <w:szCs w:val="24"/>
          <w:lang w:val="en-GB"/>
        </w:rPr>
        <w:t xml:space="preserve">total income on consolidated basis amounted to </w:t>
      </w:r>
      <w:r w:rsidR="00914021" w:rsidRPr="0005777B">
        <w:rPr>
          <w:rFonts w:cstheme="minorHAnsi"/>
          <w:sz w:val="24"/>
          <w:szCs w:val="24"/>
          <w:lang w:val="en-GB"/>
        </w:rPr>
        <w:t xml:space="preserve">HRK </w:t>
      </w:r>
      <w:r w:rsidR="00914021" w:rsidRPr="00041197">
        <w:rPr>
          <w:rFonts w:cstheme="minorHAnsi"/>
          <w:sz w:val="24"/>
          <w:szCs w:val="24"/>
          <w:lang w:val="en-GB"/>
        </w:rPr>
        <w:t>170.3</w:t>
      </w:r>
      <w:r w:rsidR="00794772" w:rsidRPr="00041197">
        <w:rPr>
          <w:rFonts w:cstheme="minorHAnsi"/>
          <w:sz w:val="24"/>
          <w:szCs w:val="24"/>
          <w:lang w:val="en-GB"/>
        </w:rPr>
        <w:t xml:space="preserve"> mil</w:t>
      </w:r>
      <w:r>
        <w:rPr>
          <w:rFonts w:cstheme="minorHAnsi"/>
          <w:sz w:val="24"/>
          <w:szCs w:val="24"/>
          <w:lang w:val="en-GB"/>
        </w:rPr>
        <w:t>lion</w:t>
      </w:r>
      <w:r w:rsidR="00794772" w:rsidRPr="00041197">
        <w:rPr>
          <w:rFonts w:cstheme="minorHAnsi"/>
          <w:sz w:val="24"/>
          <w:szCs w:val="24"/>
          <w:lang w:val="en-GB"/>
        </w:rPr>
        <w:t xml:space="preserve">, </w:t>
      </w:r>
      <w:r w:rsidRPr="0005777B">
        <w:rPr>
          <w:rFonts w:cstheme="minorHAnsi"/>
          <w:sz w:val="24"/>
          <w:szCs w:val="24"/>
          <w:lang w:val="en-GB"/>
        </w:rPr>
        <w:t xml:space="preserve">whereas total expenses amounted to HRK </w:t>
      </w:r>
      <w:r w:rsidR="00691C7C" w:rsidRPr="00041197">
        <w:rPr>
          <w:rFonts w:cstheme="minorHAnsi"/>
          <w:sz w:val="24"/>
          <w:szCs w:val="24"/>
          <w:lang w:val="en-GB"/>
        </w:rPr>
        <w:t>1</w:t>
      </w:r>
      <w:r w:rsidR="00C66DD7">
        <w:rPr>
          <w:rFonts w:cstheme="minorHAnsi"/>
          <w:sz w:val="24"/>
          <w:szCs w:val="24"/>
          <w:lang w:val="en-GB"/>
        </w:rPr>
        <w:t>48</w:t>
      </w:r>
      <w:r>
        <w:rPr>
          <w:rFonts w:cstheme="minorHAnsi"/>
          <w:sz w:val="24"/>
          <w:szCs w:val="24"/>
          <w:lang w:val="en-GB"/>
        </w:rPr>
        <w:t>.</w:t>
      </w:r>
      <w:r w:rsidR="00C66DD7">
        <w:rPr>
          <w:rFonts w:cstheme="minorHAnsi"/>
          <w:sz w:val="24"/>
          <w:szCs w:val="24"/>
          <w:lang w:val="en-GB"/>
        </w:rPr>
        <w:t>1</w:t>
      </w:r>
      <w:r w:rsidR="00794772" w:rsidRPr="00041197">
        <w:rPr>
          <w:rFonts w:cstheme="minorHAnsi"/>
          <w:sz w:val="24"/>
          <w:szCs w:val="24"/>
          <w:lang w:val="en-GB"/>
        </w:rPr>
        <w:t xml:space="preserve"> mil</w:t>
      </w:r>
      <w:r>
        <w:rPr>
          <w:rFonts w:cstheme="minorHAnsi"/>
          <w:sz w:val="24"/>
          <w:szCs w:val="24"/>
          <w:lang w:val="en-GB"/>
        </w:rPr>
        <w:t>lion</w:t>
      </w:r>
      <w:r w:rsidR="00794772" w:rsidRPr="00041197">
        <w:rPr>
          <w:rFonts w:cstheme="minorHAnsi"/>
          <w:sz w:val="24"/>
          <w:szCs w:val="24"/>
          <w:lang w:val="en-GB"/>
        </w:rPr>
        <w:t>.</w:t>
      </w:r>
    </w:p>
    <w:p w14:paraId="5CE5A806" w14:textId="77777777" w:rsidR="00794772" w:rsidRPr="00041197" w:rsidRDefault="00794772" w:rsidP="00794772">
      <w:pPr>
        <w:spacing w:after="0" w:line="240" w:lineRule="auto"/>
        <w:jc w:val="both"/>
        <w:rPr>
          <w:rFonts w:cstheme="minorHAnsi"/>
          <w:lang w:val="en-GB"/>
        </w:rPr>
      </w:pPr>
    </w:p>
    <w:p w14:paraId="716BDC52" w14:textId="41148582" w:rsidR="00794772" w:rsidRPr="00041197" w:rsidRDefault="00E842F7" w:rsidP="00794772">
      <w:pPr>
        <w:spacing w:after="0" w:line="240" w:lineRule="auto"/>
        <w:jc w:val="both"/>
        <w:rPr>
          <w:rFonts w:cstheme="minorHAnsi"/>
          <w:sz w:val="24"/>
          <w:szCs w:val="24"/>
          <w:lang w:val="en-GB"/>
        </w:rPr>
      </w:pPr>
      <w:r w:rsidRPr="0005777B">
        <w:rPr>
          <w:rFonts w:cstheme="minorHAnsi"/>
          <w:sz w:val="24"/>
          <w:szCs w:val="24"/>
          <w:lang w:val="en-GB"/>
        </w:rPr>
        <w:t xml:space="preserve">The consolidated total income </w:t>
      </w:r>
      <w:r>
        <w:rPr>
          <w:rFonts w:cstheme="minorHAnsi"/>
          <w:sz w:val="24"/>
          <w:szCs w:val="24"/>
          <w:lang w:val="en-GB"/>
        </w:rPr>
        <w:t>decreased by</w:t>
      </w:r>
      <w:r w:rsidR="00794772" w:rsidRPr="00041197">
        <w:rPr>
          <w:rFonts w:cstheme="minorHAnsi"/>
          <w:sz w:val="24"/>
          <w:szCs w:val="24"/>
          <w:lang w:val="en-GB"/>
        </w:rPr>
        <w:t xml:space="preserve"> </w:t>
      </w:r>
      <w:r w:rsidR="00C66DD7">
        <w:rPr>
          <w:rFonts w:cstheme="minorHAnsi"/>
          <w:sz w:val="24"/>
          <w:szCs w:val="24"/>
          <w:lang w:val="en-GB"/>
        </w:rPr>
        <w:t>4</w:t>
      </w:r>
      <w:r>
        <w:rPr>
          <w:rFonts w:cstheme="minorHAnsi"/>
          <w:sz w:val="24"/>
          <w:szCs w:val="24"/>
          <w:lang w:val="en-GB"/>
        </w:rPr>
        <w:t>.</w:t>
      </w:r>
      <w:r w:rsidR="00C66DD7">
        <w:rPr>
          <w:rFonts w:cstheme="minorHAnsi"/>
          <w:sz w:val="24"/>
          <w:szCs w:val="24"/>
          <w:lang w:val="en-GB"/>
        </w:rPr>
        <w:t>0</w:t>
      </w:r>
      <w:r w:rsidR="00417B56" w:rsidRPr="00041197">
        <w:rPr>
          <w:rFonts w:cstheme="minorHAnsi"/>
          <w:sz w:val="24"/>
          <w:szCs w:val="24"/>
          <w:lang w:val="en-GB"/>
        </w:rPr>
        <w:t xml:space="preserve"> p</w:t>
      </w:r>
      <w:r>
        <w:rPr>
          <w:rFonts w:cstheme="minorHAnsi"/>
          <w:sz w:val="24"/>
          <w:szCs w:val="24"/>
          <w:lang w:val="en-GB"/>
        </w:rPr>
        <w:t xml:space="preserve">ercent, </w:t>
      </w:r>
      <w:r w:rsidRPr="0005777B">
        <w:rPr>
          <w:rFonts w:cstheme="minorHAnsi"/>
          <w:sz w:val="24"/>
          <w:szCs w:val="24"/>
          <w:lang w:val="en-GB"/>
        </w:rPr>
        <w:t xml:space="preserve">whereas total expenses </w:t>
      </w:r>
      <w:r w:rsidR="00C66DD7">
        <w:rPr>
          <w:rFonts w:cstheme="minorHAnsi"/>
          <w:sz w:val="24"/>
          <w:szCs w:val="24"/>
          <w:lang w:val="en-GB"/>
        </w:rPr>
        <w:t>decreased</w:t>
      </w:r>
      <w:r w:rsidRPr="0005777B">
        <w:rPr>
          <w:rFonts w:cstheme="minorHAnsi"/>
          <w:sz w:val="24"/>
          <w:szCs w:val="24"/>
          <w:lang w:val="en-GB"/>
        </w:rPr>
        <w:t xml:space="preserve"> by </w:t>
      </w:r>
      <w:r w:rsidR="00C66DD7">
        <w:rPr>
          <w:rFonts w:cstheme="minorHAnsi"/>
          <w:sz w:val="24"/>
          <w:szCs w:val="24"/>
          <w:lang w:val="en-GB"/>
        </w:rPr>
        <w:t>4</w:t>
      </w:r>
      <w:r>
        <w:rPr>
          <w:rFonts w:cstheme="minorHAnsi"/>
          <w:sz w:val="24"/>
          <w:szCs w:val="24"/>
          <w:lang w:val="en-GB"/>
        </w:rPr>
        <w:t>.</w:t>
      </w:r>
      <w:r w:rsidR="00C66DD7">
        <w:rPr>
          <w:rFonts w:cstheme="minorHAnsi"/>
          <w:sz w:val="24"/>
          <w:szCs w:val="24"/>
          <w:lang w:val="en-GB"/>
        </w:rPr>
        <w:t>9</w:t>
      </w:r>
      <w:r w:rsidR="00417B56" w:rsidRPr="00041197">
        <w:rPr>
          <w:rFonts w:cstheme="minorHAnsi"/>
          <w:sz w:val="24"/>
          <w:szCs w:val="24"/>
          <w:lang w:val="en-GB"/>
        </w:rPr>
        <w:t xml:space="preserve"> p</w:t>
      </w:r>
      <w:r>
        <w:rPr>
          <w:rFonts w:cstheme="minorHAnsi"/>
          <w:sz w:val="24"/>
          <w:szCs w:val="24"/>
          <w:lang w:val="en-GB"/>
        </w:rPr>
        <w:t xml:space="preserve">ercent compared to the same period previous year </w:t>
      </w:r>
      <w:r w:rsidRPr="0005777B">
        <w:rPr>
          <w:rFonts w:cstheme="minorHAnsi"/>
          <w:sz w:val="24"/>
          <w:szCs w:val="24"/>
          <w:lang w:val="en-GB"/>
        </w:rPr>
        <w:t>due to the developments in total income and expenses of the parent company</w:t>
      </w:r>
      <w:r w:rsidR="00794772" w:rsidRPr="00041197">
        <w:rPr>
          <w:rFonts w:cstheme="minorHAnsi"/>
          <w:sz w:val="24"/>
          <w:szCs w:val="24"/>
          <w:lang w:val="en-GB"/>
        </w:rPr>
        <w:t>.</w:t>
      </w:r>
    </w:p>
    <w:p w14:paraId="51F03671" w14:textId="77777777" w:rsidR="00794772" w:rsidRPr="00041197" w:rsidRDefault="00794772" w:rsidP="00794772">
      <w:pPr>
        <w:spacing w:after="0" w:line="240" w:lineRule="auto"/>
        <w:jc w:val="both"/>
        <w:rPr>
          <w:rFonts w:cstheme="minorHAnsi"/>
          <w:lang w:val="en-GB"/>
        </w:rPr>
      </w:pPr>
    </w:p>
    <w:p w14:paraId="0765623F" w14:textId="10024ACD" w:rsidR="00794772" w:rsidRPr="00041197" w:rsidRDefault="00E842F7" w:rsidP="00794772">
      <w:pPr>
        <w:spacing w:after="0" w:line="240" w:lineRule="auto"/>
        <w:jc w:val="both"/>
        <w:rPr>
          <w:rFonts w:cstheme="minorHAnsi"/>
          <w:sz w:val="24"/>
          <w:szCs w:val="24"/>
          <w:lang w:val="en-GB"/>
        </w:rPr>
      </w:pPr>
      <w:r w:rsidRPr="0005777B">
        <w:rPr>
          <w:rFonts w:cstheme="minorHAnsi"/>
          <w:sz w:val="24"/>
          <w:szCs w:val="24"/>
          <w:lang w:val="en-GB"/>
        </w:rPr>
        <w:t xml:space="preserve">In the structure of income of the Group, the largest portion, i.e. </w:t>
      </w:r>
      <w:r w:rsidR="009D6018" w:rsidRPr="00041197">
        <w:rPr>
          <w:rFonts w:cstheme="minorHAnsi"/>
          <w:sz w:val="24"/>
          <w:szCs w:val="24"/>
          <w:lang w:val="en-GB"/>
        </w:rPr>
        <w:t>9</w:t>
      </w:r>
      <w:r w:rsidR="00C66DD7">
        <w:rPr>
          <w:rFonts w:cstheme="minorHAnsi"/>
          <w:sz w:val="24"/>
          <w:szCs w:val="24"/>
          <w:lang w:val="en-GB"/>
        </w:rPr>
        <w:t>4</w:t>
      </w:r>
      <w:r>
        <w:rPr>
          <w:rFonts w:cstheme="minorHAnsi"/>
          <w:sz w:val="24"/>
          <w:szCs w:val="24"/>
          <w:lang w:val="en-GB"/>
        </w:rPr>
        <w:t>.</w:t>
      </w:r>
      <w:r w:rsidR="00C66DD7">
        <w:rPr>
          <w:rFonts w:cstheme="minorHAnsi"/>
          <w:sz w:val="24"/>
          <w:szCs w:val="24"/>
          <w:lang w:val="en-GB"/>
        </w:rPr>
        <w:t>2</w:t>
      </w:r>
      <w:r w:rsidR="00417B56" w:rsidRPr="00041197">
        <w:rPr>
          <w:rFonts w:cstheme="minorHAnsi"/>
          <w:sz w:val="24"/>
          <w:szCs w:val="24"/>
          <w:lang w:val="en-GB"/>
        </w:rPr>
        <w:t xml:space="preserve"> p</w:t>
      </w:r>
      <w:r>
        <w:rPr>
          <w:rFonts w:cstheme="minorHAnsi"/>
          <w:sz w:val="24"/>
          <w:szCs w:val="24"/>
          <w:lang w:val="en-GB"/>
        </w:rPr>
        <w:t>ercent, relates to</w:t>
      </w:r>
      <w:r w:rsidR="00794772" w:rsidRPr="00041197">
        <w:rPr>
          <w:rFonts w:cstheme="minorHAnsi"/>
          <w:sz w:val="24"/>
          <w:szCs w:val="24"/>
          <w:lang w:val="en-GB"/>
        </w:rPr>
        <w:t xml:space="preserve"> </w:t>
      </w:r>
      <w:r w:rsidRPr="0005777B">
        <w:rPr>
          <w:rFonts w:cstheme="minorHAnsi"/>
          <w:sz w:val="24"/>
          <w:szCs w:val="24"/>
          <w:lang w:val="en-GB"/>
        </w:rPr>
        <w:t>interest income as a result of operations of the parent company</w:t>
      </w:r>
      <w:r w:rsidR="00794772" w:rsidRPr="00041197">
        <w:rPr>
          <w:rFonts w:cstheme="minorHAnsi"/>
          <w:sz w:val="24"/>
          <w:szCs w:val="24"/>
          <w:lang w:val="en-GB"/>
        </w:rPr>
        <w:t>.</w:t>
      </w:r>
    </w:p>
    <w:p w14:paraId="5776D284" w14:textId="77777777" w:rsidR="00794772" w:rsidRPr="00041197" w:rsidRDefault="00794772" w:rsidP="00794772">
      <w:pPr>
        <w:spacing w:after="0" w:line="240" w:lineRule="auto"/>
        <w:jc w:val="both"/>
        <w:rPr>
          <w:rFonts w:cstheme="minorHAnsi"/>
          <w:lang w:val="en-GB"/>
        </w:rPr>
      </w:pPr>
    </w:p>
    <w:p w14:paraId="047704AC" w14:textId="77D95B38" w:rsidR="00794772" w:rsidRPr="00041197" w:rsidRDefault="00E842F7" w:rsidP="00794772">
      <w:pPr>
        <w:spacing w:after="0" w:line="240" w:lineRule="auto"/>
        <w:jc w:val="both"/>
        <w:rPr>
          <w:rFonts w:cstheme="minorHAnsi"/>
          <w:sz w:val="24"/>
          <w:szCs w:val="24"/>
          <w:lang w:val="en-GB"/>
        </w:rPr>
      </w:pPr>
      <w:r w:rsidRPr="0005777B">
        <w:rPr>
          <w:rFonts w:cstheme="minorHAnsi"/>
          <w:sz w:val="24"/>
          <w:szCs w:val="24"/>
          <w:lang w:val="en-GB"/>
        </w:rPr>
        <w:t>The major part of total expenses, i.e.</w:t>
      </w:r>
      <w:r>
        <w:rPr>
          <w:rFonts w:cstheme="minorHAnsi"/>
          <w:sz w:val="24"/>
          <w:szCs w:val="24"/>
          <w:lang w:val="en-GB"/>
        </w:rPr>
        <w:t xml:space="preserve"> </w:t>
      </w:r>
      <w:r w:rsidR="00C66DD7">
        <w:rPr>
          <w:rFonts w:cstheme="minorHAnsi"/>
          <w:sz w:val="24"/>
          <w:szCs w:val="24"/>
          <w:lang w:val="en-GB"/>
        </w:rPr>
        <w:t>49</w:t>
      </w:r>
      <w:r>
        <w:rPr>
          <w:rFonts w:cstheme="minorHAnsi"/>
          <w:sz w:val="24"/>
          <w:szCs w:val="24"/>
          <w:lang w:val="en-GB"/>
        </w:rPr>
        <w:t>.</w:t>
      </w:r>
      <w:r w:rsidR="00C66DD7">
        <w:rPr>
          <w:rFonts w:cstheme="minorHAnsi"/>
          <w:sz w:val="24"/>
          <w:szCs w:val="24"/>
          <w:lang w:val="en-GB"/>
        </w:rPr>
        <w:t>2</w:t>
      </w:r>
      <w:r>
        <w:rPr>
          <w:rFonts w:cstheme="minorHAnsi"/>
          <w:sz w:val="24"/>
          <w:szCs w:val="24"/>
          <w:lang w:val="en-GB"/>
        </w:rPr>
        <w:t xml:space="preserve"> percent</w:t>
      </w:r>
      <w:r w:rsidR="00794772" w:rsidRPr="00041197">
        <w:rPr>
          <w:rFonts w:cstheme="minorHAnsi"/>
          <w:sz w:val="24"/>
          <w:szCs w:val="24"/>
          <w:lang w:val="en-GB"/>
        </w:rPr>
        <w:t xml:space="preserve">, </w:t>
      </w:r>
      <w:r>
        <w:rPr>
          <w:rFonts w:cstheme="minorHAnsi"/>
          <w:sz w:val="24"/>
          <w:szCs w:val="24"/>
          <w:lang w:val="en-GB"/>
        </w:rPr>
        <w:t>relates to interest expenses arising from the operations of the parent company</w:t>
      </w:r>
      <w:r w:rsidR="00794772" w:rsidRPr="00041197">
        <w:rPr>
          <w:rFonts w:cstheme="minorHAnsi"/>
          <w:sz w:val="24"/>
          <w:szCs w:val="24"/>
          <w:lang w:val="en-GB"/>
        </w:rPr>
        <w:t>.</w:t>
      </w:r>
    </w:p>
    <w:p w14:paraId="64FAF17B" w14:textId="77777777" w:rsidR="00794772" w:rsidRPr="00041197" w:rsidRDefault="00794772" w:rsidP="00794772">
      <w:pPr>
        <w:spacing w:after="0" w:line="240" w:lineRule="auto"/>
        <w:jc w:val="both"/>
        <w:rPr>
          <w:rFonts w:cstheme="minorHAnsi"/>
          <w:lang w:val="en-GB"/>
        </w:rPr>
      </w:pPr>
    </w:p>
    <w:p w14:paraId="0A0EE1F7" w14:textId="2040412C" w:rsidR="00794772" w:rsidRPr="00041197" w:rsidRDefault="00D01244" w:rsidP="00794772">
      <w:pPr>
        <w:spacing w:after="0" w:line="240" w:lineRule="auto"/>
        <w:jc w:val="both"/>
        <w:rPr>
          <w:rFonts w:cstheme="minorHAnsi"/>
          <w:sz w:val="24"/>
          <w:szCs w:val="24"/>
          <w:lang w:val="en-GB"/>
        </w:rPr>
      </w:pPr>
      <w:r w:rsidRPr="0005777B">
        <w:rPr>
          <w:rFonts w:cstheme="minorHAnsi"/>
          <w:sz w:val="24"/>
          <w:szCs w:val="24"/>
          <w:lang w:val="en-GB"/>
        </w:rPr>
        <w:t xml:space="preserve">The consolidated operating expenses in the period 1 January – 31 March </w:t>
      </w:r>
      <w:r w:rsidR="001101C0" w:rsidRPr="00041197">
        <w:rPr>
          <w:rFonts w:cstheme="minorHAnsi"/>
          <w:sz w:val="24"/>
          <w:szCs w:val="24"/>
          <w:lang w:val="en-GB"/>
        </w:rPr>
        <w:t>20</w:t>
      </w:r>
      <w:r w:rsidR="00C66DD7">
        <w:rPr>
          <w:rFonts w:cstheme="minorHAnsi"/>
          <w:sz w:val="24"/>
          <w:szCs w:val="24"/>
          <w:lang w:val="en-GB"/>
        </w:rPr>
        <w:t>20</w:t>
      </w:r>
      <w:r>
        <w:rPr>
          <w:rFonts w:cstheme="minorHAnsi"/>
          <w:sz w:val="24"/>
          <w:szCs w:val="24"/>
          <w:lang w:val="en-GB"/>
        </w:rPr>
        <w:t xml:space="preserve"> amounted to</w:t>
      </w:r>
      <w:r w:rsidR="00794772" w:rsidRPr="00041197">
        <w:rPr>
          <w:rFonts w:cstheme="minorHAnsi"/>
          <w:sz w:val="24"/>
          <w:szCs w:val="24"/>
          <w:lang w:val="en-GB"/>
        </w:rPr>
        <w:t xml:space="preserve"> </w:t>
      </w:r>
      <w:r>
        <w:rPr>
          <w:rFonts w:cstheme="minorHAnsi"/>
          <w:sz w:val="24"/>
          <w:szCs w:val="24"/>
          <w:lang w:val="en-GB"/>
        </w:rPr>
        <w:t>HRK</w:t>
      </w:r>
      <w:r w:rsidR="00794772" w:rsidRPr="00041197">
        <w:rPr>
          <w:rFonts w:cstheme="minorHAnsi"/>
          <w:sz w:val="24"/>
          <w:szCs w:val="24"/>
          <w:lang w:val="en-GB"/>
        </w:rPr>
        <w:t xml:space="preserve"> </w:t>
      </w:r>
      <w:r w:rsidR="00EB224C" w:rsidRPr="00041197">
        <w:rPr>
          <w:rFonts w:cstheme="minorHAnsi"/>
          <w:sz w:val="24"/>
          <w:szCs w:val="24"/>
          <w:lang w:val="en-GB"/>
        </w:rPr>
        <w:t>3</w:t>
      </w:r>
      <w:r w:rsidR="00C66DD7">
        <w:rPr>
          <w:rFonts w:cstheme="minorHAnsi"/>
          <w:sz w:val="24"/>
          <w:szCs w:val="24"/>
          <w:lang w:val="en-GB"/>
        </w:rPr>
        <w:t>8</w:t>
      </w:r>
      <w:r>
        <w:rPr>
          <w:rFonts w:cstheme="minorHAnsi"/>
          <w:sz w:val="24"/>
          <w:szCs w:val="24"/>
          <w:lang w:val="en-GB"/>
        </w:rPr>
        <w:t>.</w:t>
      </w:r>
      <w:r w:rsidR="00C66DD7">
        <w:rPr>
          <w:rFonts w:cstheme="minorHAnsi"/>
          <w:sz w:val="24"/>
          <w:szCs w:val="24"/>
          <w:lang w:val="en-GB"/>
        </w:rPr>
        <w:t>1</w:t>
      </w:r>
      <w:r w:rsidR="00794772" w:rsidRPr="00041197">
        <w:rPr>
          <w:rFonts w:cstheme="minorHAnsi"/>
          <w:sz w:val="24"/>
          <w:szCs w:val="24"/>
          <w:lang w:val="en-GB"/>
        </w:rPr>
        <w:t xml:space="preserve"> mil</w:t>
      </w:r>
      <w:r>
        <w:rPr>
          <w:rFonts w:cstheme="minorHAnsi"/>
          <w:sz w:val="24"/>
          <w:szCs w:val="24"/>
          <w:lang w:val="en-GB"/>
        </w:rPr>
        <w:t>lion and consisted of general and administrative expenses</w:t>
      </w:r>
      <w:r w:rsidR="00794772" w:rsidRPr="00041197">
        <w:rPr>
          <w:rFonts w:cstheme="minorHAnsi"/>
          <w:sz w:val="24"/>
          <w:szCs w:val="24"/>
          <w:lang w:val="en-GB"/>
        </w:rPr>
        <w:t xml:space="preserve"> </w:t>
      </w:r>
      <w:r>
        <w:rPr>
          <w:rFonts w:cstheme="minorHAnsi"/>
          <w:sz w:val="24"/>
          <w:szCs w:val="24"/>
          <w:lang w:val="en-GB"/>
        </w:rPr>
        <w:t>and other operating expenses</w:t>
      </w:r>
      <w:r w:rsidR="00794772" w:rsidRPr="00041197">
        <w:rPr>
          <w:rFonts w:cstheme="minorHAnsi"/>
          <w:sz w:val="24"/>
          <w:szCs w:val="24"/>
          <w:lang w:val="en-GB"/>
        </w:rPr>
        <w:t>.</w:t>
      </w:r>
    </w:p>
    <w:p w14:paraId="77FF71E1" w14:textId="77777777" w:rsidR="00794772" w:rsidRPr="00041197" w:rsidRDefault="00794772" w:rsidP="00794772">
      <w:pPr>
        <w:spacing w:after="0" w:line="240" w:lineRule="auto"/>
        <w:jc w:val="both"/>
        <w:rPr>
          <w:rFonts w:cstheme="minorHAnsi"/>
          <w:lang w:val="en-GB"/>
        </w:rPr>
      </w:pPr>
    </w:p>
    <w:p w14:paraId="1DC0CAF0" w14:textId="7ABD3A33" w:rsidR="00DB5770" w:rsidRPr="00DB5770" w:rsidRDefault="00DB5770" w:rsidP="00DB5770">
      <w:pPr>
        <w:jc w:val="both"/>
        <w:rPr>
          <w:sz w:val="24"/>
          <w:szCs w:val="24"/>
          <w:lang w:val="en-GB"/>
        </w:rPr>
      </w:pPr>
      <w:r w:rsidRPr="00DB5770">
        <w:rPr>
          <w:sz w:val="24"/>
          <w:szCs w:val="24"/>
          <w:lang w:val="en-GB"/>
        </w:rPr>
        <w:t>On 31 March 20</w:t>
      </w:r>
      <w:r w:rsidR="00C66DD7">
        <w:rPr>
          <w:sz w:val="24"/>
          <w:szCs w:val="24"/>
          <w:lang w:val="en-GB"/>
        </w:rPr>
        <w:t>20</w:t>
      </w:r>
      <w:r w:rsidRPr="00DB5770">
        <w:rPr>
          <w:sz w:val="24"/>
          <w:szCs w:val="24"/>
          <w:lang w:val="en-GB"/>
        </w:rPr>
        <w:t>, the Group had 3</w:t>
      </w:r>
      <w:r w:rsidR="00C66DD7">
        <w:rPr>
          <w:sz w:val="24"/>
          <w:szCs w:val="24"/>
          <w:lang w:val="en-GB"/>
        </w:rPr>
        <w:t>94</w:t>
      </w:r>
      <w:r w:rsidRPr="00DB5770">
        <w:rPr>
          <w:sz w:val="24"/>
          <w:szCs w:val="24"/>
          <w:lang w:val="en-GB"/>
        </w:rPr>
        <w:t xml:space="preserve"> employees (on 31 March 201</w:t>
      </w:r>
      <w:r w:rsidR="00C66DD7">
        <w:rPr>
          <w:sz w:val="24"/>
          <w:szCs w:val="24"/>
          <w:lang w:val="en-GB"/>
        </w:rPr>
        <w:t>9</w:t>
      </w:r>
      <w:r w:rsidRPr="00DB5770">
        <w:rPr>
          <w:sz w:val="24"/>
          <w:szCs w:val="24"/>
          <w:lang w:val="en-GB"/>
        </w:rPr>
        <w:t>: 3</w:t>
      </w:r>
      <w:r w:rsidR="00C66DD7">
        <w:rPr>
          <w:sz w:val="24"/>
          <w:szCs w:val="24"/>
          <w:lang w:val="en-GB"/>
        </w:rPr>
        <w:t>87</w:t>
      </w:r>
      <w:r w:rsidRPr="00DB5770">
        <w:rPr>
          <w:sz w:val="24"/>
          <w:szCs w:val="24"/>
          <w:lang w:val="en-GB"/>
        </w:rPr>
        <w:t xml:space="preserve"> employees</w:t>
      </w:r>
      <w:r w:rsidR="0014550E">
        <w:rPr>
          <w:sz w:val="24"/>
          <w:szCs w:val="24"/>
          <w:lang w:val="en-GB"/>
        </w:rPr>
        <w:t>)</w:t>
      </w:r>
      <w:r w:rsidRPr="00DB5770">
        <w:rPr>
          <w:sz w:val="24"/>
          <w:szCs w:val="24"/>
          <w:lang w:val="en-GB"/>
        </w:rPr>
        <w:t>.</w:t>
      </w:r>
    </w:p>
    <w:p w14:paraId="1E681239" w14:textId="77777777" w:rsidR="00582BB8" w:rsidRPr="00041197" w:rsidRDefault="00582BB8" w:rsidP="00794772">
      <w:pPr>
        <w:spacing w:after="0" w:line="240" w:lineRule="auto"/>
        <w:rPr>
          <w:rFonts w:eastAsia="Times New Roman" w:cs="Calibri"/>
          <w:b/>
          <w:spacing w:val="-3"/>
          <w:u w:val="single"/>
          <w:lang w:val="en-GB" w:eastAsia="hr-HR"/>
        </w:rPr>
      </w:pPr>
    </w:p>
    <w:p w14:paraId="198FD66C" w14:textId="77777777" w:rsidR="00DB5770" w:rsidRPr="0005777B" w:rsidRDefault="00DB5770" w:rsidP="00DB5770">
      <w:pPr>
        <w:spacing w:after="0" w:line="240" w:lineRule="auto"/>
        <w:rPr>
          <w:rFonts w:ascii="Calibri" w:hAnsi="Calibri" w:cs="Calibri"/>
          <w:b/>
          <w:sz w:val="24"/>
          <w:szCs w:val="24"/>
          <w:lang w:val="en-GB"/>
        </w:rPr>
      </w:pPr>
      <w:r w:rsidRPr="0005777B">
        <w:rPr>
          <w:rFonts w:ascii="Calibri" w:hAnsi="Calibri" w:cs="Calibri"/>
          <w:b/>
          <w:sz w:val="24"/>
          <w:szCs w:val="24"/>
          <w:lang w:val="en-GB"/>
        </w:rPr>
        <w:t>Assets and liabilities of the Group</w:t>
      </w:r>
    </w:p>
    <w:p w14:paraId="3E21AC2D" w14:textId="77777777" w:rsidR="003E5F5C" w:rsidRPr="00041197" w:rsidRDefault="003E5F5C" w:rsidP="00C23C95">
      <w:pPr>
        <w:spacing w:after="0" w:line="240" w:lineRule="auto"/>
        <w:rPr>
          <w:rFonts w:ascii="Calibri" w:hAnsi="Calibri" w:cs="Calibri"/>
          <w:lang w:val="en-GB"/>
        </w:rPr>
      </w:pPr>
    </w:p>
    <w:p w14:paraId="2CD70401" w14:textId="0233354B" w:rsidR="00934BFE" w:rsidRPr="00041197" w:rsidRDefault="006B126F" w:rsidP="00934BFE">
      <w:pPr>
        <w:spacing w:after="0" w:line="240" w:lineRule="auto"/>
        <w:jc w:val="both"/>
        <w:rPr>
          <w:rFonts w:cstheme="minorHAnsi"/>
          <w:sz w:val="24"/>
          <w:szCs w:val="24"/>
          <w:lang w:val="en-GB"/>
        </w:rPr>
      </w:pPr>
      <w:r w:rsidRPr="0005777B">
        <w:rPr>
          <w:rFonts w:cstheme="minorHAnsi"/>
          <w:sz w:val="24"/>
          <w:szCs w:val="24"/>
          <w:lang w:val="en-GB"/>
        </w:rPr>
        <w:t xml:space="preserve">Total assets of the Group on consolidated basis amount to HRK </w:t>
      </w:r>
      <w:r w:rsidR="00EB224C" w:rsidRPr="00041197">
        <w:rPr>
          <w:rFonts w:cstheme="minorHAnsi"/>
          <w:sz w:val="24"/>
          <w:szCs w:val="24"/>
          <w:lang w:val="en-GB"/>
        </w:rPr>
        <w:t>26</w:t>
      </w:r>
      <w:r>
        <w:rPr>
          <w:rFonts w:cstheme="minorHAnsi"/>
          <w:sz w:val="24"/>
          <w:szCs w:val="24"/>
          <w:lang w:val="en-GB"/>
        </w:rPr>
        <w:t>,</w:t>
      </w:r>
      <w:r w:rsidR="00C66DD7">
        <w:rPr>
          <w:rFonts w:cstheme="minorHAnsi"/>
          <w:sz w:val="24"/>
          <w:szCs w:val="24"/>
          <w:lang w:val="en-GB"/>
        </w:rPr>
        <w:t>662</w:t>
      </w:r>
      <w:r>
        <w:rPr>
          <w:rFonts w:cstheme="minorHAnsi"/>
          <w:sz w:val="24"/>
          <w:szCs w:val="24"/>
          <w:lang w:val="en-GB"/>
        </w:rPr>
        <w:t>.</w:t>
      </w:r>
      <w:r w:rsidR="00C66DD7">
        <w:rPr>
          <w:rFonts w:cstheme="minorHAnsi"/>
          <w:sz w:val="24"/>
          <w:szCs w:val="24"/>
          <w:lang w:val="en-GB"/>
        </w:rPr>
        <w:t>0</w:t>
      </w:r>
      <w:r w:rsidR="001C3F5F" w:rsidRPr="00041197">
        <w:rPr>
          <w:rFonts w:cstheme="minorHAnsi"/>
          <w:sz w:val="24"/>
          <w:szCs w:val="24"/>
          <w:lang w:val="en-GB"/>
        </w:rPr>
        <w:t xml:space="preserve"> </w:t>
      </w:r>
      <w:r w:rsidRPr="0005777B">
        <w:rPr>
          <w:rFonts w:cstheme="minorHAnsi"/>
          <w:sz w:val="24"/>
          <w:szCs w:val="24"/>
          <w:lang w:val="en-GB"/>
        </w:rPr>
        <w:t>million</w:t>
      </w:r>
      <w:r>
        <w:rPr>
          <w:rFonts w:cstheme="minorHAnsi"/>
          <w:sz w:val="24"/>
          <w:szCs w:val="24"/>
          <w:lang w:val="en-GB"/>
        </w:rPr>
        <w:t>, a</w:t>
      </w:r>
      <w:r w:rsidR="00630BEF">
        <w:rPr>
          <w:rFonts w:cstheme="minorHAnsi"/>
          <w:sz w:val="24"/>
          <w:szCs w:val="24"/>
          <w:lang w:val="en-GB"/>
        </w:rPr>
        <w:t>n</w:t>
      </w:r>
      <w:r>
        <w:rPr>
          <w:rFonts w:cstheme="minorHAnsi"/>
          <w:sz w:val="24"/>
          <w:szCs w:val="24"/>
          <w:lang w:val="en-GB"/>
        </w:rPr>
        <w:t xml:space="preserve"> </w:t>
      </w:r>
      <w:r w:rsidR="00630BEF">
        <w:rPr>
          <w:rFonts w:cstheme="minorHAnsi"/>
          <w:sz w:val="24"/>
          <w:szCs w:val="24"/>
          <w:lang w:val="en-GB"/>
        </w:rPr>
        <w:t>increase</w:t>
      </w:r>
      <w:r w:rsidRPr="00041197">
        <w:rPr>
          <w:rFonts w:cstheme="minorHAnsi"/>
          <w:sz w:val="24"/>
          <w:szCs w:val="24"/>
          <w:lang w:val="en-GB"/>
        </w:rPr>
        <w:t xml:space="preserve"> </w:t>
      </w:r>
      <w:r w:rsidR="002C3634">
        <w:rPr>
          <w:rFonts w:cstheme="minorHAnsi"/>
          <w:sz w:val="24"/>
          <w:szCs w:val="24"/>
          <w:lang w:val="en-GB"/>
        </w:rPr>
        <w:t>of</w:t>
      </w:r>
      <w:r w:rsidR="00934BFE" w:rsidRPr="00041197">
        <w:rPr>
          <w:rFonts w:cstheme="minorHAnsi"/>
          <w:sz w:val="24"/>
          <w:szCs w:val="24"/>
          <w:lang w:val="en-GB"/>
        </w:rPr>
        <w:t xml:space="preserve"> </w:t>
      </w:r>
      <w:r w:rsidR="00C66DD7">
        <w:rPr>
          <w:rFonts w:cstheme="minorHAnsi"/>
          <w:sz w:val="24"/>
          <w:szCs w:val="24"/>
          <w:lang w:val="en-GB"/>
        </w:rPr>
        <w:t>0</w:t>
      </w:r>
      <w:r w:rsidR="002C3634">
        <w:rPr>
          <w:rFonts w:cstheme="minorHAnsi"/>
          <w:sz w:val="24"/>
          <w:szCs w:val="24"/>
          <w:lang w:val="en-GB"/>
        </w:rPr>
        <w:t>.</w:t>
      </w:r>
      <w:r w:rsidR="00C66DD7">
        <w:rPr>
          <w:rFonts w:cstheme="minorHAnsi"/>
          <w:sz w:val="24"/>
          <w:szCs w:val="24"/>
          <w:lang w:val="en-GB"/>
        </w:rPr>
        <w:t>7</w:t>
      </w:r>
      <w:r w:rsidR="009E78D5" w:rsidRPr="00041197">
        <w:rPr>
          <w:rFonts w:cstheme="minorHAnsi"/>
          <w:sz w:val="24"/>
          <w:szCs w:val="24"/>
          <w:lang w:val="en-GB"/>
        </w:rPr>
        <w:t xml:space="preserve"> </w:t>
      </w:r>
      <w:r w:rsidR="00417B56" w:rsidRPr="00041197">
        <w:rPr>
          <w:rFonts w:cstheme="minorHAnsi"/>
          <w:sz w:val="24"/>
          <w:szCs w:val="24"/>
          <w:lang w:val="en-GB"/>
        </w:rPr>
        <w:t>p</w:t>
      </w:r>
      <w:r w:rsidR="002C3634">
        <w:rPr>
          <w:rFonts w:cstheme="minorHAnsi"/>
          <w:sz w:val="24"/>
          <w:szCs w:val="24"/>
          <w:lang w:val="en-GB"/>
        </w:rPr>
        <w:t>ercent compared with the beginning of the year</w:t>
      </w:r>
      <w:r w:rsidR="00934BFE" w:rsidRPr="00041197">
        <w:rPr>
          <w:rFonts w:cstheme="minorHAnsi"/>
          <w:sz w:val="24"/>
          <w:szCs w:val="24"/>
          <w:lang w:val="en-GB"/>
        </w:rPr>
        <w:t>.</w:t>
      </w:r>
      <w:r w:rsidR="007F3D20" w:rsidRPr="00041197">
        <w:rPr>
          <w:rFonts w:cstheme="minorHAnsi"/>
          <w:sz w:val="24"/>
          <w:szCs w:val="24"/>
          <w:lang w:val="en-GB"/>
        </w:rPr>
        <w:t xml:space="preserve"> </w:t>
      </w:r>
      <w:r w:rsidR="002C3634" w:rsidRPr="0005777B">
        <w:rPr>
          <w:rFonts w:cstheme="minorHAnsi"/>
          <w:sz w:val="24"/>
          <w:szCs w:val="24"/>
          <w:lang w:val="en-GB"/>
        </w:rPr>
        <w:t>The reasons for such tendency are stated in the description of HBOR’s financial performance</w:t>
      </w:r>
      <w:r w:rsidR="002C3634">
        <w:rPr>
          <w:rFonts w:cstheme="minorHAnsi"/>
          <w:sz w:val="24"/>
          <w:szCs w:val="24"/>
          <w:lang w:val="en-GB"/>
        </w:rPr>
        <w:t>.</w:t>
      </w:r>
    </w:p>
    <w:p w14:paraId="4FC1630B" w14:textId="77777777" w:rsidR="007162FD" w:rsidRPr="00041197" w:rsidRDefault="007162FD" w:rsidP="00934BFE">
      <w:pPr>
        <w:spacing w:after="0" w:line="240" w:lineRule="auto"/>
        <w:jc w:val="both"/>
        <w:rPr>
          <w:rFonts w:cstheme="minorHAnsi"/>
          <w:lang w:val="en-GB"/>
        </w:rPr>
      </w:pPr>
    </w:p>
    <w:p w14:paraId="49017E2E" w14:textId="282B3CA0" w:rsidR="00934BFE" w:rsidRPr="00041197" w:rsidRDefault="002C3634" w:rsidP="00934BFE">
      <w:pPr>
        <w:spacing w:after="0" w:line="240" w:lineRule="auto"/>
        <w:jc w:val="both"/>
        <w:rPr>
          <w:rFonts w:cstheme="minorHAnsi"/>
          <w:sz w:val="24"/>
          <w:szCs w:val="24"/>
          <w:lang w:val="en-GB"/>
        </w:rPr>
      </w:pPr>
      <w:r w:rsidRPr="0005777B">
        <w:rPr>
          <w:rFonts w:cstheme="minorHAnsi"/>
          <w:sz w:val="24"/>
          <w:szCs w:val="24"/>
          <w:lang w:val="en-GB"/>
        </w:rPr>
        <w:t>In the structure of assets, the major portion relates to the lending activities of the parent company</w:t>
      </w:r>
      <w:r>
        <w:rPr>
          <w:rFonts w:cstheme="minorHAnsi"/>
          <w:sz w:val="24"/>
          <w:szCs w:val="24"/>
          <w:lang w:val="en-GB"/>
        </w:rPr>
        <w:t>, i.e. net loans account for</w:t>
      </w:r>
      <w:r w:rsidR="00934BFE" w:rsidRPr="00041197">
        <w:rPr>
          <w:rFonts w:cstheme="minorHAnsi"/>
          <w:sz w:val="24"/>
          <w:szCs w:val="24"/>
          <w:lang w:val="en-GB"/>
        </w:rPr>
        <w:t xml:space="preserve"> </w:t>
      </w:r>
      <w:r w:rsidR="00C51E2A" w:rsidRPr="00041197">
        <w:rPr>
          <w:rFonts w:cstheme="minorHAnsi"/>
          <w:sz w:val="24"/>
          <w:szCs w:val="24"/>
          <w:lang w:val="en-GB"/>
        </w:rPr>
        <w:t>88</w:t>
      </w:r>
      <w:r>
        <w:rPr>
          <w:rFonts w:cstheme="minorHAnsi"/>
          <w:sz w:val="24"/>
          <w:szCs w:val="24"/>
          <w:lang w:val="en-GB"/>
        </w:rPr>
        <w:t>.</w:t>
      </w:r>
      <w:r w:rsidR="00C51E2A" w:rsidRPr="00041197">
        <w:rPr>
          <w:rFonts w:cstheme="minorHAnsi"/>
          <w:sz w:val="24"/>
          <w:szCs w:val="24"/>
          <w:lang w:val="en-GB"/>
        </w:rPr>
        <w:t>1</w:t>
      </w:r>
      <w:r w:rsidR="00D3254D" w:rsidRPr="00041197">
        <w:rPr>
          <w:rFonts w:cstheme="minorHAnsi"/>
          <w:sz w:val="24"/>
          <w:szCs w:val="24"/>
          <w:lang w:val="en-GB"/>
        </w:rPr>
        <w:t xml:space="preserve"> p</w:t>
      </w:r>
      <w:r>
        <w:rPr>
          <w:rFonts w:cstheme="minorHAnsi"/>
          <w:sz w:val="24"/>
          <w:szCs w:val="24"/>
          <w:lang w:val="en-GB"/>
        </w:rPr>
        <w:t>ercent of total assets</w:t>
      </w:r>
      <w:r w:rsidR="00934BFE" w:rsidRPr="00041197">
        <w:rPr>
          <w:rFonts w:cstheme="minorHAnsi"/>
          <w:sz w:val="24"/>
          <w:szCs w:val="24"/>
          <w:lang w:val="en-GB"/>
        </w:rPr>
        <w:t>.</w:t>
      </w:r>
    </w:p>
    <w:p w14:paraId="595274BD" w14:textId="77777777" w:rsidR="00934BFE" w:rsidRPr="00041197" w:rsidRDefault="00934BFE" w:rsidP="00934BFE">
      <w:pPr>
        <w:spacing w:after="0" w:line="240" w:lineRule="auto"/>
        <w:jc w:val="both"/>
        <w:rPr>
          <w:rFonts w:cstheme="minorHAnsi"/>
          <w:lang w:val="en-GB"/>
        </w:rPr>
      </w:pPr>
    </w:p>
    <w:p w14:paraId="4B55622F" w14:textId="64780AEE" w:rsidR="00934BFE" w:rsidRPr="00041197" w:rsidRDefault="002C3634" w:rsidP="001C6D63">
      <w:pPr>
        <w:spacing w:after="0" w:line="240" w:lineRule="auto"/>
        <w:jc w:val="both"/>
        <w:rPr>
          <w:rFonts w:eastAsia="Times New Roman" w:cs="Calibri"/>
          <w:spacing w:val="-3"/>
          <w:sz w:val="24"/>
          <w:szCs w:val="24"/>
          <w:lang w:val="en-GB" w:eastAsia="hr-HR"/>
        </w:rPr>
      </w:pPr>
      <w:r w:rsidRPr="0005777B">
        <w:rPr>
          <w:rFonts w:eastAsia="Times New Roman" w:cs="Calibri"/>
          <w:spacing w:val="-3"/>
          <w:sz w:val="24"/>
          <w:szCs w:val="24"/>
          <w:lang w:val="en-GB" w:eastAsia="hr-HR"/>
        </w:rPr>
        <w:t xml:space="preserve">Total liabilities and total equity as at 31 March </w:t>
      </w:r>
      <w:r>
        <w:rPr>
          <w:rFonts w:eastAsia="Times New Roman" w:cs="Calibri"/>
          <w:spacing w:val="-3"/>
          <w:sz w:val="24"/>
          <w:szCs w:val="24"/>
          <w:lang w:val="en-GB" w:eastAsia="hr-HR"/>
        </w:rPr>
        <w:t>20</w:t>
      </w:r>
      <w:r w:rsidR="00C66DD7">
        <w:rPr>
          <w:rFonts w:eastAsia="Times New Roman" w:cs="Calibri"/>
          <w:spacing w:val="-3"/>
          <w:sz w:val="24"/>
          <w:szCs w:val="24"/>
          <w:lang w:val="en-GB" w:eastAsia="hr-HR"/>
        </w:rPr>
        <w:t>20</w:t>
      </w:r>
      <w:r w:rsidR="00934BFE" w:rsidRPr="00041197">
        <w:rPr>
          <w:rFonts w:eastAsia="Times New Roman" w:cs="Calibri"/>
          <w:spacing w:val="-3"/>
          <w:sz w:val="24"/>
          <w:szCs w:val="24"/>
          <w:lang w:val="en-GB" w:eastAsia="hr-HR"/>
        </w:rPr>
        <w:t xml:space="preserve"> </w:t>
      </w:r>
      <w:r>
        <w:rPr>
          <w:rFonts w:eastAsia="Times New Roman" w:cs="Calibri"/>
          <w:spacing w:val="-3"/>
          <w:sz w:val="24"/>
          <w:szCs w:val="24"/>
          <w:lang w:val="en-GB" w:eastAsia="hr-HR"/>
        </w:rPr>
        <w:t>amount to HRK</w:t>
      </w:r>
      <w:r w:rsidR="00934BFE" w:rsidRPr="00041197">
        <w:rPr>
          <w:rFonts w:eastAsia="Times New Roman" w:cs="Calibri"/>
          <w:spacing w:val="-3"/>
          <w:sz w:val="24"/>
          <w:szCs w:val="24"/>
          <w:lang w:val="en-GB" w:eastAsia="hr-HR"/>
        </w:rPr>
        <w:t xml:space="preserve"> </w:t>
      </w:r>
      <w:r w:rsidR="00C51E2A" w:rsidRPr="00041197">
        <w:rPr>
          <w:rFonts w:eastAsia="Times New Roman" w:cs="Calibri"/>
          <w:spacing w:val="-3"/>
          <w:sz w:val="24"/>
          <w:szCs w:val="24"/>
          <w:lang w:val="en-GB" w:eastAsia="hr-HR"/>
        </w:rPr>
        <w:t>26</w:t>
      </w:r>
      <w:r>
        <w:rPr>
          <w:rFonts w:eastAsia="Times New Roman" w:cs="Calibri"/>
          <w:spacing w:val="-3"/>
          <w:sz w:val="24"/>
          <w:szCs w:val="24"/>
          <w:lang w:val="en-GB" w:eastAsia="hr-HR"/>
        </w:rPr>
        <w:t>,</w:t>
      </w:r>
      <w:r w:rsidR="00C66DD7">
        <w:rPr>
          <w:rFonts w:eastAsia="Times New Roman" w:cs="Calibri"/>
          <w:spacing w:val="-3"/>
          <w:sz w:val="24"/>
          <w:szCs w:val="24"/>
          <w:lang w:val="en-GB" w:eastAsia="hr-HR"/>
        </w:rPr>
        <w:t>662</w:t>
      </w:r>
      <w:r>
        <w:rPr>
          <w:rFonts w:eastAsia="Times New Roman" w:cs="Calibri"/>
          <w:spacing w:val="-3"/>
          <w:sz w:val="24"/>
          <w:szCs w:val="24"/>
          <w:lang w:val="en-GB" w:eastAsia="hr-HR"/>
        </w:rPr>
        <w:t>.</w:t>
      </w:r>
      <w:r w:rsidR="00C66DD7">
        <w:rPr>
          <w:rFonts w:eastAsia="Times New Roman" w:cs="Calibri"/>
          <w:spacing w:val="-3"/>
          <w:sz w:val="24"/>
          <w:szCs w:val="24"/>
          <w:lang w:val="en-GB" w:eastAsia="hr-HR"/>
        </w:rPr>
        <w:t>0</w:t>
      </w:r>
      <w:r w:rsidR="001C3F5F" w:rsidRPr="00041197">
        <w:rPr>
          <w:rFonts w:eastAsia="Times New Roman" w:cs="Calibri"/>
          <w:spacing w:val="-3"/>
          <w:sz w:val="24"/>
          <w:szCs w:val="24"/>
          <w:lang w:val="en-GB" w:eastAsia="hr-HR"/>
        </w:rPr>
        <w:t xml:space="preserve"> </w:t>
      </w:r>
      <w:r w:rsidR="00934BFE" w:rsidRPr="00041197">
        <w:rPr>
          <w:rFonts w:eastAsia="Times New Roman" w:cs="Calibri"/>
          <w:spacing w:val="-3"/>
          <w:sz w:val="24"/>
          <w:szCs w:val="24"/>
          <w:lang w:val="en-GB" w:eastAsia="hr-HR"/>
        </w:rPr>
        <w:t>mil</w:t>
      </w:r>
      <w:r>
        <w:rPr>
          <w:rFonts w:eastAsia="Times New Roman" w:cs="Calibri"/>
          <w:spacing w:val="-3"/>
          <w:sz w:val="24"/>
          <w:szCs w:val="24"/>
          <w:lang w:val="en-GB" w:eastAsia="hr-HR"/>
        </w:rPr>
        <w:t>lion, of</w:t>
      </w:r>
      <w:r w:rsidR="00934BFE" w:rsidRPr="00041197">
        <w:rPr>
          <w:rFonts w:eastAsia="Times New Roman" w:cs="Calibri"/>
          <w:spacing w:val="-3"/>
          <w:sz w:val="24"/>
          <w:szCs w:val="24"/>
          <w:lang w:val="en-GB" w:eastAsia="hr-HR"/>
        </w:rPr>
        <w:t xml:space="preserve"> </w:t>
      </w:r>
      <w:r>
        <w:rPr>
          <w:rFonts w:eastAsia="Times New Roman" w:cs="Calibri"/>
          <w:spacing w:val="-3"/>
          <w:sz w:val="24"/>
          <w:szCs w:val="24"/>
          <w:lang w:val="en-GB" w:eastAsia="hr-HR"/>
        </w:rPr>
        <w:t>which amount total liabilities equal HRK</w:t>
      </w:r>
      <w:r w:rsidR="00934BFE" w:rsidRPr="00041197">
        <w:rPr>
          <w:rFonts w:eastAsia="Times New Roman" w:cs="Calibri"/>
          <w:spacing w:val="-3"/>
          <w:sz w:val="24"/>
          <w:szCs w:val="24"/>
          <w:lang w:val="en-GB" w:eastAsia="hr-HR"/>
        </w:rPr>
        <w:t xml:space="preserve"> </w:t>
      </w:r>
      <w:r w:rsidR="00C51E2A" w:rsidRPr="00041197">
        <w:rPr>
          <w:rFonts w:eastAsia="Times New Roman" w:cs="Calibri"/>
          <w:spacing w:val="-3"/>
          <w:sz w:val="24"/>
          <w:szCs w:val="24"/>
          <w:lang w:val="en-GB" w:eastAsia="hr-HR"/>
        </w:rPr>
        <w:t>16</w:t>
      </w:r>
      <w:r>
        <w:rPr>
          <w:rFonts w:eastAsia="Times New Roman" w:cs="Calibri"/>
          <w:spacing w:val="-3"/>
          <w:sz w:val="24"/>
          <w:szCs w:val="24"/>
          <w:lang w:val="en-GB" w:eastAsia="hr-HR"/>
        </w:rPr>
        <w:t>,</w:t>
      </w:r>
      <w:r w:rsidR="00C66DD7">
        <w:rPr>
          <w:rFonts w:eastAsia="Times New Roman" w:cs="Calibri"/>
          <w:spacing w:val="-3"/>
          <w:sz w:val="24"/>
          <w:szCs w:val="24"/>
          <w:lang w:val="en-GB" w:eastAsia="hr-HR"/>
        </w:rPr>
        <w:t>384</w:t>
      </w:r>
      <w:r>
        <w:rPr>
          <w:rFonts w:eastAsia="Times New Roman" w:cs="Calibri"/>
          <w:spacing w:val="-3"/>
          <w:sz w:val="24"/>
          <w:szCs w:val="24"/>
          <w:lang w:val="en-GB" w:eastAsia="hr-HR"/>
        </w:rPr>
        <w:t>.</w:t>
      </w:r>
      <w:r w:rsidR="00C66DD7">
        <w:rPr>
          <w:rFonts w:eastAsia="Times New Roman" w:cs="Calibri"/>
          <w:spacing w:val="-3"/>
          <w:sz w:val="24"/>
          <w:szCs w:val="24"/>
          <w:lang w:val="en-GB" w:eastAsia="hr-HR"/>
        </w:rPr>
        <w:t>9</w:t>
      </w:r>
      <w:r w:rsidR="00934BFE" w:rsidRPr="00041197">
        <w:rPr>
          <w:rFonts w:ascii="Calibri" w:eastAsia="Times New Roman" w:hAnsi="Calibri" w:cs="Arial"/>
          <w:bCs/>
          <w:color w:val="000000"/>
          <w:sz w:val="24"/>
          <w:szCs w:val="24"/>
          <w:lang w:val="en-GB" w:eastAsia="hr-HR"/>
        </w:rPr>
        <w:t xml:space="preserve"> </w:t>
      </w:r>
      <w:r w:rsidR="00934BFE" w:rsidRPr="00041197">
        <w:rPr>
          <w:rFonts w:eastAsia="Times New Roman" w:cs="Calibri"/>
          <w:spacing w:val="-3"/>
          <w:sz w:val="24"/>
          <w:szCs w:val="24"/>
          <w:lang w:val="en-GB" w:eastAsia="hr-HR"/>
        </w:rPr>
        <w:t>mil</w:t>
      </w:r>
      <w:r>
        <w:rPr>
          <w:rFonts w:eastAsia="Times New Roman" w:cs="Calibri"/>
          <w:spacing w:val="-3"/>
          <w:sz w:val="24"/>
          <w:szCs w:val="24"/>
          <w:lang w:val="en-GB" w:eastAsia="hr-HR"/>
        </w:rPr>
        <w:t>lion</w:t>
      </w:r>
      <w:r w:rsidR="00934BFE" w:rsidRPr="00041197">
        <w:rPr>
          <w:rFonts w:eastAsia="Times New Roman" w:cs="Calibri"/>
          <w:spacing w:val="-3"/>
          <w:sz w:val="24"/>
          <w:szCs w:val="24"/>
          <w:lang w:val="en-GB" w:eastAsia="hr-HR"/>
        </w:rPr>
        <w:t xml:space="preserve">, </w:t>
      </w:r>
      <w:r>
        <w:rPr>
          <w:rFonts w:eastAsia="Times New Roman" w:cs="Calibri"/>
          <w:spacing w:val="-3"/>
          <w:sz w:val="24"/>
          <w:szCs w:val="24"/>
          <w:lang w:val="en-GB" w:eastAsia="hr-HR"/>
        </w:rPr>
        <w:t>i.e.</w:t>
      </w:r>
      <w:r w:rsidR="00934BFE" w:rsidRPr="00041197">
        <w:rPr>
          <w:rFonts w:eastAsia="Times New Roman" w:cs="Calibri"/>
          <w:spacing w:val="-3"/>
          <w:sz w:val="24"/>
          <w:szCs w:val="24"/>
          <w:lang w:val="en-GB" w:eastAsia="hr-HR"/>
        </w:rPr>
        <w:t xml:space="preserve"> </w:t>
      </w:r>
      <w:r w:rsidR="00C51E2A" w:rsidRPr="00041197">
        <w:rPr>
          <w:rFonts w:eastAsia="Times New Roman" w:cs="Calibri"/>
          <w:spacing w:val="-3"/>
          <w:sz w:val="24"/>
          <w:szCs w:val="24"/>
          <w:lang w:val="en-GB" w:eastAsia="hr-HR"/>
        </w:rPr>
        <w:t>6</w:t>
      </w:r>
      <w:r w:rsidR="00C66DD7">
        <w:rPr>
          <w:rFonts w:eastAsia="Times New Roman" w:cs="Calibri"/>
          <w:spacing w:val="-3"/>
          <w:sz w:val="24"/>
          <w:szCs w:val="24"/>
          <w:lang w:val="en-GB" w:eastAsia="hr-HR"/>
        </w:rPr>
        <w:t>1</w:t>
      </w:r>
      <w:r>
        <w:rPr>
          <w:rFonts w:eastAsia="Times New Roman" w:cs="Calibri"/>
          <w:spacing w:val="-3"/>
          <w:sz w:val="24"/>
          <w:szCs w:val="24"/>
          <w:lang w:val="en-GB" w:eastAsia="hr-HR"/>
        </w:rPr>
        <w:t>.</w:t>
      </w:r>
      <w:r w:rsidR="00C66DD7">
        <w:rPr>
          <w:rFonts w:eastAsia="Times New Roman" w:cs="Calibri"/>
          <w:spacing w:val="-3"/>
          <w:sz w:val="24"/>
          <w:szCs w:val="24"/>
          <w:lang w:val="en-GB" w:eastAsia="hr-HR"/>
        </w:rPr>
        <w:t>5</w:t>
      </w:r>
      <w:r w:rsidR="001101C0" w:rsidRPr="00041197">
        <w:rPr>
          <w:rFonts w:eastAsia="Times New Roman" w:cs="Calibri"/>
          <w:spacing w:val="-3"/>
          <w:sz w:val="24"/>
          <w:szCs w:val="24"/>
          <w:lang w:val="en-GB" w:eastAsia="hr-HR"/>
        </w:rPr>
        <w:t xml:space="preserve"> </w:t>
      </w:r>
      <w:r w:rsidR="00D3254D" w:rsidRPr="00041197">
        <w:rPr>
          <w:rFonts w:eastAsia="Times New Roman" w:cs="Calibri"/>
          <w:spacing w:val="-3"/>
          <w:sz w:val="24"/>
          <w:szCs w:val="24"/>
          <w:lang w:val="en-GB" w:eastAsia="hr-HR"/>
        </w:rPr>
        <w:t>p</w:t>
      </w:r>
      <w:r>
        <w:rPr>
          <w:rFonts w:eastAsia="Times New Roman" w:cs="Calibri"/>
          <w:spacing w:val="-3"/>
          <w:sz w:val="24"/>
          <w:szCs w:val="24"/>
          <w:lang w:val="en-GB" w:eastAsia="hr-HR"/>
        </w:rPr>
        <w:t>ercent</w:t>
      </w:r>
      <w:r w:rsidR="00934BFE" w:rsidRPr="00041197">
        <w:rPr>
          <w:rFonts w:eastAsia="Times New Roman" w:cs="Calibri"/>
          <w:spacing w:val="-3"/>
          <w:sz w:val="24"/>
          <w:szCs w:val="24"/>
          <w:lang w:val="en-GB" w:eastAsia="hr-HR"/>
        </w:rPr>
        <w:t>.</w:t>
      </w:r>
    </w:p>
    <w:p w14:paraId="25A471A7" w14:textId="77777777" w:rsidR="007162FD" w:rsidRPr="00041197" w:rsidRDefault="007162FD" w:rsidP="001C6D63">
      <w:pPr>
        <w:spacing w:after="0" w:line="240" w:lineRule="auto"/>
        <w:jc w:val="both"/>
        <w:rPr>
          <w:rFonts w:eastAsia="Times New Roman" w:cs="Calibri"/>
          <w:spacing w:val="-3"/>
          <w:lang w:val="en-GB" w:eastAsia="hr-HR"/>
        </w:rPr>
      </w:pPr>
    </w:p>
    <w:p w14:paraId="30A8DF92" w14:textId="06D7F312" w:rsidR="00934BFE" w:rsidRPr="00041197" w:rsidRDefault="002C3634" w:rsidP="00934BFE">
      <w:pPr>
        <w:spacing w:after="0" w:line="240" w:lineRule="auto"/>
        <w:jc w:val="both"/>
        <w:rPr>
          <w:rFonts w:cstheme="minorHAnsi"/>
          <w:sz w:val="24"/>
          <w:szCs w:val="24"/>
          <w:lang w:val="en-GB"/>
        </w:rPr>
      </w:pPr>
      <w:r w:rsidRPr="0005777B">
        <w:rPr>
          <w:rFonts w:cstheme="minorHAnsi"/>
          <w:sz w:val="24"/>
          <w:szCs w:val="24"/>
          <w:lang w:val="en-GB"/>
        </w:rPr>
        <w:t xml:space="preserve">In total liabilities and total equity of the Group, the major portion, i.e. </w:t>
      </w:r>
      <w:r w:rsidR="00DE700B" w:rsidRPr="00041197">
        <w:rPr>
          <w:rFonts w:cstheme="minorHAnsi"/>
          <w:sz w:val="24"/>
          <w:szCs w:val="24"/>
          <w:lang w:val="en-GB"/>
        </w:rPr>
        <w:t>5</w:t>
      </w:r>
      <w:r w:rsidR="00C66DD7">
        <w:rPr>
          <w:rFonts w:cstheme="minorHAnsi"/>
          <w:sz w:val="24"/>
          <w:szCs w:val="24"/>
          <w:lang w:val="en-GB"/>
        </w:rPr>
        <w:t>9</w:t>
      </w:r>
      <w:r>
        <w:rPr>
          <w:rFonts w:cstheme="minorHAnsi"/>
          <w:sz w:val="24"/>
          <w:szCs w:val="24"/>
          <w:lang w:val="en-GB"/>
        </w:rPr>
        <w:t>.</w:t>
      </w:r>
      <w:r w:rsidR="00C66DD7">
        <w:rPr>
          <w:rFonts w:cstheme="minorHAnsi"/>
          <w:sz w:val="24"/>
          <w:szCs w:val="24"/>
          <w:lang w:val="en-GB"/>
        </w:rPr>
        <w:t>2</w:t>
      </w:r>
      <w:r w:rsidR="00D3254D" w:rsidRPr="00041197">
        <w:rPr>
          <w:rFonts w:cstheme="minorHAnsi"/>
          <w:sz w:val="24"/>
          <w:szCs w:val="24"/>
          <w:lang w:val="en-GB"/>
        </w:rPr>
        <w:t xml:space="preserve"> p</w:t>
      </w:r>
      <w:r>
        <w:rPr>
          <w:rFonts w:cstheme="minorHAnsi"/>
          <w:sz w:val="24"/>
          <w:szCs w:val="24"/>
          <w:lang w:val="en-GB"/>
        </w:rPr>
        <w:t>ercent</w:t>
      </w:r>
      <w:r w:rsidR="00934BFE" w:rsidRPr="00041197">
        <w:rPr>
          <w:rFonts w:cstheme="minorHAnsi"/>
          <w:sz w:val="24"/>
          <w:szCs w:val="24"/>
          <w:lang w:val="en-GB"/>
        </w:rPr>
        <w:t xml:space="preserve">, </w:t>
      </w:r>
      <w:r>
        <w:rPr>
          <w:rFonts w:cstheme="minorHAnsi"/>
          <w:sz w:val="24"/>
          <w:szCs w:val="24"/>
          <w:lang w:val="en-GB"/>
        </w:rPr>
        <w:t>consists of borrowings and bonds payable of the parent company</w:t>
      </w:r>
      <w:r w:rsidR="00934BFE" w:rsidRPr="00041197">
        <w:rPr>
          <w:rFonts w:cstheme="minorHAnsi"/>
          <w:sz w:val="24"/>
          <w:szCs w:val="24"/>
          <w:lang w:val="en-GB"/>
        </w:rPr>
        <w:t>.</w:t>
      </w:r>
    </w:p>
    <w:p w14:paraId="5995BDF4" w14:textId="77777777" w:rsidR="00EE3896" w:rsidRPr="00041197" w:rsidRDefault="00EE3896" w:rsidP="00934BFE">
      <w:pPr>
        <w:spacing w:after="0" w:line="240" w:lineRule="auto"/>
        <w:jc w:val="both"/>
        <w:rPr>
          <w:rFonts w:cstheme="minorHAnsi"/>
          <w:lang w:val="en-GB"/>
        </w:rPr>
      </w:pPr>
    </w:p>
    <w:p w14:paraId="60A51247" w14:textId="04A1B94E" w:rsidR="003358AA" w:rsidRPr="00041197" w:rsidRDefault="002C3634" w:rsidP="0065688C">
      <w:pPr>
        <w:tabs>
          <w:tab w:val="left" w:pos="1204"/>
        </w:tabs>
        <w:jc w:val="both"/>
        <w:rPr>
          <w:rFonts w:cstheme="minorHAnsi"/>
          <w:sz w:val="24"/>
          <w:szCs w:val="24"/>
          <w:lang w:val="en-GB"/>
        </w:rPr>
        <w:sectPr w:rsidR="003358AA" w:rsidRPr="00041197" w:rsidSect="00811935">
          <w:footerReference w:type="default" r:id="rId15"/>
          <w:footerReference w:type="first" r:id="rId16"/>
          <w:pgSz w:w="11906" w:h="16838" w:code="9"/>
          <w:pgMar w:top="-383" w:right="1134" w:bottom="567" w:left="1418" w:header="709" w:footer="709" w:gutter="0"/>
          <w:pgNumType w:start="4"/>
          <w:cols w:space="708"/>
          <w:titlePg/>
          <w:docGrid w:linePitch="360"/>
        </w:sectPr>
      </w:pPr>
      <w:r w:rsidRPr="0005777B">
        <w:rPr>
          <w:rFonts w:cstheme="minorHAnsi"/>
          <w:sz w:val="24"/>
          <w:szCs w:val="24"/>
          <w:lang w:val="en-GB"/>
        </w:rPr>
        <w:t xml:space="preserve">At the end of the reporting period, total equity on consolidated basis amounted to HRK </w:t>
      </w:r>
      <w:r w:rsidR="00C51E2A" w:rsidRPr="00041197">
        <w:rPr>
          <w:rFonts w:cstheme="minorHAnsi"/>
          <w:sz w:val="24"/>
          <w:szCs w:val="24"/>
          <w:lang w:val="en-GB"/>
        </w:rPr>
        <w:t>10</w:t>
      </w:r>
      <w:r>
        <w:rPr>
          <w:rFonts w:cstheme="minorHAnsi"/>
          <w:sz w:val="24"/>
          <w:szCs w:val="24"/>
          <w:lang w:val="en-GB"/>
        </w:rPr>
        <w:t>,</w:t>
      </w:r>
      <w:r w:rsidR="00C66DD7">
        <w:rPr>
          <w:rFonts w:cstheme="minorHAnsi"/>
          <w:sz w:val="24"/>
          <w:szCs w:val="24"/>
          <w:lang w:val="en-GB"/>
        </w:rPr>
        <w:t>277</w:t>
      </w:r>
      <w:r>
        <w:rPr>
          <w:rFonts w:cstheme="minorHAnsi"/>
          <w:sz w:val="24"/>
          <w:szCs w:val="24"/>
          <w:lang w:val="en-GB"/>
        </w:rPr>
        <w:t>.</w:t>
      </w:r>
      <w:r w:rsidR="00C66DD7">
        <w:rPr>
          <w:rFonts w:cstheme="minorHAnsi"/>
          <w:sz w:val="24"/>
          <w:szCs w:val="24"/>
          <w:lang w:val="en-GB"/>
        </w:rPr>
        <w:t>1</w:t>
      </w:r>
      <w:r w:rsidR="009E78D5" w:rsidRPr="00041197">
        <w:rPr>
          <w:rFonts w:eastAsia="Times New Roman" w:cs="Calibri"/>
          <w:spacing w:val="-3"/>
          <w:sz w:val="24"/>
          <w:szCs w:val="24"/>
          <w:lang w:val="en-GB" w:eastAsia="hr-HR"/>
        </w:rPr>
        <w:t xml:space="preserve"> </w:t>
      </w:r>
      <w:r w:rsidRPr="0005777B">
        <w:rPr>
          <w:rFonts w:cstheme="minorHAnsi"/>
          <w:sz w:val="24"/>
          <w:szCs w:val="24"/>
          <w:lang w:val="en-GB"/>
        </w:rPr>
        <w:t xml:space="preserve">million and accounted for </w:t>
      </w:r>
      <w:r w:rsidR="00C51E2A" w:rsidRPr="00041197">
        <w:rPr>
          <w:rFonts w:cstheme="minorHAnsi"/>
          <w:sz w:val="24"/>
          <w:szCs w:val="24"/>
          <w:lang w:val="en-GB"/>
        </w:rPr>
        <w:t>3</w:t>
      </w:r>
      <w:r w:rsidR="00C66DD7">
        <w:rPr>
          <w:rFonts w:cstheme="minorHAnsi"/>
          <w:sz w:val="24"/>
          <w:szCs w:val="24"/>
          <w:lang w:val="en-GB"/>
        </w:rPr>
        <w:t>8</w:t>
      </w:r>
      <w:r>
        <w:rPr>
          <w:rFonts w:cstheme="minorHAnsi"/>
          <w:sz w:val="24"/>
          <w:szCs w:val="24"/>
          <w:lang w:val="en-GB"/>
        </w:rPr>
        <w:t>.</w:t>
      </w:r>
      <w:r w:rsidR="00C66DD7">
        <w:rPr>
          <w:rFonts w:cstheme="minorHAnsi"/>
          <w:sz w:val="24"/>
          <w:szCs w:val="24"/>
          <w:lang w:val="en-GB"/>
        </w:rPr>
        <w:t>5</w:t>
      </w:r>
      <w:r w:rsidR="002260BD" w:rsidRPr="00041197">
        <w:rPr>
          <w:rFonts w:cstheme="minorHAnsi"/>
          <w:sz w:val="24"/>
          <w:szCs w:val="24"/>
          <w:lang w:val="en-GB"/>
        </w:rPr>
        <w:t xml:space="preserve"> </w:t>
      </w:r>
      <w:r w:rsidR="00D3254D" w:rsidRPr="00041197">
        <w:rPr>
          <w:rFonts w:cstheme="minorHAnsi"/>
          <w:sz w:val="24"/>
          <w:szCs w:val="24"/>
          <w:lang w:val="en-GB"/>
        </w:rPr>
        <w:t>p</w:t>
      </w:r>
      <w:r>
        <w:rPr>
          <w:rFonts w:cstheme="minorHAnsi"/>
          <w:sz w:val="24"/>
          <w:szCs w:val="24"/>
          <w:lang w:val="en-GB"/>
        </w:rPr>
        <w:t>ercent of total liabilities and total equity of the Group</w:t>
      </w:r>
      <w:r w:rsidR="00934BFE" w:rsidRPr="00041197">
        <w:rPr>
          <w:rFonts w:cstheme="minorHAnsi"/>
          <w:sz w:val="24"/>
          <w:szCs w:val="24"/>
          <w:lang w:val="en-GB"/>
        </w:rPr>
        <w:t>.</w:t>
      </w:r>
      <w:r w:rsidR="002A599E" w:rsidRPr="00041197">
        <w:rPr>
          <w:rFonts w:cstheme="minorHAnsi"/>
          <w:sz w:val="24"/>
          <w:szCs w:val="24"/>
          <w:lang w:val="en-GB"/>
        </w:rPr>
        <w:t xml:space="preserve"> </w:t>
      </w:r>
    </w:p>
    <w:p w14:paraId="37BB296D" w14:textId="77777777" w:rsidR="007866A7" w:rsidRPr="00041197" w:rsidRDefault="007866A7" w:rsidP="00C23C95">
      <w:pPr>
        <w:tabs>
          <w:tab w:val="left" w:pos="1204"/>
        </w:tabs>
        <w:rPr>
          <w:rFonts w:cstheme="minorHAnsi"/>
          <w:sz w:val="24"/>
          <w:szCs w:val="24"/>
          <w:lang w:val="en-GB"/>
        </w:rPr>
      </w:pPr>
    </w:p>
    <w:p w14:paraId="22310933" w14:textId="77777777" w:rsidR="00F449AE" w:rsidRPr="00041197" w:rsidRDefault="00F449AE" w:rsidP="00C23C95">
      <w:pPr>
        <w:tabs>
          <w:tab w:val="left" w:pos="1204"/>
        </w:tabs>
        <w:rPr>
          <w:rFonts w:cstheme="minorHAnsi"/>
          <w:sz w:val="24"/>
          <w:szCs w:val="24"/>
          <w:lang w:val="en-GB"/>
        </w:rPr>
      </w:pPr>
    </w:p>
    <w:p w14:paraId="74B0E72C" w14:textId="3F6E0644" w:rsidR="001607DE" w:rsidRPr="001607DE" w:rsidRDefault="005609E5" w:rsidP="001607DE">
      <w:pPr>
        <w:spacing w:after="0" w:line="240" w:lineRule="auto"/>
        <w:ind w:left="-284" w:right="-285"/>
        <w:jc w:val="both"/>
        <w:rPr>
          <w:rFonts w:eastAsia="Times New Roman" w:cs="Calibri"/>
          <w:b/>
          <w:spacing w:val="-3"/>
          <w:sz w:val="24"/>
          <w:szCs w:val="24"/>
          <w:u w:val="single"/>
          <w:lang w:eastAsia="hr-HR"/>
        </w:rPr>
      </w:pPr>
      <w:r>
        <w:rPr>
          <w:rFonts w:cstheme="minorHAnsi"/>
          <w:noProof/>
          <w:sz w:val="24"/>
          <w:szCs w:val="24"/>
        </w:rPr>
        <w:drawing>
          <wp:inline distT="0" distB="0" distL="0" distR="0" wp14:anchorId="620203DE" wp14:editId="5D463B44">
            <wp:extent cx="2818874" cy="3924000"/>
            <wp:effectExtent l="0" t="0" r="635" b="63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18874" cy="3924000"/>
                    </a:xfrm>
                    <a:prstGeom prst="rect">
                      <a:avLst/>
                    </a:prstGeom>
                    <a:noFill/>
                  </pic:spPr>
                </pic:pic>
              </a:graphicData>
            </a:graphic>
          </wp:inline>
        </w:drawing>
      </w:r>
      <w:r>
        <w:rPr>
          <w:rFonts w:cstheme="minorHAnsi"/>
          <w:sz w:val="24"/>
          <w:szCs w:val="24"/>
        </w:rPr>
        <w:t xml:space="preserve">    </w:t>
      </w:r>
      <w:r w:rsidR="001607DE" w:rsidRPr="001607DE">
        <w:rPr>
          <w:rFonts w:cstheme="minorHAnsi"/>
          <w:sz w:val="24"/>
          <w:szCs w:val="24"/>
        </w:rPr>
        <w:t xml:space="preserve">  </w:t>
      </w:r>
      <w:r>
        <w:rPr>
          <w:rFonts w:cstheme="minorHAnsi"/>
          <w:sz w:val="24"/>
          <w:szCs w:val="24"/>
        </w:rPr>
        <w:t xml:space="preserve"> </w:t>
      </w:r>
      <w:r w:rsidR="001607DE" w:rsidRPr="001607DE">
        <w:rPr>
          <w:rFonts w:cstheme="minorHAnsi"/>
          <w:sz w:val="24"/>
          <w:szCs w:val="24"/>
        </w:rPr>
        <w:t xml:space="preserve"> </w:t>
      </w:r>
      <w:r>
        <w:rPr>
          <w:rFonts w:cstheme="minorHAnsi"/>
          <w:noProof/>
          <w:sz w:val="24"/>
          <w:szCs w:val="24"/>
        </w:rPr>
        <w:drawing>
          <wp:inline distT="0" distB="0" distL="0" distR="0" wp14:anchorId="01B76777" wp14:editId="491CA006">
            <wp:extent cx="2820542" cy="3924000"/>
            <wp:effectExtent l="0" t="0" r="0" b="63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820542" cy="3924000"/>
                    </a:xfrm>
                    <a:prstGeom prst="rect">
                      <a:avLst/>
                    </a:prstGeom>
                    <a:noFill/>
                  </pic:spPr>
                </pic:pic>
              </a:graphicData>
            </a:graphic>
          </wp:inline>
        </w:drawing>
      </w:r>
      <w:r w:rsidR="001607DE" w:rsidRPr="001607DE">
        <w:rPr>
          <w:rFonts w:cstheme="minorHAnsi"/>
          <w:sz w:val="24"/>
          <w:szCs w:val="24"/>
        </w:rPr>
        <w:t xml:space="preserve">      </w:t>
      </w:r>
    </w:p>
    <w:p w14:paraId="41A17FBD" w14:textId="4922524E" w:rsidR="001607DE" w:rsidRPr="001607DE" w:rsidRDefault="001607DE" w:rsidP="001607DE">
      <w:pPr>
        <w:spacing w:after="0" w:line="240" w:lineRule="auto"/>
        <w:ind w:left="-284" w:right="-425"/>
        <w:rPr>
          <w:rFonts w:eastAsia="Times New Roman" w:cs="Calibri"/>
          <w:b/>
          <w:noProof/>
          <w:spacing w:val="-3"/>
          <w:sz w:val="24"/>
          <w:szCs w:val="24"/>
          <w:lang w:eastAsia="hr-HR"/>
        </w:rPr>
      </w:pPr>
      <w:r w:rsidRPr="001607DE">
        <w:rPr>
          <w:rFonts w:eastAsia="Times New Roman" w:cs="Calibri"/>
          <w:b/>
          <w:spacing w:val="-3"/>
          <w:sz w:val="24"/>
          <w:szCs w:val="24"/>
          <w:lang w:eastAsia="hr-HR"/>
        </w:rPr>
        <w:t xml:space="preserve">  </w:t>
      </w:r>
      <w:r w:rsidRPr="001607DE">
        <w:rPr>
          <w:rFonts w:eastAsia="Times New Roman" w:cs="Calibri"/>
          <w:b/>
          <w:noProof/>
          <w:spacing w:val="-3"/>
          <w:sz w:val="24"/>
          <w:szCs w:val="24"/>
          <w:lang w:eastAsia="hr-HR"/>
        </w:rPr>
        <w:t xml:space="preserve">         </w:t>
      </w:r>
    </w:p>
    <w:p w14:paraId="02B32360" w14:textId="1AF9A17B" w:rsidR="00C11727" w:rsidRPr="00041197" w:rsidRDefault="00DE5B2C" w:rsidP="001C6D63">
      <w:pPr>
        <w:spacing w:after="0" w:line="240" w:lineRule="auto"/>
        <w:ind w:left="-284" w:right="-425"/>
        <w:rPr>
          <w:rFonts w:eastAsia="Times New Roman" w:cs="Calibri"/>
          <w:b/>
          <w:spacing w:val="-3"/>
          <w:sz w:val="24"/>
          <w:szCs w:val="24"/>
          <w:lang w:val="en-GB" w:eastAsia="hr-HR"/>
        </w:rPr>
      </w:pPr>
      <w:r>
        <w:rPr>
          <w:rFonts w:eastAsia="Times New Roman" w:cs="Calibri"/>
          <w:b/>
          <w:noProof/>
          <w:spacing w:val="-3"/>
          <w:sz w:val="24"/>
          <w:szCs w:val="24"/>
          <w:lang w:eastAsia="hr-HR"/>
        </w:rPr>
        <w:drawing>
          <wp:inline distT="0" distB="0" distL="0" distR="0" wp14:anchorId="1BB5AB1B" wp14:editId="2C727569">
            <wp:extent cx="2824805" cy="3924000"/>
            <wp:effectExtent l="0" t="0" r="0" b="63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824805" cy="3924000"/>
                    </a:xfrm>
                    <a:prstGeom prst="rect">
                      <a:avLst/>
                    </a:prstGeom>
                    <a:noFill/>
                  </pic:spPr>
                </pic:pic>
              </a:graphicData>
            </a:graphic>
          </wp:inline>
        </w:drawing>
      </w:r>
      <w:r w:rsidR="001607DE" w:rsidRPr="001607DE">
        <w:rPr>
          <w:rFonts w:eastAsia="Times New Roman" w:cs="Calibri"/>
          <w:b/>
          <w:noProof/>
          <w:spacing w:val="-3"/>
          <w:sz w:val="24"/>
          <w:szCs w:val="24"/>
          <w:lang w:eastAsia="hr-HR"/>
        </w:rPr>
        <w:t xml:space="preserve"> </w:t>
      </w:r>
      <w:r>
        <w:rPr>
          <w:rFonts w:eastAsia="Times New Roman" w:cs="Calibri"/>
          <w:b/>
          <w:noProof/>
          <w:spacing w:val="-3"/>
          <w:sz w:val="24"/>
          <w:szCs w:val="24"/>
          <w:lang w:eastAsia="hr-HR"/>
        </w:rPr>
        <w:t xml:space="preserve">      </w:t>
      </w:r>
      <w:r w:rsidR="001607DE" w:rsidRPr="001607DE">
        <w:rPr>
          <w:rFonts w:eastAsia="Times New Roman" w:cs="Calibri"/>
          <w:b/>
          <w:noProof/>
          <w:spacing w:val="-3"/>
          <w:sz w:val="24"/>
          <w:szCs w:val="24"/>
          <w:lang w:eastAsia="hr-HR"/>
        </w:rPr>
        <w:t xml:space="preserve">   </w:t>
      </w:r>
      <w:r w:rsidR="005609E5">
        <w:rPr>
          <w:rFonts w:eastAsia="Times New Roman" w:cs="Calibri"/>
          <w:b/>
          <w:noProof/>
          <w:spacing w:val="-3"/>
          <w:sz w:val="24"/>
          <w:szCs w:val="24"/>
          <w:lang w:eastAsia="hr-HR"/>
        </w:rPr>
        <w:drawing>
          <wp:inline distT="0" distB="0" distL="0" distR="0" wp14:anchorId="55901D1B" wp14:editId="708F3C47">
            <wp:extent cx="2810800" cy="3924000"/>
            <wp:effectExtent l="0" t="0" r="8890" b="63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810800" cy="3924000"/>
                    </a:xfrm>
                    <a:prstGeom prst="rect">
                      <a:avLst/>
                    </a:prstGeom>
                    <a:noFill/>
                  </pic:spPr>
                </pic:pic>
              </a:graphicData>
            </a:graphic>
          </wp:inline>
        </w:drawing>
      </w:r>
      <w:r w:rsidR="001607DE" w:rsidRPr="001607DE">
        <w:rPr>
          <w:rFonts w:eastAsia="Times New Roman" w:cs="Calibri"/>
          <w:b/>
          <w:noProof/>
          <w:spacing w:val="-3"/>
          <w:sz w:val="24"/>
          <w:szCs w:val="24"/>
          <w:lang w:eastAsia="hr-HR"/>
        </w:rPr>
        <w:t xml:space="preserve">        </w:t>
      </w:r>
    </w:p>
    <w:p w14:paraId="23408705" w14:textId="0D75F57F" w:rsidR="00D26ABB" w:rsidRPr="00041197" w:rsidRDefault="008A29AA" w:rsidP="007B069A">
      <w:pPr>
        <w:spacing w:before="240" w:after="0" w:line="240" w:lineRule="auto"/>
        <w:jc w:val="both"/>
        <w:rPr>
          <w:rFonts w:eastAsia="Times New Roman" w:cs="Calibri"/>
          <w:b/>
          <w:spacing w:val="-3"/>
          <w:sz w:val="18"/>
          <w:szCs w:val="18"/>
          <w:u w:val="single"/>
          <w:lang w:val="en-GB" w:eastAsia="hr-HR"/>
        </w:rPr>
      </w:pPr>
      <w:r w:rsidRPr="00041197">
        <w:rPr>
          <w:rFonts w:eastAsia="Times New Roman" w:cs="Calibri"/>
          <w:color w:val="7F7F7F" w:themeColor="text1" w:themeTint="80"/>
          <w:spacing w:val="-3"/>
          <w:sz w:val="18"/>
          <w:szCs w:val="18"/>
          <w:lang w:val="en-GB" w:eastAsia="hr-HR"/>
        </w:rPr>
        <w:t>*</w:t>
      </w:r>
      <w:r w:rsidR="002C3634">
        <w:rPr>
          <w:rFonts w:eastAsia="Times New Roman" w:cs="Calibri"/>
          <w:color w:val="7F7F7F" w:themeColor="text1" w:themeTint="80"/>
          <w:spacing w:val="-3"/>
          <w:sz w:val="18"/>
          <w:szCs w:val="18"/>
          <w:lang w:val="en-GB" w:eastAsia="hr-HR"/>
        </w:rPr>
        <w:t>Property</w:t>
      </w:r>
      <w:r w:rsidRPr="00041197">
        <w:rPr>
          <w:rFonts w:eastAsia="Times New Roman" w:cs="Calibri"/>
          <w:color w:val="7F7F7F" w:themeColor="text1" w:themeTint="80"/>
          <w:spacing w:val="-3"/>
          <w:sz w:val="18"/>
          <w:szCs w:val="18"/>
          <w:lang w:val="en-GB" w:eastAsia="hr-HR"/>
        </w:rPr>
        <w:t>, p</w:t>
      </w:r>
      <w:r w:rsidR="002C3634">
        <w:rPr>
          <w:rFonts w:eastAsia="Times New Roman" w:cs="Calibri"/>
          <w:color w:val="7F7F7F" w:themeColor="text1" w:themeTint="80"/>
          <w:spacing w:val="-3"/>
          <w:sz w:val="18"/>
          <w:szCs w:val="18"/>
          <w:lang w:val="en-GB" w:eastAsia="hr-HR"/>
        </w:rPr>
        <w:t>lant and equipment and intangible assets</w:t>
      </w:r>
      <w:r w:rsidRPr="00041197">
        <w:rPr>
          <w:rFonts w:eastAsia="Times New Roman" w:cs="Calibri"/>
          <w:color w:val="7F7F7F" w:themeColor="text1" w:themeTint="80"/>
          <w:spacing w:val="-3"/>
          <w:sz w:val="18"/>
          <w:szCs w:val="18"/>
          <w:lang w:val="en-GB" w:eastAsia="hr-HR"/>
        </w:rPr>
        <w:t xml:space="preserve">, </w:t>
      </w:r>
      <w:r w:rsidR="00D03A9F" w:rsidRPr="00D03A9F">
        <w:rPr>
          <w:rFonts w:eastAsia="Times New Roman" w:cs="Calibri"/>
          <w:color w:val="7F7F7F" w:themeColor="text1" w:themeTint="80"/>
          <w:spacing w:val="-3"/>
          <w:sz w:val="18"/>
          <w:szCs w:val="18"/>
          <w:lang w:val="en-GB" w:eastAsia="hr-HR"/>
        </w:rPr>
        <w:t>Foreclosed assets</w:t>
      </w:r>
      <w:r w:rsidR="00FA1AE8" w:rsidRPr="00041197">
        <w:rPr>
          <w:rFonts w:eastAsia="Times New Roman" w:cs="Calibri"/>
          <w:color w:val="7F7F7F" w:themeColor="text1" w:themeTint="80"/>
          <w:spacing w:val="-3"/>
          <w:sz w:val="18"/>
          <w:szCs w:val="18"/>
          <w:lang w:val="en-GB" w:eastAsia="hr-HR"/>
        </w:rPr>
        <w:t>, D</w:t>
      </w:r>
      <w:r w:rsidR="00A37829">
        <w:rPr>
          <w:rFonts w:eastAsia="Times New Roman" w:cs="Calibri"/>
          <w:color w:val="7F7F7F" w:themeColor="text1" w:themeTint="80"/>
          <w:spacing w:val="-3"/>
          <w:sz w:val="18"/>
          <w:szCs w:val="18"/>
          <w:lang w:val="en-GB" w:eastAsia="hr-HR"/>
        </w:rPr>
        <w:t>ebts securities at AC</w:t>
      </w:r>
      <w:r w:rsidRPr="00041197">
        <w:rPr>
          <w:rFonts w:eastAsia="Times New Roman" w:cs="Calibri"/>
          <w:color w:val="7F7F7F" w:themeColor="text1" w:themeTint="80"/>
          <w:spacing w:val="-3"/>
          <w:sz w:val="18"/>
          <w:szCs w:val="18"/>
          <w:lang w:val="en-GB" w:eastAsia="hr-HR"/>
        </w:rPr>
        <w:t xml:space="preserve"> </w:t>
      </w:r>
      <w:r w:rsidR="002C3634">
        <w:rPr>
          <w:rFonts w:eastAsia="Times New Roman" w:cs="Calibri"/>
          <w:color w:val="7F7F7F" w:themeColor="text1" w:themeTint="80"/>
          <w:spacing w:val="-3"/>
          <w:sz w:val="18"/>
          <w:szCs w:val="18"/>
          <w:lang w:val="en-GB" w:eastAsia="hr-HR"/>
        </w:rPr>
        <w:t>and Other assets</w:t>
      </w:r>
      <w:r w:rsidRPr="00041197">
        <w:rPr>
          <w:rFonts w:eastAsia="Times New Roman" w:cs="Calibri"/>
          <w:color w:val="7F7F7F" w:themeColor="text1" w:themeTint="80"/>
          <w:spacing w:val="-3"/>
          <w:sz w:val="18"/>
          <w:szCs w:val="18"/>
          <w:lang w:val="en-GB" w:eastAsia="hr-HR"/>
        </w:rPr>
        <w:t>.</w:t>
      </w:r>
    </w:p>
    <w:p w14:paraId="7D889092" w14:textId="77777777" w:rsidR="00810A4B" w:rsidRPr="002A10E9" w:rsidRDefault="00D26ABB" w:rsidP="002A10E9">
      <w:pPr>
        <w:spacing w:before="120" w:after="0" w:line="240" w:lineRule="auto"/>
        <w:jc w:val="both"/>
        <w:rPr>
          <w:rFonts w:eastAsia="Times New Roman" w:cs="Calibri"/>
          <w:color w:val="7F7F7F" w:themeColor="text1" w:themeTint="80"/>
          <w:spacing w:val="-3"/>
          <w:sz w:val="18"/>
          <w:szCs w:val="18"/>
          <w:lang w:val="en-GB" w:eastAsia="hr-HR"/>
        </w:rPr>
      </w:pPr>
      <w:r w:rsidRPr="002A10E9">
        <w:rPr>
          <w:rFonts w:eastAsia="Times New Roman" w:cs="Calibri"/>
          <w:color w:val="7F7F7F" w:themeColor="text1" w:themeTint="80"/>
          <w:spacing w:val="-3"/>
          <w:sz w:val="18"/>
          <w:szCs w:val="18"/>
          <w:lang w:val="en-GB" w:eastAsia="hr-HR"/>
        </w:rPr>
        <w:t>**</w:t>
      </w:r>
      <w:r w:rsidR="00A37829">
        <w:rPr>
          <w:rFonts w:eastAsia="Times New Roman" w:cs="Calibri"/>
          <w:color w:val="7F7F7F" w:themeColor="text1" w:themeTint="80"/>
          <w:spacing w:val="-3"/>
          <w:sz w:val="18"/>
          <w:szCs w:val="18"/>
          <w:lang w:val="en-GB" w:eastAsia="hr-HR"/>
        </w:rPr>
        <w:t>Provisioning includes provisioning for guarantees</w:t>
      </w:r>
      <w:r w:rsidRPr="002A10E9">
        <w:rPr>
          <w:rFonts w:eastAsia="Times New Roman" w:cs="Calibri"/>
          <w:color w:val="7F7F7F" w:themeColor="text1" w:themeTint="80"/>
          <w:spacing w:val="-3"/>
          <w:sz w:val="18"/>
          <w:szCs w:val="18"/>
          <w:lang w:val="en-GB" w:eastAsia="hr-HR"/>
        </w:rPr>
        <w:t xml:space="preserve">, </w:t>
      </w:r>
      <w:r w:rsidR="00A37829">
        <w:rPr>
          <w:rFonts w:eastAsia="Times New Roman" w:cs="Calibri"/>
          <w:color w:val="7F7F7F" w:themeColor="text1" w:themeTint="80"/>
          <w:spacing w:val="-3"/>
          <w:sz w:val="18"/>
          <w:szCs w:val="18"/>
          <w:lang w:val="en-GB" w:eastAsia="hr-HR"/>
        </w:rPr>
        <w:t>commitments and other liabilities</w:t>
      </w:r>
      <w:r w:rsidRPr="00041197">
        <w:rPr>
          <w:rFonts w:eastAsia="Times New Roman" w:cs="Calibri"/>
          <w:color w:val="7F7F7F" w:themeColor="text1" w:themeTint="80"/>
          <w:spacing w:val="-3"/>
          <w:sz w:val="18"/>
          <w:szCs w:val="18"/>
          <w:lang w:val="en-GB" w:eastAsia="hr-HR"/>
        </w:rPr>
        <w:t>.</w:t>
      </w:r>
    </w:p>
    <w:p w14:paraId="7B1F355C" w14:textId="77777777" w:rsidR="00D26ABB" w:rsidRPr="00041197" w:rsidRDefault="00D26ABB">
      <w:pPr>
        <w:rPr>
          <w:rFonts w:eastAsia="Times New Roman" w:cs="Calibri"/>
          <w:b/>
          <w:spacing w:val="-3"/>
          <w:sz w:val="24"/>
          <w:szCs w:val="24"/>
          <w:u w:val="single"/>
          <w:lang w:val="en-GB" w:eastAsia="hr-HR"/>
        </w:rPr>
        <w:sectPr w:rsidR="00D26ABB" w:rsidRPr="00041197" w:rsidSect="00C23C95">
          <w:footerReference w:type="first" r:id="rId21"/>
          <w:pgSz w:w="11906" w:h="16838" w:code="9"/>
          <w:pgMar w:top="-383" w:right="1134" w:bottom="567" w:left="1418" w:header="709" w:footer="709" w:gutter="0"/>
          <w:pgNumType w:start="4"/>
          <w:cols w:space="708"/>
          <w:titlePg/>
          <w:docGrid w:linePitch="360"/>
        </w:sectPr>
      </w:pPr>
    </w:p>
    <w:p w14:paraId="774F023B" w14:textId="77777777" w:rsidR="00AE35D1" w:rsidRPr="00041197" w:rsidRDefault="00AE35D1">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2D157C5C" w14:textId="77777777" w:rsidR="00B37082" w:rsidRPr="00041197" w:rsidRDefault="00B37082">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2C5090B1"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29CBA3C7"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0456DC18"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13462D2F"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06401ADA"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6452C834"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56D756C5"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1E28A247"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17E6480D"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7866CE6C"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1B09EBD0"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66A857A9"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6337EB13"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73421B54"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4A1F6724"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31C4B336"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621BDE01"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6220BFD3"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1D6BFE56"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5308E64F"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17783FF7"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7B3AA358" w14:textId="77777777" w:rsidR="00A37829" w:rsidRPr="00395073" w:rsidRDefault="00A37829" w:rsidP="00A37829">
      <w:pPr>
        <w:tabs>
          <w:tab w:val="left" w:pos="-720"/>
          <w:tab w:val="left" w:pos="426"/>
        </w:tabs>
        <w:suppressAutoHyphens/>
        <w:spacing w:after="0" w:line="240" w:lineRule="auto"/>
        <w:jc w:val="center"/>
        <w:rPr>
          <w:rFonts w:eastAsia="Times New Roman" w:cs="Calibri"/>
          <w:b/>
          <w:spacing w:val="-3"/>
          <w:sz w:val="24"/>
          <w:szCs w:val="24"/>
          <w:u w:val="single"/>
          <w:lang w:val="en-GB" w:eastAsia="hr-HR"/>
        </w:rPr>
      </w:pPr>
      <w:r w:rsidRPr="00395073">
        <w:rPr>
          <w:rFonts w:ascii="Calibri" w:eastAsia="Times New Roman" w:hAnsi="Calibri" w:cs="Arial"/>
          <w:b/>
          <w:sz w:val="32"/>
          <w:szCs w:val="32"/>
          <w:lang w:val="en-GB"/>
        </w:rPr>
        <w:t>RESULTS OF HBOR</w:t>
      </w:r>
    </w:p>
    <w:p w14:paraId="13996527"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7ECA3825"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2ED8DF60"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50FE2A22"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41A34666"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2FD08E0C"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6EE637C6"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10F6A9D5"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61DE1071"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1F29A482"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1B98C075"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4E1C08F1"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248FE77C"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3FB04308"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68087294"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27208E74"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2705C731"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pPr>
    </w:p>
    <w:p w14:paraId="23B76E7B" w14:textId="77777777" w:rsidR="001D2396" w:rsidRPr="00041197" w:rsidRDefault="001D2396">
      <w:pPr>
        <w:tabs>
          <w:tab w:val="left" w:pos="-720"/>
          <w:tab w:val="left" w:pos="426"/>
        </w:tabs>
        <w:suppressAutoHyphens/>
        <w:spacing w:after="0" w:line="240" w:lineRule="auto"/>
        <w:jc w:val="both"/>
        <w:rPr>
          <w:rFonts w:eastAsia="Times New Roman" w:cs="Calibri"/>
          <w:b/>
          <w:spacing w:val="-3"/>
          <w:sz w:val="24"/>
          <w:szCs w:val="24"/>
          <w:u w:val="single"/>
          <w:lang w:val="en-GB" w:eastAsia="hr-HR"/>
        </w:rPr>
        <w:sectPr w:rsidR="001D2396" w:rsidRPr="00041197" w:rsidSect="000241D5">
          <w:footerReference w:type="first" r:id="rId22"/>
          <w:pgSz w:w="11906" w:h="16838" w:code="9"/>
          <w:pgMar w:top="596" w:right="1133" w:bottom="1417" w:left="1417" w:header="709" w:footer="709" w:gutter="0"/>
          <w:cols w:space="708"/>
          <w:titlePg/>
          <w:docGrid w:linePitch="360"/>
        </w:sectPr>
      </w:pPr>
    </w:p>
    <w:p w14:paraId="4F1629B1" w14:textId="77777777" w:rsidR="00A37829" w:rsidRPr="00395073" w:rsidRDefault="00A37829" w:rsidP="00A37829">
      <w:pPr>
        <w:keepNext/>
        <w:spacing w:after="0" w:line="240" w:lineRule="auto"/>
        <w:jc w:val="center"/>
        <w:outlineLvl w:val="1"/>
        <w:rPr>
          <w:rFonts w:ascii="Calibri" w:hAnsi="Calibri" w:cs="Calibri"/>
          <w:b/>
          <w:bCs/>
          <w:sz w:val="24"/>
          <w:szCs w:val="24"/>
          <w:lang w:val="en-GB" w:eastAsia="x-none"/>
        </w:rPr>
      </w:pPr>
      <w:bookmarkStart w:id="1" w:name="_Toc477261950"/>
      <w:r w:rsidRPr="00395073">
        <w:rPr>
          <w:rFonts w:ascii="Calibri" w:hAnsi="Calibri" w:cs="Calibri"/>
          <w:b/>
          <w:bCs/>
          <w:sz w:val="24"/>
          <w:szCs w:val="24"/>
          <w:lang w:val="en-GB" w:eastAsia="x-none"/>
        </w:rPr>
        <w:lastRenderedPageBreak/>
        <w:t>OVERVIEW OF FINANCIAL PERFORMANCE OF HBOR</w:t>
      </w:r>
      <w:bookmarkEnd w:id="1"/>
    </w:p>
    <w:p w14:paraId="204A504E" w14:textId="77777777" w:rsidR="003E5F5C" w:rsidRPr="00041197" w:rsidRDefault="003E5F5C" w:rsidP="00C23C95">
      <w:pPr>
        <w:keepNext/>
        <w:spacing w:after="0" w:line="240" w:lineRule="auto"/>
        <w:jc w:val="center"/>
        <w:outlineLvl w:val="1"/>
        <w:rPr>
          <w:rFonts w:ascii="Calibri" w:hAnsi="Calibri" w:cs="Calibri"/>
          <w:b/>
          <w:bCs/>
          <w:sz w:val="24"/>
          <w:szCs w:val="24"/>
          <w:lang w:val="en-GB" w:eastAsia="x-none"/>
        </w:rPr>
      </w:pPr>
    </w:p>
    <w:p w14:paraId="5DF7947B" w14:textId="77777777" w:rsidR="00BF17D9" w:rsidRPr="00041197" w:rsidRDefault="00A37829" w:rsidP="00C23C95">
      <w:pPr>
        <w:spacing w:after="0" w:line="240" w:lineRule="auto"/>
        <w:jc w:val="both"/>
        <w:rPr>
          <w:rFonts w:ascii="Calibri" w:hAnsi="Calibri" w:cs="Calibri"/>
          <w:sz w:val="24"/>
          <w:szCs w:val="24"/>
          <w:lang w:val="en-GB"/>
        </w:rPr>
      </w:pPr>
      <w:r w:rsidRPr="00395073">
        <w:rPr>
          <w:rFonts w:ascii="Calibri" w:hAnsi="Calibri" w:cs="Calibri"/>
          <w:sz w:val="24"/>
          <w:szCs w:val="24"/>
          <w:lang w:val="en-GB"/>
        </w:rPr>
        <w:t>The following text gives an overview and explanation of the significant changes in financial position and operating performance in the reporting period</w:t>
      </w:r>
      <w:r w:rsidR="00BF17D9" w:rsidRPr="00041197">
        <w:rPr>
          <w:rFonts w:ascii="Calibri" w:hAnsi="Calibri" w:cs="Calibri"/>
          <w:sz w:val="24"/>
          <w:szCs w:val="24"/>
          <w:lang w:val="en-GB"/>
        </w:rPr>
        <w:t>.</w:t>
      </w:r>
    </w:p>
    <w:p w14:paraId="7E080BD8" w14:textId="77777777" w:rsidR="00BF17D9" w:rsidRPr="00041197" w:rsidRDefault="00BF17D9" w:rsidP="00C23C95">
      <w:pPr>
        <w:tabs>
          <w:tab w:val="left" w:pos="-720"/>
        </w:tabs>
        <w:spacing w:after="0" w:line="240" w:lineRule="auto"/>
        <w:jc w:val="both"/>
        <w:rPr>
          <w:rFonts w:ascii="Calibri" w:hAnsi="Calibri" w:cs="Calibri"/>
          <w:b/>
          <w:spacing w:val="-3"/>
          <w:sz w:val="24"/>
          <w:szCs w:val="24"/>
          <w:lang w:val="en-GB"/>
        </w:rPr>
      </w:pPr>
    </w:p>
    <w:p w14:paraId="15BB6385" w14:textId="77777777" w:rsidR="003D5E90" w:rsidRPr="00395073" w:rsidRDefault="003D5E90" w:rsidP="003D5E90">
      <w:pPr>
        <w:tabs>
          <w:tab w:val="left" w:pos="-720"/>
        </w:tabs>
        <w:spacing w:after="0" w:line="240" w:lineRule="auto"/>
        <w:jc w:val="both"/>
        <w:rPr>
          <w:rFonts w:ascii="Calibri" w:hAnsi="Calibri" w:cs="Calibri"/>
          <w:b/>
          <w:spacing w:val="-3"/>
          <w:sz w:val="24"/>
          <w:szCs w:val="24"/>
          <w:lang w:val="en-GB"/>
        </w:rPr>
      </w:pPr>
      <w:r w:rsidRPr="00395073">
        <w:rPr>
          <w:rFonts w:ascii="Calibri" w:hAnsi="Calibri" w:cs="Calibri"/>
          <w:b/>
          <w:spacing w:val="-3"/>
          <w:sz w:val="24"/>
          <w:szCs w:val="24"/>
          <w:lang w:val="en-GB"/>
        </w:rPr>
        <w:t xml:space="preserve">Financial performance  </w:t>
      </w:r>
    </w:p>
    <w:p w14:paraId="50E59725" w14:textId="77777777" w:rsidR="00893743" w:rsidRPr="00041197" w:rsidRDefault="00893743" w:rsidP="00BF17D9">
      <w:pPr>
        <w:tabs>
          <w:tab w:val="left" w:pos="-720"/>
        </w:tabs>
        <w:suppressAutoHyphens/>
        <w:spacing w:after="0" w:line="240" w:lineRule="auto"/>
        <w:jc w:val="both"/>
        <w:rPr>
          <w:rFonts w:cstheme="minorHAnsi"/>
          <w:spacing w:val="-3"/>
          <w:sz w:val="24"/>
          <w:szCs w:val="24"/>
          <w:lang w:val="en-GB"/>
        </w:rPr>
      </w:pPr>
    </w:p>
    <w:p w14:paraId="12E43844" w14:textId="3ECC2E26" w:rsidR="00BF17D9" w:rsidRPr="00041197" w:rsidRDefault="003D5E90" w:rsidP="00BF17D9">
      <w:pPr>
        <w:tabs>
          <w:tab w:val="left" w:pos="-720"/>
        </w:tabs>
        <w:suppressAutoHyphens/>
        <w:spacing w:after="0" w:line="240" w:lineRule="auto"/>
        <w:jc w:val="both"/>
        <w:rPr>
          <w:rFonts w:cstheme="minorHAnsi"/>
          <w:spacing w:val="-3"/>
          <w:sz w:val="24"/>
          <w:szCs w:val="24"/>
          <w:lang w:val="en-GB"/>
        </w:rPr>
      </w:pPr>
      <w:r w:rsidRPr="00395073">
        <w:rPr>
          <w:rFonts w:cstheme="minorHAnsi"/>
          <w:spacing w:val="-3"/>
          <w:sz w:val="24"/>
          <w:szCs w:val="24"/>
          <w:lang w:val="en-GB"/>
        </w:rPr>
        <w:t xml:space="preserve">In the period from 1 January to </w:t>
      </w:r>
      <w:r w:rsidR="00FE06F1" w:rsidRPr="00041197">
        <w:rPr>
          <w:rFonts w:cstheme="minorHAnsi"/>
          <w:spacing w:val="-3"/>
          <w:sz w:val="24"/>
          <w:szCs w:val="24"/>
          <w:lang w:val="en-GB"/>
        </w:rPr>
        <w:t>3</w:t>
      </w:r>
      <w:r w:rsidR="00893743" w:rsidRPr="00041197">
        <w:rPr>
          <w:rFonts w:cstheme="minorHAnsi"/>
          <w:spacing w:val="-3"/>
          <w:sz w:val="24"/>
          <w:szCs w:val="24"/>
          <w:lang w:val="en-GB"/>
        </w:rPr>
        <w:t>1</w:t>
      </w:r>
      <w:r>
        <w:rPr>
          <w:rFonts w:cstheme="minorHAnsi"/>
          <w:spacing w:val="-3"/>
          <w:sz w:val="24"/>
          <w:szCs w:val="24"/>
          <w:lang w:val="en-GB"/>
        </w:rPr>
        <w:t xml:space="preserve"> March </w:t>
      </w:r>
      <w:r w:rsidR="00BF17D9" w:rsidRPr="00041197">
        <w:rPr>
          <w:rFonts w:cstheme="minorHAnsi"/>
          <w:spacing w:val="-3"/>
          <w:sz w:val="24"/>
          <w:szCs w:val="24"/>
          <w:lang w:val="en-GB"/>
        </w:rPr>
        <w:t>20</w:t>
      </w:r>
      <w:r w:rsidR="00630BEF">
        <w:rPr>
          <w:rFonts w:cstheme="minorHAnsi"/>
          <w:spacing w:val="-3"/>
          <w:sz w:val="24"/>
          <w:szCs w:val="24"/>
          <w:lang w:val="en-GB"/>
        </w:rPr>
        <w:t>20</w:t>
      </w:r>
      <w:r>
        <w:rPr>
          <w:rFonts w:cstheme="minorHAnsi"/>
          <w:spacing w:val="-3"/>
          <w:sz w:val="24"/>
          <w:szCs w:val="24"/>
          <w:lang w:val="en-GB"/>
        </w:rPr>
        <w:t>,</w:t>
      </w:r>
      <w:r w:rsidR="00BF17D9" w:rsidRPr="00041197">
        <w:rPr>
          <w:rFonts w:cstheme="minorHAnsi"/>
          <w:spacing w:val="-3"/>
          <w:sz w:val="24"/>
          <w:szCs w:val="24"/>
          <w:lang w:val="en-GB"/>
        </w:rPr>
        <w:t xml:space="preserve"> HBOR </w:t>
      </w:r>
      <w:r w:rsidRPr="00395073">
        <w:rPr>
          <w:rFonts w:cstheme="minorHAnsi"/>
          <w:spacing w:val="-3"/>
          <w:sz w:val="24"/>
          <w:szCs w:val="24"/>
          <w:lang w:val="en-GB"/>
        </w:rPr>
        <w:t xml:space="preserve">generated total income of HRK </w:t>
      </w:r>
      <w:r w:rsidR="00720F3F" w:rsidRPr="00041197">
        <w:rPr>
          <w:rFonts w:cstheme="minorHAnsi"/>
          <w:spacing w:val="-3"/>
          <w:sz w:val="24"/>
          <w:szCs w:val="24"/>
          <w:lang w:val="en-GB"/>
        </w:rPr>
        <w:t>1</w:t>
      </w:r>
      <w:r w:rsidR="00630BEF">
        <w:rPr>
          <w:rFonts w:cstheme="minorHAnsi"/>
          <w:spacing w:val="-3"/>
          <w:sz w:val="24"/>
          <w:szCs w:val="24"/>
          <w:lang w:val="en-GB"/>
        </w:rPr>
        <w:t>67</w:t>
      </w:r>
      <w:r>
        <w:rPr>
          <w:rFonts w:cstheme="minorHAnsi"/>
          <w:spacing w:val="-3"/>
          <w:sz w:val="24"/>
          <w:szCs w:val="24"/>
          <w:lang w:val="en-GB"/>
        </w:rPr>
        <w:t>.</w:t>
      </w:r>
      <w:r w:rsidR="00630BEF">
        <w:rPr>
          <w:rFonts w:cstheme="minorHAnsi"/>
          <w:spacing w:val="-3"/>
          <w:sz w:val="24"/>
          <w:szCs w:val="24"/>
          <w:lang w:val="en-GB"/>
        </w:rPr>
        <w:t>7</w:t>
      </w:r>
      <w:r w:rsidR="00BF17D9" w:rsidRPr="00041197">
        <w:rPr>
          <w:rFonts w:cstheme="minorHAnsi"/>
          <w:spacing w:val="-3"/>
          <w:sz w:val="24"/>
          <w:szCs w:val="24"/>
          <w:lang w:val="en-GB"/>
        </w:rPr>
        <w:t xml:space="preserve"> </w:t>
      </w:r>
      <w:r>
        <w:rPr>
          <w:rFonts w:cstheme="minorHAnsi"/>
          <w:spacing w:val="-3"/>
          <w:sz w:val="24"/>
          <w:szCs w:val="24"/>
          <w:lang w:val="en-GB"/>
        </w:rPr>
        <w:t>million</w:t>
      </w:r>
      <w:r w:rsidR="00BF17D9" w:rsidRPr="00041197">
        <w:rPr>
          <w:rFonts w:cstheme="minorHAnsi"/>
          <w:spacing w:val="-3"/>
          <w:sz w:val="24"/>
          <w:szCs w:val="24"/>
          <w:lang w:val="en-GB"/>
        </w:rPr>
        <w:t xml:space="preserve">, </w:t>
      </w:r>
      <w:r>
        <w:rPr>
          <w:rFonts w:cstheme="minorHAnsi"/>
          <w:spacing w:val="-3"/>
          <w:sz w:val="24"/>
          <w:szCs w:val="24"/>
          <w:lang w:val="en-GB"/>
        </w:rPr>
        <w:t>expenses of HRK</w:t>
      </w:r>
      <w:r w:rsidR="00BF17D9" w:rsidRPr="00041197">
        <w:rPr>
          <w:rFonts w:cstheme="minorHAnsi"/>
          <w:spacing w:val="-3"/>
          <w:sz w:val="24"/>
          <w:szCs w:val="24"/>
          <w:lang w:val="en-GB"/>
        </w:rPr>
        <w:t xml:space="preserve"> </w:t>
      </w:r>
      <w:r w:rsidR="00720F3F" w:rsidRPr="00041197">
        <w:rPr>
          <w:rFonts w:cstheme="minorHAnsi"/>
          <w:spacing w:val="-3"/>
          <w:sz w:val="24"/>
          <w:szCs w:val="24"/>
          <w:lang w:val="en-GB"/>
        </w:rPr>
        <w:t>1</w:t>
      </w:r>
      <w:r w:rsidR="00630BEF">
        <w:rPr>
          <w:rFonts w:cstheme="minorHAnsi"/>
          <w:spacing w:val="-3"/>
          <w:sz w:val="24"/>
          <w:szCs w:val="24"/>
          <w:lang w:val="en-GB"/>
        </w:rPr>
        <w:t>45</w:t>
      </w:r>
      <w:r>
        <w:rPr>
          <w:rFonts w:cstheme="minorHAnsi"/>
          <w:spacing w:val="-3"/>
          <w:sz w:val="24"/>
          <w:szCs w:val="24"/>
          <w:lang w:val="en-GB"/>
        </w:rPr>
        <w:t>.</w:t>
      </w:r>
      <w:r w:rsidR="00630BEF">
        <w:rPr>
          <w:rFonts w:cstheme="minorHAnsi"/>
          <w:spacing w:val="-3"/>
          <w:sz w:val="24"/>
          <w:szCs w:val="24"/>
          <w:lang w:val="en-GB"/>
        </w:rPr>
        <w:t>9</w:t>
      </w:r>
      <w:r w:rsidR="00FE06F1" w:rsidRPr="00041197">
        <w:rPr>
          <w:rFonts w:cstheme="minorHAnsi"/>
          <w:spacing w:val="-3"/>
          <w:sz w:val="24"/>
          <w:szCs w:val="24"/>
          <w:lang w:val="en-GB"/>
        </w:rPr>
        <w:t xml:space="preserve"> </w:t>
      </w:r>
      <w:r w:rsidR="00BF17D9" w:rsidRPr="00041197">
        <w:rPr>
          <w:rFonts w:cstheme="minorHAnsi"/>
          <w:spacing w:val="-3"/>
          <w:sz w:val="24"/>
          <w:szCs w:val="24"/>
          <w:lang w:val="en-GB"/>
        </w:rPr>
        <w:t>mil</w:t>
      </w:r>
      <w:r>
        <w:rPr>
          <w:rFonts w:cstheme="minorHAnsi"/>
          <w:spacing w:val="-3"/>
          <w:sz w:val="24"/>
          <w:szCs w:val="24"/>
          <w:lang w:val="en-GB"/>
        </w:rPr>
        <w:t>lion and profit in the amount of HRK</w:t>
      </w:r>
      <w:r w:rsidR="00BF17D9" w:rsidRPr="00041197">
        <w:rPr>
          <w:rFonts w:cstheme="minorHAnsi"/>
          <w:spacing w:val="-3"/>
          <w:sz w:val="24"/>
          <w:szCs w:val="24"/>
          <w:lang w:val="en-GB"/>
        </w:rPr>
        <w:t xml:space="preserve"> </w:t>
      </w:r>
      <w:r w:rsidR="00720F3F" w:rsidRPr="00041197">
        <w:rPr>
          <w:rFonts w:cstheme="minorHAnsi"/>
          <w:spacing w:val="-3"/>
          <w:sz w:val="24"/>
          <w:szCs w:val="24"/>
          <w:lang w:val="en-GB"/>
        </w:rPr>
        <w:t>21</w:t>
      </w:r>
      <w:r>
        <w:rPr>
          <w:rFonts w:cstheme="minorHAnsi"/>
          <w:spacing w:val="-3"/>
          <w:sz w:val="24"/>
          <w:szCs w:val="24"/>
          <w:lang w:val="en-GB"/>
        </w:rPr>
        <w:t>.</w:t>
      </w:r>
      <w:r w:rsidR="00630BEF">
        <w:rPr>
          <w:rFonts w:cstheme="minorHAnsi"/>
          <w:spacing w:val="-3"/>
          <w:sz w:val="24"/>
          <w:szCs w:val="24"/>
          <w:lang w:val="en-GB"/>
        </w:rPr>
        <w:t>8</w:t>
      </w:r>
      <w:r w:rsidR="00BF17D9" w:rsidRPr="00041197">
        <w:rPr>
          <w:rFonts w:cstheme="minorHAnsi"/>
          <w:spacing w:val="-3"/>
          <w:sz w:val="24"/>
          <w:szCs w:val="24"/>
          <w:lang w:val="en-GB"/>
        </w:rPr>
        <w:t xml:space="preserve"> mil</w:t>
      </w:r>
      <w:r>
        <w:rPr>
          <w:rFonts w:cstheme="minorHAnsi"/>
          <w:spacing w:val="-3"/>
          <w:sz w:val="24"/>
          <w:szCs w:val="24"/>
          <w:lang w:val="en-GB"/>
        </w:rPr>
        <w:t>lion</w:t>
      </w:r>
      <w:r w:rsidR="00BF17D9" w:rsidRPr="00041197">
        <w:rPr>
          <w:rFonts w:cstheme="minorHAnsi"/>
          <w:spacing w:val="-3"/>
          <w:sz w:val="24"/>
          <w:szCs w:val="24"/>
          <w:lang w:val="en-GB"/>
        </w:rPr>
        <w:t>.</w:t>
      </w:r>
      <w:r w:rsidR="00416526">
        <w:rPr>
          <w:rFonts w:cstheme="minorHAnsi"/>
          <w:spacing w:val="-3"/>
          <w:sz w:val="24"/>
          <w:szCs w:val="24"/>
          <w:lang w:val="en-GB"/>
        </w:rPr>
        <w:t xml:space="preserve"> HBOR’s</w:t>
      </w:r>
      <w:r w:rsidR="00BF17D9" w:rsidRPr="00041197">
        <w:rPr>
          <w:rFonts w:cstheme="minorHAnsi"/>
          <w:spacing w:val="-3"/>
          <w:sz w:val="24"/>
          <w:szCs w:val="24"/>
          <w:lang w:val="en-GB"/>
        </w:rPr>
        <w:t xml:space="preserve"> </w:t>
      </w:r>
      <w:r w:rsidR="00416526">
        <w:rPr>
          <w:rFonts w:cstheme="minorHAnsi"/>
          <w:spacing w:val="-3"/>
          <w:sz w:val="24"/>
          <w:szCs w:val="24"/>
          <w:lang w:val="en-GB"/>
        </w:rPr>
        <w:t>p</w:t>
      </w:r>
      <w:r w:rsidRPr="00395073">
        <w:rPr>
          <w:rFonts w:cstheme="minorHAnsi"/>
          <w:spacing w:val="-3"/>
          <w:sz w:val="24"/>
          <w:szCs w:val="24"/>
          <w:lang w:val="en-GB"/>
        </w:rPr>
        <w:t xml:space="preserve">rofit generated in the reporting period </w:t>
      </w:r>
      <w:r w:rsidR="00966632">
        <w:rPr>
          <w:rFonts w:cstheme="minorHAnsi"/>
          <w:spacing w:val="-3"/>
          <w:sz w:val="24"/>
          <w:szCs w:val="24"/>
          <w:lang w:val="en-GB"/>
        </w:rPr>
        <w:t>in</w:t>
      </w:r>
      <w:r w:rsidRPr="00395073">
        <w:rPr>
          <w:rFonts w:cstheme="minorHAnsi"/>
          <w:spacing w:val="-3"/>
          <w:sz w:val="24"/>
          <w:szCs w:val="24"/>
          <w:lang w:val="en-GB"/>
        </w:rPr>
        <w:t xml:space="preserve">creased by HRK </w:t>
      </w:r>
      <w:r w:rsidR="00966632">
        <w:rPr>
          <w:rFonts w:cstheme="minorHAnsi"/>
          <w:spacing w:val="-3"/>
          <w:sz w:val="24"/>
          <w:szCs w:val="24"/>
          <w:lang w:val="en-GB"/>
        </w:rPr>
        <w:t>0</w:t>
      </w:r>
      <w:r>
        <w:rPr>
          <w:rFonts w:cstheme="minorHAnsi"/>
          <w:spacing w:val="-3"/>
          <w:sz w:val="24"/>
          <w:szCs w:val="24"/>
          <w:lang w:val="en-GB"/>
        </w:rPr>
        <w:t>.</w:t>
      </w:r>
      <w:r w:rsidR="00966632">
        <w:rPr>
          <w:rFonts w:cstheme="minorHAnsi"/>
          <w:spacing w:val="-3"/>
          <w:sz w:val="24"/>
          <w:szCs w:val="24"/>
          <w:lang w:val="en-GB"/>
        </w:rPr>
        <w:t>5</w:t>
      </w:r>
      <w:r w:rsidR="009E3641" w:rsidRPr="00041197">
        <w:rPr>
          <w:rFonts w:cstheme="minorHAnsi"/>
          <w:spacing w:val="-3"/>
          <w:sz w:val="24"/>
          <w:szCs w:val="24"/>
          <w:lang w:val="en-GB"/>
        </w:rPr>
        <w:t xml:space="preserve"> </w:t>
      </w:r>
      <w:r w:rsidR="00BF17D9" w:rsidRPr="00041197">
        <w:rPr>
          <w:rFonts w:cstheme="minorHAnsi"/>
          <w:spacing w:val="-3"/>
          <w:sz w:val="24"/>
          <w:szCs w:val="24"/>
          <w:lang w:val="en-GB"/>
        </w:rPr>
        <w:t>mil</w:t>
      </w:r>
      <w:r>
        <w:rPr>
          <w:rFonts w:cstheme="minorHAnsi"/>
          <w:spacing w:val="-3"/>
          <w:sz w:val="24"/>
          <w:szCs w:val="24"/>
          <w:lang w:val="en-GB"/>
        </w:rPr>
        <w:t>lion</w:t>
      </w:r>
      <w:r w:rsidR="00BF17D9" w:rsidRPr="00041197">
        <w:rPr>
          <w:rFonts w:cstheme="minorHAnsi"/>
          <w:spacing w:val="-3"/>
          <w:sz w:val="24"/>
          <w:szCs w:val="24"/>
          <w:lang w:val="en-GB"/>
        </w:rPr>
        <w:t xml:space="preserve"> </w:t>
      </w:r>
      <w:r w:rsidRPr="00395073">
        <w:rPr>
          <w:rFonts w:cstheme="minorHAnsi"/>
          <w:spacing w:val="-3"/>
          <w:sz w:val="24"/>
          <w:szCs w:val="24"/>
          <w:lang w:val="en-GB"/>
        </w:rPr>
        <w:t xml:space="preserve">compared with the profit generated in the same period last year, i.e. by </w:t>
      </w:r>
      <w:r w:rsidR="00966632">
        <w:rPr>
          <w:rFonts w:cstheme="minorHAnsi"/>
          <w:spacing w:val="-3"/>
          <w:sz w:val="24"/>
          <w:szCs w:val="24"/>
          <w:lang w:val="en-GB"/>
        </w:rPr>
        <w:t>2</w:t>
      </w:r>
      <w:r>
        <w:rPr>
          <w:rFonts w:cstheme="minorHAnsi"/>
          <w:spacing w:val="-3"/>
          <w:sz w:val="24"/>
          <w:szCs w:val="24"/>
          <w:lang w:val="en-GB"/>
        </w:rPr>
        <w:t>.</w:t>
      </w:r>
      <w:r w:rsidR="00966632">
        <w:rPr>
          <w:rFonts w:cstheme="minorHAnsi"/>
          <w:spacing w:val="-3"/>
          <w:sz w:val="24"/>
          <w:szCs w:val="24"/>
          <w:lang w:val="en-GB"/>
        </w:rPr>
        <w:t>3</w:t>
      </w:r>
      <w:r w:rsidR="00FE06F1" w:rsidRPr="00041197">
        <w:rPr>
          <w:rFonts w:cstheme="minorHAnsi"/>
          <w:spacing w:val="-3"/>
          <w:sz w:val="24"/>
          <w:szCs w:val="24"/>
          <w:lang w:val="en-GB"/>
        </w:rPr>
        <w:t xml:space="preserve"> </w:t>
      </w:r>
      <w:r w:rsidR="009E3641" w:rsidRPr="00041197">
        <w:rPr>
          <w:rFonts w:cstheme="minorHAnsi"/>
          <w:spacing w:val="-3"/>
          <w:sz w:val="24"/>
          <w:szCs w:val="24"/>
          <w:lang w:val="en-GB"/>
        </w:rPr>
        <w:t>p</w:t>
      </w:r>
      <w:r>
        <w:rPr>
          <w:rFonts w:cstheme="minorHAnsi"/>
          <w:spacing w:val="-3"/>
          <w:sz w:val="24"/>
          <w:szCs w:val="24"/>
          <w:lang w:val="en-GB"/>
        </w:rPr>
        <w:t>ercent</w:t>
      </w:r>
      <w:r w:rsidR="00BF17D9" w:rsidRPr="00041197">
        <w:rPr>
          <w:rFonts w:cstheme="minorHAnsi"/>
          <w:spacing w:val="-3"/>
          <w:sz w:val="24"/>
          <w:szCs w:val="24"/>
          <w:lang w:val="en-GB"/>
        </w:rPr>
        <w:t>.</w:t>
      </w:r>
    </w:p>
    <w:p w14:paraId="584F49AA" w14:textId="77777777" w:rsidR="00BF17D9" w:rsidRPr="00041197" w:rsidRDefault="00BF17D9" w:rsidP="00BF17D9">
      <w:pPr>
        <w:tabs>
          <w:tab w:val="left" w:pos="-720"/>
        </w:tabs>
        <w:suppressAutoHyphens/>
        <w:spacing w:after="0" w:line="240" w:lineRule="auto"/>
        <w:jc w:val="both"/>
        <w:rPr>
          <w:rFonts w:cstheme="minorHAnsi"/>
          <w:spacing w:val="-3"/>
          <w:sz w:val="24"/>
          <w:szCs w:val="24"/>
          <w:lang w:val="en-GB"/>
        </w:rPr>
      </w:pPr>
    </w:p>
    <w:p w14:paraId="74C9EB1A" w14:textId="4617E3B8" w:rsidR="00BF17D9" w:rsidRPr="00041197" w:rsidRDefault="004861F7" w:rsidP="00BF17D9">
      <w:pPr>
        <w:tabs>
          <w:tab w:val="left" w:pos="-720"/>
        </w:tabs>
        <w:suppressAutoHyphens/>
        <w:spacing w:after="0" w:line="240" w:lineRule="auto"/>
        <w:jc w:val="both"/>
        <w:rPr>
          <w:rFonts w:cstheme="minorHAnsi"/>
          <w:spacing w:val="-3"/>
          <w:sz w:val="24"/>
          <w:szCs w:val="24"/>
          <w:lang w:val="en-GB"/>
        </w:rPr>
      </w:pPr>
      <w:r w:rsidRPr="004861F7">
        <w:rPr>
          <w:sz w:val="24"/>
          <w:szCs w:val="24"/>
          <w:lang w:val="en"/>
        </w:rPr>
        <w:t xml:space="preserve">The increase in profit in the reporting period compared </w:t>
      </w:r>
      <w:r>
        <w:rPr>
          <w:sz w:val="24"/>
          <w:szCs w:val="24"/>
          <w:lang w:val="en"/>
        </w:rPr>
        <w:t>with</w:t>
      </w:r>
      <w:r w:rsidRPr="004861F7">
        <w:rPr>
          <w:sz w:val="24"/>
          <w:szCs w:val="24"/>
          <w:lang w:val="en"/>
        </w:rPr>
        <w:t xml:space="preserve"> the same period last year is </w:t>
      </w:r>
      <w:r>
        <w:rPr>
          <w:sz w:val="24"/>
          <w:szCs w:val="24"/>
          <w:lang w:val="en"/>
        </w:rPr>
        <w:t>a</w:t>
      </w:r>
      <w:r w:rsidRPr="004861F7">
        <w:rPr>
          <w:sz w:val="24"/>
          <w:szCs w:val="24"/>
          <w:lang w:val="en"/>
        </w:rPr>
        <w:t xml:space="preserve"> result of a decrease in total </w:t>
      </w:r>
      <w:r>
        <w:rPr>
          <w:sz w:val="24"/>
          <w:szCs w:val="24"/>
          <w:lang w:val="en"/>
        </w:rPr>
        <w:t>income</w:t>
      </w:r>
      <w:r w:rsidRPr="004861F7">
        <w:rPr>
          <w:sz w:val="24"/>
          <w:szCs w:val="24"/>
          <w:lang w:val="en"/>
        </w:rPr>
        <w:t xml:space="preserve"> by HRK 7.1 million and a decrease in total expenses by HRK 7.6 million.</w:t>
      </w:r>
      <w:r w:rsidR="001A41FE" w:rsidRPr="00041197">
        <w:rPr>
          <w:rFonts w:cstheme="minorHAnsi"/>
          <w:spacing w:val="-3"/>
          <w:sz w:val="24"/>
          <w:szCs w:val="24"/>
          <w:lang w:val="en-GB"/>
        </w:rPr>
        <w:t xml:space="preserve"> </w:t>
      </w:r>
      <w:r w:rsidR="003D5E90" w:rsidRPr="00395073">
        <w:rPr>
          <w:rFonts w:cstheme="minorHAnsi"/>
          <w:spacing w:val="-3"/>
          <w:sz w:val="24"/>
          <w:szCs w:val="24"/>
          <w:lang w:val="en-GB"/>
        </w:rPr>
        <w:t xml:space="preserve">The circumstances that affected the financial result achieved in the </w:t>
      </w:r>
      <w:r w:rsidR="003D5E90">
        <w:rPr>
          <w:rFonts w:cstheme="minorHAnsi"/>
          <w:spacing w:val="-3"/>
          <w:sz w:val="24"/>
          <w:szCs w:val="24"/>
          <w:lang w:val="en-GB"/>
        </w:rPr>
        <w:t xml:space="preserve">three-month reporting period </w:t>
      </w:r>
      <w:r w:rsidR="00BF17D9" w:rsidRPr="00041197">
        <w:rPr>
          <w:rFonts w:cstheme="minorHAnsi"/>
          <w:spacing w:val="-3"/>
          <w:sz w:val="24"/>
          <w:szCs w:val="24"/>
          <w:lang w:val="en-GB"/>
        </w:rPr>
        <w:t>20</w:t>
      </w:r>
      <w:r>
        <w:rPr>
          <w:rFonts w:cstheme="minorHAnsi"/>
          <w:spacing w:val="-3"/>
          <w:sz w:val="24"/>
          <w:szCs w:val="24"/>
          <w:lang w:val="en-GB"/>
        </w:rPr>
        <w:t>20</w:t>
      </w:r>
      <w:r w:rsidR="003D5E90">
        <w:rPr>
          <w:rFonts w:cstheme="minorHAnsi"/>
          <w:spacing w:val="-3"/>
          <w:sz w:val="24"/>
          <w:szCs w:val="24"/>
          <w:lang w:val="en-GB"/>
        </w:rPr>
        <w:t xml:space="preserve"> compared to the </w:t>
      </w:r>
      <w:r w:rsidR="003D5E90" w:rsidRPr="00395073">
        <w:rPr>
          <w:rFonts w:cstheme="minorHAnsi"/>
          <w:spacing w:val="-3"/>
          <w:sz w:val="24"/>
          <w:szCs w:val="24"/>
          <w:lang w:val="en-GB"/>
        </w:rPr>
        <w:t>results generated in the same period in</w:t>
      </w:r>
      <w:r w:rsidR="00BF17D9" w:rsidRPr="00041197">
        <w:rPr>
          <w:rFonts w:cstheme="minorHAnsi"/>
          <w:spacing w:val="-3"/>
          <w:sz w:val="24"/>
          <w:szCs w:val="24"/>
          <w:lang w:val="en-GB"/>
        </w:rPr>
        <w:t xml:space="preserve"> 201</w:t>
      </w:r>
      <w:r>
        <w:rPr>
          <w:rFonts w:cstheme="minorHAnsi"/>
          <w:spacing w:val="-3"/>
          <w:sz w:val="24"/>
          <w:szCs w:val="24"/>
          <w:lang w:val="en-GB"/>
        </w:rPr>
        <w:t>9</w:t>
      </w:r>
      <w:r w:rsidR="003D5E90">
        <w:rPr>
          <w:rFonts w:cstheme="minorHAnsi"/>
          <w:spacing w:val="-3"/>
          <w:sz w:val="24"/>
          <w:szCs w:val="24"/>
          <w:lang w:val="en-GB"/>
        </w:rPr>
        <w:t xml:space="preserve"> are</w:t>
      </w:r>
      <w:r w:rsidR="00BF17D9" w:rsidRPr="00041197">
        <w:rPr>
          <w:rFonts w:cstheme="minorHAnsi"/>
          <w:spacing w:val="-3"/>
          <w:sz w:val="24"/>
          <w:szCs w:val="24"/>
          <w:lang w:val="en-GB"/>
        </w:rPr>
        <w:t>:</w:t>
      </w:r>
    </w:p>
    <w:p w14:paraId="014D3751" w14:textId="6CC2645A" w:rsidR="0059334C" w:rsidRPr="00041197" w:rsidRDefault="003D5E90" w:rsidP="00BF17D9">
      <w:pPr>
        <w:pStyle w:val="ListParagraph"/>
        <w:numPr>
          <w:ilvl w:val="0"/>
          <w:numId w:val="13"/>
        </w:numPr>
        <w:tabs>
          <w:tab w:val="left" w:pos="-720"/>
          <w:tab w:val="left" w:pos="709"/>
        </w:tabs>
        <w:suppressAutoHyphens/>
        <w:ind w:left="709" w:hanging="283"/>
        <w:jc w:val="both"/>
        <w:rPr>
          <w:rFonts w:cstheme="minorHAnsi"/>
          <w:spacing w:val="-3"/>
          <w:lang w:val="en-GB"/>
        </w:rPr>
      </w:pPr>
      <w:r w:rsidRPr="00395073">
        <w:rPr>
          <w:rFonts w:asciiTheme="minorHAnsi" w:hAnsiTheme="minorHAnsi" w:cstheme="minorHAnsi"/>
          <w:bCs/>
          <w:spacing w:val="-3"/>
          <w:lang w:val="en-GB"/>
        </w:rPr>
        <w:t xml:space="preserve">decrease in interest income of HRK </w:t>
      </w:r>
      <w:r w:rsidR="00FD4C02" w:rsidRPr="00041197">
        <w:rPr>
          <w:rFonts w:asciiTheme="minorHAnsi" w:hAnsiTheme="minorHAnsi" w:cstheme="minorHAnsi"/>
          <w:bCs/>
          <w:spacing w:val="-3"/>
          <w:lang w:val="en-GB"/>
        </w:rPr>
        <w:t>2</w:t>
      </w:r>
      <w:r>
        <w:rPr>
          <w:rFonts w:asciiTheme="minorHAnsi" w:hAnsiTheme="minorHAnsi" w:cstheme="minorHAnsi"/>
          <w:bCs/>
          <w:spacing w:val="-3"/>
          <w:lang w:val="en-GB"/>
        </w:rPr>
        <w:t>.</w:t>
      </w:r>
      <w:r w:rsidR="004861F7">
        <w:rPr>
          <w:rFonts w:asciiTheme="minorHAnsi" w:hAnsiTheme="minorHAnsi" w:cstheme="minorHAnsi"/>
          <w:bCs/>
          <w:spacing w:val="-3"/>
          <w:lang w:val="en-GB"/>
        </w:rPr>
        <w:t>8</w:t>
      </w:r>
      <w:r w:rsidR="0059334C" w:rsidRPr="00041197">
        <w:rPr>
          <w:rFonts w:asciiTheme="minorHAnsi" w:hAnsiTheme="minorHAnsi" w:cstheme="minorHAnsi"/>
          <w:bCs/>
          <w:spacing w:val="-3"/>
          <w:lang w:val="en-GB"/>
        </w:rPr>
        <w:t xml:space="preserve"> mil</w:t>
      </w:r>
      <w:r>
        <w:rPr>
          <w:rFonts w:asciiTheme="minorHAnsi" w:hAnsiTheme="minorHAnsi" w:cstheme="minorHAnsi"/>
          <w:bCs/>
          <w:spacing w:val="-3"/>
          <w:lang w:val="en-GB"/>
        </w:rPr>
        <w:t>lion</w:t>
      </w:r>
      <w:r w:rsidR="0059334C" w:rsidRPr="00041197">
        <w:rPr>
          <w:rFonts w:asciiTheme="minorHAnsi" w:hAnsiTheme="minorHAnsi" w:cstheme="minorHAnsi"/>
          <w:bCs/>
          <w:spacing w:val="-3"/>
          <w:lang w:val="en-GB"/>
        </w:rPr>
        <w:t>,</w:t>
      </w:r>
      <w:r w:rsidR="00B81116" w:rsidRPr="00041197">
        <w:rPr>
          <w:rFonts w:asciiTheme="minorHAnsi" w:hAnsiTheme="minorHAnsi" w:cstheme="minorHAnsi"/>
          <w:bCs/>
          <w:spacing w:val="-3"/>
          <w:lang w:val="en-GB"/>
        </w:rPr>
        <w:t xml:space="preserve"> </w:t>
      </w:r>
      <w:r>
        <w:rPr>
          <w:rFonts w:asciiTheme="minorHAnsi" w:hAnsiTheme="minorHAnsi" w:cstheme="minorHAnsi"/>
          <w:bCs/>
          <w:spacing w:val="-3"/>
          <w:lang w:val="en-GB"/>
        </w:rPr>
        <w:t>i.e. by</w:t>
      </w:r>
      <w:r w:rsidR="00B81116" w:rsidRPr="00041197">
        <w:rPr>
          <w:rFonts w:asciiTheme="minorHAnsi" w:hAnsiTheme="minorHAnsi" w:cstheme="minorHAnsi"/>
          <w:bCs/>
          <w:spacing w:val="-3"/>
          <w:lang w:val="en-GB"/>
        </w:rPr>
        <w:t xml:space="preserve"> 1</w:t>
      </w:r>
      <w:r>
        <w:rPr>
          <w:rFonts w:asciiTheme="minorHAnsi" w:hAnsiTheme="minorHAnsi" w:cstheme="minorHAnsi"/>
          <w:bCs/>
          <w:spacing w:val="-3"/>
          <w:lang w:val="en-GB"/>
        </w:rPr>
        <w:t>.</w:t>
      </w:r>
      <w:r w:rsidR="004861F7">
        <w:rPr>
          <w:rFonts w:asciiTheme="minorHAnsi" w:hAnsiTheme="minorHAnsi" w:cstheme="minorHAnsi"/>
          <w:bCs/>
          <w:spacing w:val="-3"/>
          <w:lang w:val="en-GB"/>
        </w:rPr>
        <w:t>7</w:t>
      </w:r>
      <w:r w:rsidR="00B81116" w:rsidRPr="00041197">
        <w:rPr>
          <w:rFonts w:asciiTheme="minorHAnsi" w:hAnsiTheme="minorHAnsi" w:cstheme="minorHAnsi"/>
          <w:bCs/>
          <w:spacing w:val="-3"/>
          <w:lang w:val="en-GB"/>
        </w:rPr>
        <w:t xml:space="preserve"> p</w:t>
      </w:r>
      <w:r>
        <w:rPr>
          <w:rFonts w:asciiTheme="minorHAnsi" w:hAnsiTheme="minorHAnsi" w:cstheme="minorHAnsi"/>
          <w:bCs/>
          <w:spacing w:val="-3"/>
          <w:lang w:val="en-GB"/>
        </w:rPr>
        <w:t>ercent</w:t>
      </w:r>
      <w:r w:rsidR="00B81116" w:rsidRPr="00041197">
        <w:rPr>
          <w:rFonts w:asciiTheme="minorHAnsi" w:hAnsiTheme="minorHAnsi" w:cstheme="minorHAnsi"/>
          <w:bCs/>
          <w:spacing w:val="-3"/>
          <w:lang w:val="en-GB"/>
        </w:rPr>
        <w:t>,</w:t>
      </w:r>
    </w:p>
    <w:p w14:paraId="0A4FBD13" w14:textId="72676913" w:rsidR="00DB7995" w:rsidRDefault="003D5E90" w:rsidP="00DB7995">
      <w:pPr>
        <w:pStyle w:val="ListParagraph"/>
        <w:numPr>
          <w:ilvl w:val="0"/>
          <w:numId w:val="13"/>
        </w:numPr>
        <w:tabs>
          <w:tab w:val="left" w:pos="-720"/>
          <w:tab w:val="left" w:pos="709"/>
        </w:tabs>
        <w:suppressAutoHyphens/>
        <w:ind w:left="709" w:hanging="283"/>
        <w:jc w:val="both"/>
        <w:rPr>
          <w:rFonts w:asciiTheme="minorHAnsi" w:hAnsiTheme="minorHAnsi" w:cstheme="minorHAnsi"/>
          <w:spacing w:val="-3"/>
          <w:lang w:val="en-GB"/>
        </w:rPr>
      </w:pPr>
      <w:r w:rsidRPr="00395073">
        <w:rPr>
          <w:rFonts w:asciiTheme="minorHAnsi" w:hAnsiTheme="minorHAnsi" w:cstheme="minorHAnsi"/>
          <w:spacing w:val="-3"/>
          <w:lang w:val="en-GB"/>
        </w:rPr>
        <w:t xml:space="preserve">decrease in interest expenses </w:t>
      </w:r>
      <w:r>
        <w:rPr>
          <w:rFonts w:asciiTheme="minorHAnsi" w:hAnsiTheme="minorHAnsi" w:cstheme="minorHAnsi"/>
          <w:spacing w:val="-3"/>
          <w:lang w:val="en-GB"/>
        </w:rPr>
        <w:t>of</w:t>
      </w:r>
      <w:r w:rsidRPr="00395073">
        <w:rPr>
          <w:rFonts w:asciiTheme="minorHAnsi" w:hAnsiTheme="minorHAnsi" w:cstheme="minorHAnsi"/>
          <w:spacing w:val="-3"/>
          <w:lang w:val="en-GB"/>
        </w:rPr>
        <w:t xml:space="preserve"> HRK </w:t>
      </w:r>
      <w:r w:rsidR="004861F7">
        <w:rPr>
          <w:rFonts w:asciiTheme="minorHAnsi" w:hAnsiTheme="minorHAnsi" w:cstheme="minorHAnsi"/>
          <w:spacing w:val="-3"/>
          <w:lang w:val="en-GB"/>
        </w:rPr>
        <w:t>9</w:t>
      </w:r>
      <w:r>
        <w:rPr>
          <w:rFonts w:asciiTheme="minorHAnsi" w:hAnsiTheme="minorHAnsi" w:cstheme="minorHAnsi"/>
          <w:spacing w:val="-3"/>
          <w:lang w:val="en-GB"/>
        </w:rPr>
        <w:t>.</w:t>
      </w:r>
      <w:r w:rsidR="004861F7">
        <w:rPr>
          <w:rFonts w:asciiTheme="minorHAnsi" w:hAnsiTheme="minorHAnsi" w:cstheme="minorHAnsi"/>
          <w:spacing w:val="-3"/>
          <w:lang w:val="en-GB"/>
        </w:rPr>
        <w:t>1</w:t>
      </w:r>
      <w:r w:rsidR="00DB7995" w:rsidRPr="00041197">
        <w:rPr>
          <w:rFonts w:asciiTheme="minorHAnsi" w:hAnsiTheme="minorHAnsi" w:cstheme="minorHAnsi"/>
          <w:spacing w:val="-3"/>
          <w:lang w:val="en-GB"/>
        </w:rPr>
        <w:t xml:space="preserve"> mil</w:t>
      </w:r>
      <w:r>
        <w:rPr>
          <w:rFonts w:asciiTheme="minorHAnsi" w:hAnsiTheme="minorHAnsi" w:cstheme="minorHAnsi"/>
          <w:spacing w:val="-3"/>
          <w:lang w:val="en-GB"/>
        </w:rPr>
        <w:t>lion, i.e. by</w:t>
      </w:r>
      <w:r w:rsidR="00DB7995" w:rsidRPr="00041197">
        <w:rPr>
          <w:rFonts w:asciiTheme="minorHAnsi" w:hAnsiTheme="minorHAnsi" w:cstheme="minorHAnsi"/>
          <w:spacing w:val="-3"/>
          <w:lang w:val="en-GB"/>
        </w:rPr>
        <w:t xml:space="preserve"> </w:t>
      </w:r>
      <w:r w:rsidR="004861F7">
        <w:rPr>
          <w:rFonts w:asciiTheme="minorHAnsi" w:hAnsiTheme="minorHAnsi" w:cstheme="minorHAnsi"/>
          <w:spacing w:val="-3"/>
          <w:lang w:val="en-GB"/>
        </w:rPr>
        <w:t>11.</w:t>
      </w:r>
      <w:r w:rsidR="00FD4C02" w:rsidRPr="00041197">
        <w:rPr>
          <w:rFonts w:asciiTheme="minorHAnsi" w:hAnsiTheme="minorHAnsi" w:cstheme="minorHAnsi"/>
          <w:spacing w:val="-3"/>
          <w:lang w:val="en-GB"/>
        </w:rPr>
        <w:t>1</w:t>
      </w:r>
      <w:r w:rsidR="00FD0B63" w:rsidRPr="00041197">
        <w:rPr>
          <w:rFonts w:asciiTheme="minorHAnsi" w:hAnsiTheme="minorHAnsi" w:cstheme="minorHAnsi"/>
          <w:spacing w:val="-3"/>
          <w:lang w:val="en-GB"/>
        </w:rPr>
        <w:t xml:space="preserve"> </w:t>
      </w:r>
      <w:r w:rsidR="00DB7995" w:rsidRPr="00041197">
        <w:rPr>
          <w:rFonts w:asciiTheme="minorHAnsi" w:hAnsiTheme="minorHAnsi" w:cstheme="minorHAnsi"/>
          <w:spacing w:val="-3"/>
          <w:lang w:val="en-GB"/>
        </w:rPr>
        <w:t>p</w:t>
      </w:r>
      <w:r>
        <w:rPr>
          <w:rFonts w:asciiTheme="minorHAnsi" w:hAnsiTheme="minorHAnsi" w:cstheme="minorHAnsi"/>
          <w:spacing w:val="-3"/>
          <w:lang w:val="en-GB"/>
        </w:rPr>
        <w:t>ercent</w:t>
      </w:r>
      <w:r w:rsidR="004861F7">
        <w:rPr>
          <w:rFonts w:asciiTheme="minorHAnsi" w:hAnsiTheme="minorHAnsi" w:cstheme="minorHAnsi"/>
          <w:spacing w:val="-3"/>
          <w:lang w:val="en-GB"/>
        </w:rPr>
        <w:t>,</w:t>
      </w:r>
    </w:p>
    <w:p w14:paraId="0436E904" w14:textId="72F2ED58" w:rsidR="004861F7" w:rsidRDefault="004861F7" w:rsidP="00DB7995">
      <w:pPr>
        <w:pStyle w:val="ListParagraph"/>
        <w:numPr>
          <w:ilvl w:val="0"/>
          <w:numId w:val="13"/>
        </w:numPr>
        <w:tabs>
          <w:tab w:val="left" w:pos="-720"/>
          <w:tab w:val="left" w:pos="709"/>
        </w:tabs>
        <w:suppressAutoHyphens/>
        <w:ind w:left="709" w:hanging="283"/>
        <w:jc w:val="both"/>
        <w:rPr>
          <w:rFonts w:asciiTheme="minorHAnsi" w:hAnsiTheme="minorHAnsi" w:cstheme="minorHAnsi"/>
          <w:spacing w:val="-3"/>
          <w:lang w:val="en-GB"/>
        </w:rPr>
      </w:pPr>
      <w:r>
        <w:rPr>
          <w:rFonts w:asciiTheme="minorHAnsi" w:hAnsiTheme="minorHAnsi" w:cstheme="minorHAnsi"/>
          <w:spacing w:val="-3"/>
          <w:lang w:val="en-GB"/>
        </w:rPr>
        <w:t>decrease in net income from fees and commissions of HRK 1.7 million, i.e. by 25.4 percent,</w:t>
      </w:r>
    </w:p>
    <w:p w14:paraId="6C884319" w14:textId="40BF2CDC" w:rsidR="004861F7" w:rsidRPr="00990EF1" w:rsidRDefault="00990EF1" w:rsidP="00DB7995">
      <w:pPr>
        <w:pStyle w:val="ListParagraph"/>
        <w:numPr>
          <w:ilvl w:val="0"/>
          <w:numId w:val="13"/>
        </w:numPr>
        <w:tabs>
          <w:tab w:val="left" w:pos="-720"/>
          <w:tab w:val="left" w:pos="709"/>
        </w:tabs>
        <w:suppressAutoHyphens/>
        <w:ind w:left="709" w:hanging="283"/>
        <w:jc w:val="both"/>
        <w:rPr>
          <w:rFonts w:asciiTheme="minorHAnsi" w:hAnsiTheme="minorHAnsi" w:cstheme="minorHAnsi"/>
          <w:spacing w:val="-3"/>
          <w:lang w:val="en-GB"/>
        </w:rPr>
      </w:pPr>
      <w:r w:rsidRPr="00990EF1">
        <w:rPr>
          <w:rFonts w:asciiTheme="minorHAnsi" w:hAnsiTheme="minorHAnsi" w:cstheme="minorHAnsi"/>
          <w:lang w:val="en"/>
        </w:rPr>
        <w:t>realization of expenses from financial activities in the amount of HRK 19.2 million, while in the same period last year revenues from financial activities in the amount of HRK 3.4 million were realized,</w:t>
      </w:r>
    </w:p>
    <w:p w14:paraId="27F7F0E5" w14:textId="2E65032A" w:rsidR="006571D0" w:rsidRPr="00041197" w:rsidRDefault="00990EF1" w:rsidP="002C3634">
      <w:pPr>
        <w:pStyle w:val="ListParagraph"/>
        <w:numPr>
          <w:ilvl w:val="0"/>
          <w:numId w:val="13"/>
        </w:numPr>
        <w:tabs>
          <w:tab w:val="left" w:pos="-720"/>
          <w:tab w:val="left" w:pos="709"/>
        </w:tabs>
        <w:suppressAutoHyphens/>
        <w:ind w:left="709" w:hanging="283"/>
        <w:jc w:val="both"/>
        <w:rPr>
          <w:rFonts w:asciiTheme="minorHAnsi" w:hAnsiTheme="minorHAnsi" w:cstheme="minorHAnsi"/>
          <w:spacing w:val="-3"/>
          <w:lang w:val="en-GB"/>
        </w:rPr>
      </w:pPr>
      <w:r>
        <w:rPr>
          <w:rFonts w:asciiTheme="minorHAnsi" w:hAnsiTheme="minorHAnsi" w:cstheme="minorHAnsi"/>
          <w:spacing w:val="-3"/>
          <w:lang w:val="en-GB"/>
        </w:rPr>
        <w:t>de</w:t>
      </w:r>
      <w:r w:rsidR="00781556" w:rsidRPr="00395073">
        <w:rPr>
          <w:rFonts w:asciiTheme="minorHAnsi" w:hAnsiTheme="minorHAnsi" w:cstheme="minorHAnsi"/>
          <w:spacing w:val="-3"/>
          <w:lang w:val="en-GB"/>
        </w:rPr>
        <w:t>crease in losses from impairment and provisions in the amount</w:t>
      </w:r>
      <w:r w:rsidR="00781556">
        <w:rPr>
          <w:rFonts w:asciiTheme="minorHAnsi" w:hAnsiTheme="minorHAnsi" w:cstheme="minorHAnsi"/>
          <w:spacing w:val="-3"/>
          <w:lang w:val="en-GB"/>
        </w:rPr>
        <w:t xml:space="preserve"> of</w:t>
      </w:r>
      <w:r w:rsidR="00781556" w:rsidRPr="00395073">
        <w:rPr>
          <w:rFonts w:asciiTheme="minorHAnsi" w:hAnsiTheme="minorHAnsi" w:cstheme="minorHAnsi"/>
          <w:spacing w:val="-3"/>
          <w:lang w:val="en-GB"/>
        </w:rPr>
        <w:t xml:space="preserve"> </w:t>
      </w:r>
      <w:r w:rsidR="00781556">
        <w:rPr>
          <w:rFonts w:asciiTheme="minorHAnsi" w:hAnsiTheme="minorHAnsi" w:cstheme="minorHAnsi"/>
          <w:spacing w:val="-3"/>
          <w:lang w:val="en-GB"/>
        </w:rPr>
        <w:t xml:space="preserve">HRK </w:t>
      </w:r>
      <w:r>
        <w:rPr>
          <w:rFonts w:asciiTheme="minorHAnsi" w:hAnsiTheme="minorHAnsi" w:cstheme="minorHAnsi"/>
          <w:spacing w:val="-3"/>
          <w:lang w:val="en-GB"/>
        </w:rPr>
        <w:t>18</w:t>
      </w:r>
      <w:r w:rsidR="00781556">
        <w:rPr>
          <w:rFonts w:asciiTheme="minorHAnsi" w:hAnsiTheme="minorHAnsi" w:cstheme="minorHAnsi"/>
          <w:spacing w:val="-3"/>
          <w:lang w:val="en-GB"/>
        </w:rPr>
        <w:t>.</w:t>
      </w:r>
      <w:r>
        <w:rPr>
          <w:rFonts w:asciiTheme="minorHAnsi" w:hAnsiTheme="minorHAnsi" w:cstheme="minorHAnsi"/>
          <w:spacing w:val="-3"/>
          <w:lang w:val="en-GB"/>
        </w:rPr>
        <w:t>4</w:t>
      </w:r>
      <w:r w:rsidR="006571D0" w:rsidRPr="002A10E9">
        <w:rPr>
          <w:rFonts w:asciiTheme="minorHAnsi" w:hAnsiTheme="minorHAnsi" w:cstheme="minorHAnsi"/>
          <w:spacing w:val="-3"/>
          <w:lang w:val="en-GB"/>
        </w:rPr>
        <w:t xml:space="preserve"> mil</w:t>
      </w:r>
      <w:r w:rsidR="00781556">
        <w:rPr>
          <w:rFonts w:asciiTheme="minorHAnsi" w:hAnsiTheme="minorHAnsi" w:cstheme="minorHAnsi"/>
          <w:spacing w:val="-3"/>
          <w:lang w:val="en-GB"/>
        </w:rPr>
        <w:t xml:space="preserve">lion, </w:t>
      </w:r>
    </w:p>
    <w:p w14:paraId="6DE13AE2" w14:textId="148D240E" w:rsidR="00B81116" w:rsidRPr="00041197" w:rsidRDefault="00781556">
      <w:pPr>
        <w:pStyle w:val="ListParagraph"/>
        <w:numPr>
          <w:ilvl w:val="0"/>
          <w:numId w:val="13"/>
        </w:numPr>
        <w:tabs>
          <w:tab w:val="left" w:pos="-720"/>
          <w:tab w:val="left" w:pos="709"/>
        </w:tabs>
        <w:suppressAutoHyphens/>
        <w:ind w:left="709" w:hanging="283"/>
        <w:jc w:val="both"/>
        <w:rPr>
          <w:rFonts w:asciiTheme="minorHAnsi" w:hAnsiTheme="minorHAnsi" w:cstheme="minorHAnsi"/>
          <w:spacing w:val="-3"/>
          <w:lang w:val="en-GB"/>
        </w:rPr>
      </w:pPr>
      <w:r w:rsidRPr="00D14621">
        <w:rPr>
          <w:rFonts w:asciiTheme="minorHAnsi" w:hAnsiTheme="minorHAnsi" w:cstheme="minorHAnsi"/>
          <w:spacing w:val="-3"/>
          <w:lang w:val="en-GB"/>
        </w:rPr>
        <w:t>in</w:t>
      </w:r>
      <w:r w:rsidRPr="0017099C">
        <w:rPr>
          <w:rFonts w:asciiTheme="minorHAnsi" w:hAnsiTheme="minorHAnsi" w:cstheme="minorHAnsi"/>
          <w:lang w:val="en-GB"/>
        </w:rPr>
        <w:t>creas</w:t>
      </w:r>
      <w:r w:rsidRPr="00395073">
        <w:rPr>
          <w:rFonts w:asciiTheme="minorHAnsi" w:hAnsiTheme="minorHAnsi"/>
          <w:lang w:val="en-GB"/>
        </w:rPr>
        <w:t xml:space="preserve">e in operating expenses of HRK </w:t>
      </w:r>
      <w:r w:rsidR="00990EF1">
        <w:rPr>
          <w:rFonts w:asciiTheme="minorHAnsi" w:hAnsiTheme="minorHAnsi"/>
          <w:lang w:val="en-GB"/>
        </w:rPr>
        <w:t>0</w:t>
      </w:r>
      <w:r>
        <w:rPr>
          <w:rFonts w:asciiTheme="minorHAnsi" w:hAnsiTheme="minorHAnsi" w:cstheme="minorHAnsi"/>
          <w:spacing w:val="-3"/>
          <w:lang w:val="en-GB"/>
        </w:rPr>
        <w:t>.</w:t>
      </w:r>
      <w:r w:rsidR="00990EF1">
        <w:rPr>
          <w:rFonts w:asciiTheme="minorHAnsi" w:hAnsiTheme="minorHAnsi" w:cstheme="minorHAnsi"/>
          <w:spacing w:val="-3"/>
          <w:lang w:val="en-GB"/>
        </w:rPr>
        <w:t>8</w:t>
      </w:r>
      <w:r w:rsidR="00B81116" w:rsidRPr="00041197">
        <w:rPr>
          <w:rFonts w:asciiTheme="minorHAnsi" w:hAnsiTheme="minorHAnsi" w:cstheme="minorHAnsi"/>
          <w:spacing w:val="-3"/>
          <w:lang w:val="en-GB"/>
        </w:rPr>
        <w:t xml:space="preserve"> mil</w:t>
      </w:r>
      <w:r>
        <w:rPr>
          <w:rFonts w:asciiTheme="minorHAnsi" w:hAnsiTheme="minorHAnsi" w:cstheme="minorHAnsi"/>
          <w:spacing w:val="-3"/>
          <w:lang w:val="en-GB"/>
        </w:rPr>
        <w:t xml:space="preserve">lion, i.e. by </w:t>
      </w:r>
      <w:r w:rsidR="00990EF1">
        <w:rPr>
          <w:rFonts w:asciiTheme="minorHAnsi" w:hAnsiTheme="minorHAnsi" w:cstheme="minorHAnsi"/>
          <w:spacing w:val="-3"/>
          <w:lang w:val="en-GB"/>
        </w:rPr>
        <w:t>2</w:t>
      </w:r>
      <w:r>
        <w:rPr>
          <w:rFonts w:asciiTheme="minorHAnsi" w:hAnsiTheme="minorHAnsi" w:cstheme="minorHAnsi"/>
          <w:spacing w:val="-3"/>
          <w:lang w:val="en-GB"/>
        </w:rPr>
        <w:t>.</w:t>
      </w:r>
      <w:r w:rsidR="00990EF1">
        <w:rPr>
          <w:rFonts w:asciiTheme="minorHAnsi" w:hAnsiTheme="minorHAnsi" w:cstheme="minorHAnsi"/>
          <w:spacing w:val="-3"/>
          <w:lang w:val="en-GB"/>
        </w:rPr>
        <w:t>3</w:t>
      </w:r>
      <w:r w:rsidR="00B81116" w:rsidRPr="00041197">
        <w:rPr>
          <w:rFonts w:asciiTheme="minorHAnsi" w:hAnsiTheme="minorHAnsi" w:cstheme="minorHAnsi"/>
          <w:spacing w:val="-3"/>
          <w:lang w:val="en-GB"/>
        </w:rPr>
        <w:t xml:space="preserve"> p</w:t>
      </w:r>
      <w:r>
        <w:rPr>
          <w:rFonts w:asciiTheme="minorHAnsi" w:hAnsiTheme="minorHAnsi" w:cstheme="minorHAnsi"/>
          <w:spacing w:val="-3"/>
          <w:lang w:val="en-GB"/>
        </w:rPr>
        <w:t>ercent</w:t>
      </w:r>
      <w:r w:rsidR="00990EF1">
        <w:rPr>
          <w:rFonts w:asciiTheme="minorHAnsi" w:hAnsiTheme="minorHAnsi" w:cstheme="minorHAnsi"/>
          <w:spacing w:val="-3"/>
          <w:lang w:val="en-GB"/>
        </w:rPr>
        <w:t>.</w:t>
      </w:r>
    </w:p>
    <w:p w14:paraId="42F27B23" w14:textId="77777777" w:rsidR="007D3F76" w:rsidRPr="00041197" w:rsidRDefault="007D3F76" w:rsidP="00BF17D9">
      <w:pPr>
        <w:tabs>
          <w:tab w:val="left" w:pos="-720"/>
        </w:tabs>
        <w:suppressAutoHyphens/>
        <w:spacing w:after="0" w:line="240" w:lineRule="auto"/>
        <w:jc w:val="both"/>
        <w:rPr>
          <w:rFonts w:cstheme="minorHAnsi"/>
          <w:spacing w:val="-3"/>
          <w:sz w:val="24"/>
          <w:szCs w:val="24"/>
          <w:lang w:val="en-GB"/>
        </w:rPr>
      </w:pPr>
    </w:p>
    <w:p w14:paraId="6B6ABBB6" w14:textId="77777777" w:rsidR="00BF17D9" w:rsidRPr="00041197" w:rsidRDefault="00D34D2C" w:rsidP="00BF17D9">
      <w:pPr>
        <w:tabs>
          <w:tab w:val="left" w:pos="-720"/>
        </w:tabs>
        <w:suppressAutoHyphens/>
        <w:spacing w:after="0" w:line="240" w:lineRule="auto"/>
        <w:jc w:val="both"/>
        <w:rPr>
          <w:rFonts w:cstheme="minorHAnsi"/>
          <w:spacing w:val="-3"/>
          <w:sz w:val="24"/>
          <w:szCs w:val="24"/>
          <w:lang w:val="en-GB"/>
        </w:rPr>
      </w:pPr>
      <w:r w:rsidRPr="00395073">
        <w:rPr>
          <w:rFonts w:eastAsia="Times New Roman" w:cs="Calibri"/>
          <w:spacing w:val="-3"/>
          <w:sz w:val="24"/>
          <w:szCs w:val="24"/>
          <w:lang w:val="en-GB" w:eastAsia="hr-HR"/>
        </w:rPr>
        <w:t>A detailed description of trends is given for each category separately in the following text</w:t>
      </w:r>
      <w:r w:rsidR="00BF17D9" w:rsidRPr="00041197">
        <w:rPr>
          <w:rFonts w:cstheme="minorHAnsi"/>
          <w:spacing w:val="-3"/>
          <w:sz w:val="24"/>
          <w:szCs w:val="24"/>
          <w:lang w:val="en-GB"/>
        </w:rPr>
        <w:t>.</w:t>
      </w:r>
    </w:p>
    <w:p w14:paraId="78B038B0" w14:textId="77777777" w:rsidR="00C16DA8" w:rsidRPr="00041197" w:rsidRDefault="00C16DA8" w:rsidP="00BF17D9">
      <w:pPr>
        <w:tabs>
          <w:tab w:val="left" w:pos="-720"/>
        </w:tabs>
        <w:suppressAutoHyphens/>
        <w:spacing w:after="0" w:line="240" w:lineRule="auto"/>
        <w:jc w:val="both"/>
        <w:rPr>
          <w:rFonts w:eastAsia="Times New Roman" w:cs="Calibri"/>
          <w:b/>
          <w:i/>
          <w:spacing w:val="-3"/>
          <w:sz w:val="24"/>
          <w:szCs w:val="24"/>
          <w:lang w:val="en-GB" w:eastAsia="hr-HR"/>
        </w:rPr>
        <w:sectPr w:rsidR="00C16DA8" w:rsidRPr="00041197" w:rsidSect="00F24D36">
          <w:footerReference w:type="default" r:id="rId23"/>
          <w:pgSz w:w="11906" w:h="16838"/>
          <w:pgMar w:top="1417" w:right="1417" w:bottom="1417" w:left="1276" w:header="708" w:footer="708" w:gutter="0"/>
          <w:cols w:space="708"/>
          <w:docGrid w:linePitch="360"/>
        </w:sectPr>
      </w:pPr>
    </w:p>
    <w:p w14:paraId="3A494F33" w14:textId="432D4C1B" w:rsidR="00BF17D9" w:rsidRDefault="00DE5B2C" w:rsidP="00D03A9F">
      <w:pPr>
        <w:tabs>
          <w:tab w:val="left" w:pos="-720"/>
        </w:tabs>
        <w:suppressAutoHyphens/>
        <w:spacing w:after="0" w:line="240" w:lineRule="auto"/>
        <w:ind w:left="-284" w:right="-426"/>
        <w:rPr>
          <w:rFonts w:eastAsia="Times New Roman" w:cs="Calibri"/>
          <w:b/>
          <w:i/>
          <w:spacing w:val="-3"/>
          <w:sz w:val="18"/>
          <w:szCs w:val="24"/>
          <w:lang w:val="en-GB" w:eastAsia="hr-HR"/>
        </w:rPr>
      </w:pPr>
      <w:r>
        <w:rPr>
          <w:rFonts w:eastAsia="Times New Roman" w:cs="Calibri"/>
          <w:b/>
          <w:i/>
          <w:noProof/>
          <w:spacing w:val="-3"/>
          <w:sz w:val="24"/>
          <w:szCs w:val="24"/>
          <w:lang w:val="en-GB" w:eastAsia="hr-HR"/>
        </w:rPr>
        <w:lastRenderedPageBreak/>
        <w:drawing>
          <wp:inline distT="0" distB="0" distL="0" distR="0" wp14:anchorId="12CE830A" wp14:editId="33A29515">
            <wp:extent cx="2855318" cy="3744000"/>
            <wp:effectExtent l="0" t="0" r="2540" b="889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855318" cy="3744000"/>
                    </a:xfrm>
                    <a:prstGeom prst="rect">
                      <a:avLst/>
                    </a:prstGeom>
                    <a:noFill/>
                  </pic:spPr>
                </pic:pic>
              </a:graphicData>
            </a:graphic>
          </wp:inline>
        </w:drawing>
      </w:r>
      <w:r w:rsidR="00D03A9F">
        <w:rPr>
          <w:rFonts w:eastAsia="Times New Roman" w:cs="Calibri"/>
          <w:b/>
          <w:i/>
          <w:spacing w:val="-3"/>
          <w:sz w:val="24"/>
          <w:szCs w:val="24"/>
          <w:lang w:val="en-GB" w:eastAsia="hr-HR"/>
        </w:rPr>
        <w:t xml:space="preserve">    </w:t>
      </w:r>
      <w:r w:rsidR="00A35432" w:rsidRPr="00041197">
        <w:rPr>
          <w:rFonts w:eastAsia="Times New Roman" w:cs="Calibri"/>
          <w:b/>
          <w:i/>
          <w:spacing w:val="-3"/>
          <w:sz w:val="24"/>
          <w:szCs w:val="24"/>
          <w:lang w:val="en-GB" w:eastAsia="hr-HR"/>
        </w:rPr>
        <w:t xml:space="preserve"> </w:t>
      </w:r>
      <w:r w:rsidR="00D03A9F">
        <w:rPr>
          <w:rFonts w:eastAsia="Times New Roman" w:cs="Calibri"/>
          <w:b/>
          <w:i/>
          <w:spacing w:val="-3"/>
          <w:sz w:val="24"/>
          <w:szCs w:val="24"/>
          <w:lang w:val="en-GB" w:eastAsia="hr-HR"/>
        </w:rPr>
        <w:t xml:space="preserve"> </w:t>
      </w:r>
      <w:r w:rsidR="00DB6E3A">
        <w:rPr>
          <w:rFonts w:eastAsia="Times New Roman" w:cs="Calibri"/>
          <w:b/>
          <w:i/>
          <w:spacing w:val="-3"/>
          <w:sz w:val="24"/>
          <w:szCs w:val="24"/>
          <w:lang w:val="en-GB" w:eastAsia="hr-HR"/>
        </w:rPr>
        <w:t xml:space="preserve"> </w:t>
      </w:r>
      <w:r w:rsidR="00D03A9F">
        <w:rPr>
          <w:rFonts w:eastAsia="Times New Roman" w:cs="Calibri"/>
          <w:b/>
          <w:i/>
          <w:spacing w:val="-3"/>
          <w:sz w:val="24"/>
          <w:szCs w:val="24"/>
          <w:lang w:val="en-GB" w:eastAsia="hr-HR"/>
        </w:rPr>
        <w:t xml:space="preserve"> </w:t>
      </w:r>
      <w:r>
        <w:rPr>
          <w:rFonts w:eastAsia="Times New Roman" w:cs="Calibri"/>
          <w:b/>
          <w:i/>
          <w:noProof/>
          <w:spacing w:val="-3"/>
          <w:sz w:val="24"/>
          <w:szCs w:val="24"/>
          <w:lang w:val="en-GB" w:eastAsia="hr-HR"/>
        </w:rPr>
        <w:drawing>
          <wp:inline distT="0" distB="0" distL="0" distR="0" wp14:anchorId="0FDE8370" wp14:editId="338BFDED">
            <wp:extent cx="2845344" cy="374400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845344" cy="3744000"/>
                    </a:xfrm>
                    <a:prstGeom prst="rect">
                      <a:avLst/>
                    </a:prstGeom>
                    <a:noFill/>
                  </pic:spPr>
                </pic:pic>
              </a:graphicData>
            </a:graphic>
          </wp:inline>
        </w:drawing>
      </w:r>
      <w:r w:rsidR="009D17A3" w:rsidRPr="00041197">
        <w:rPr>
          <w:rFonts w:eastAsia="Times New Roman" w:cs="Calibri"/>
          <w:b/>
          <w:i/>
          <w:spacing w:val="-3"/>
          <w:sz w:val="24"/>
          <w:szCs w:val="24"/>
          <w:lang w:val="en-GB" w:eastAsia="hr-HR"/>
        </w:rPr>
        <w:t xml:space="preserve">  </w:t>
      </w:r>
    </w:p>
    <w:p w14:paraId="714FBA06" w14:textId="0ECC02E7" w:rsidR="00D03A9F" w:rsidRPr="002A10E9" w:rsidRDefault="00D03A9F" w:rsidP="002A10E9">
      <w:pPr>
        <w:tabs>
          <w:tab w:val="left" w:pos="-720"/>
        </w:tabs>
        <w:suppressAutoHyphens/>
        <w:spacing w:after="0" w:line="240" w:lineRule="auto"/>
        <w:ind w:left="-284" w:right="-426"/>
        <w:rPr>
          <w:rFonts w:eastAsia="Times New Roman" w:cs="Calibri"/>
          <w:b/>
          <w:i/>
          <w:spacing w:val="-3"/>
          <w:sz w:val="18"/>
          <w:szCs w:val="24"/>
          <w:lang w:val="en-GB" w:eastAsia="hr-HR"/>
        </w:rPr>
      </w:pPr>
      <w:r>
        <w:rPr>
          <w:rFonts w:eastAsia="Times New Roman" w:cs="Calibri"/>
          <w:b/>
          <w:i/>
          <w:spacing w:val="-3"/>
          <w:sz w:val="18"/>
          <w:szCs w:val="24"/>
          <w:lang w:val="en-GB" w:eastAsia="hr-HR"/>
        </w:rPr>
        <w:t xml:space="preserve">   </w:t>
      </w:r>
    </w:p>
    <w:p w14:paraId="29701A4A" w14:textId="29C9F0F2" w:rsidR="00BF17D9" w:rsidRPr="00041197" w:rsidRDefault="00A57E5F" w:rsidP="00BF17D9">
      <w:pPr>
        <w:tabs>
          <w:tab w:val="left" w:pos="-720"/>
        </w:tabs>
        <w:suppressAutoHyphens/>
        <w:spacing w:after="0" w:line="240" w:lineRule="auto"/>
        <w:ind w:left="-426" w:right="-285"/>
        <w:jc w:val="both"/>
        <w:rPr>
          <w:rFonts w:eastAsia="Times New Roman" w:cs="Calibri"/>
          <w:b/>
          <w:i/>
          <w:spacing w:val="-3"/>
          <w:sz w:val="24"/>
          <w:szCs w:val="24"/>
          <w:lang w:val="en-GB" w:eastAsia="hr-HR"/>
        </w:rPr>
      </w:pPr>
      <w:r>
        <w:rPr>
          <w:rFonts w:eastAsia="Times New Roman" w:cs="Calibri"/>
          <w:b/>
          <w:i/>
          <w:spacing w:val="-3"/>
          <w:sz w:val="24"/>
          <w:szCs w:val="24"/>
          <w:lang w:val="en-GB" w:eastAsia="hr-HR"/>
        </w:rPr>
        <w:t xml:space="preserve">    </w:t>
      </w:r>
      <w:r w:rsidR="00DE5B2C">
        <w:rPr>
          <w:rFonts w:eastAsia="Times New Roman" w:cs="Calibri"/>
          <w:b/>
          <w:i/>
          <w:noProof/>
          <w:spacing w:val="-3"/>
          <w:sz w:val="24"/>
          <w:szCs w:val="24"/>
          <w:lang w:val="en-GB" w:eastAsia="hr-HR"/>
        </w:rPr>
        <w:drawing>
          <wp:inline distT="0" distB="0" distL="0" distR="0" wp14:anchorId="3A459FC3" wp14:editId="12A2707C">
            <wp:extent cx="2845344" cy="3744000"/>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845344" cy="3744000"/>
                    </a:xfrm>
                    <a:prstGeom prst="rect">
                      <a:avLst/>
                    </a:prstGeom>
                    <a:noFill/>
                  </pic:spPr>
                </pic:pic>
              </a:graphicData>
            </a:graphic>
          </wp:inline>
        </w:drawing>
      </w:r>
      <w:r w:rsidR="00D03A9F" w:rsidRPr="00D03A9F">
        <w:rPr>
          <w:rFonts w:eastAsia="Times New Roman" w:cs="Calibri"/>
          <w:b/>
          <w:i/>
          <w:spacing w:val="-3"/>
          <w:sz w:val="24"/>
          <w:szCs w:val="24"/>
          <w:lang w:val="en-GB" w:eastAsia="hr-HR"/>
        </w:rPr>
        <w:t xml:space="preserve"> </w:t>
      </w:r>
      <w:r w:rsidR="00D03A9F">
        <w:rPr>
          <w:rFonts w:eastAsia="Times New Roman" w:cs="Calibri"/>
          <w:b/>
          <w:i/>
          <w:spacing w:val="-3"/>
          <w:sz w:val="24"/>
          <w:szCs w:val="24"/>
          <w:lang w:val="en-GB" w:eastAsia="hr-HR"/>
        </w:rPr>
        <w:t xml:space="preserve"> </w:t>
      </w:r>
      <w:r w:rsidR="00D03A9F" w:rsidRPr="00D03A9F">
        <w:rPr>
          <w:rFonts w:eastAsia="Times New Roman" w:cs="Calibri"/>
          <w:b/>
          <w:i/>
          <w:spacing w:val="-3"/>
          <w:sz w:val="24"/>
          <w:szCs w:val="24"/>
          <w:lang w:val="en-GB" w:eastAsia="hr-HR"/>
        </w:rPr>
        <w:t xml:space="preserve"> </w:t>
      </w:r>
      <w:r w:rsidR="00DB6E3A">
        <w:rPr>
          <w:rFonts w:eastAsia="Times New Roman" w:cs="Calibri"/>
          <w:b/>
          <w:i/>
          <w:spacing w:val="-3"/>
          <w:sz w:val="24"/>
          <w:szCs w:val="24"/>
          <w:lang w:val="en-GB" w:eastAsia="hr-HR"/>
        </w:rPr>
        <w:t xml:space="preserve"> </w:t>
      </w:r>
      <w:r>
        <w:rPr>
          <w:rFonts w:eastAsia="Times New Roman" w:cs="Calibri"/>
          <w:b/>
          <w:i/>
          <w:spacing w:val="-3"/>
          <w:sz w:val="24"/>
          <w:szCs w:val="24"/>
          <w:lang w:val="en-GB" w:eastAsia="hr-HR"/>
        </w:rPr>
        <w:t xml:space="preserve"> </w:t>
      </w:r>
      <w:r w:rsidR="00D03A9F" w:rsidRPr="00D03A9F">
        <w:rPr>
          <w:rFonts w:eastAsia="Times New Roman" w:cs="Calibri"/>
          <w:b/>
          <w:i/>
          <w:spacing w:val="-3"/>
          <w:sz w:val="24"/>
          <w:szCs w:val="24"/>
          <w:lang w:val="en-GB" w:eastAsia="hr-HR"/>
        </w:rPr>
        <w:t xml:space="preserve"> </w:t>
      </w:r>
      <w:r w:rsidR="00DE5B2C">
        <w:rPr>
          <w:rFonts w:eastAsia="Times New Roman" w:cs="Calibri"/>
          <w:b/>
          <w:i/>
          <w:noProof/>
          <w:spacing w:val="-3"/>
          <w:sz w:val="24"/>
          <w:szCs w:val="24"/>
          <w:lang w:val="en-GB" w:eastAsia="hr-HR"/>
        </w:rPr>
        <w:drawing>
          <wp:inline distT="0" distB="0" distL="0" distR="0" wp14:anchorId="7A9971E9" wp14:editId="5AE54D0E">
            <wp:extent cx="2861326" cy="3744000"/>
            <wp:effectExtent l="0" t="0" r="0" b="889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861326" cy="3744000"/>
                    </a:xfrm>
                    <a:prstGeom prst="rect">
                      <a:avLst/>
                    </a:prstGeom>
                    <a:noFill/>
                  </pic:spPr>
                </pic:pic>
              </a:graphicData>
            </a:graphic>
          </wp:inline>
        </w:drawing>
      </w:r>
    </w:p>
    <w:p w14:paraId="6C9923FB" w14:textId="06824AED" w:rsidR="00B157D4" w:rsidRPr="00041197" w:rsidRDefault="00B157D4" w:rsidP="00BF17D9">
      <w:pPr>
        <w:tabs>
          <w:tab w:val="left" w:pos="-720"/>
        </w:tabs>
        <w:suppressAutoHyphens/>
        <w:spacing w:after="0" w:line="240" w:lineRule="auto"/>
        <w:jc w:val="both"/>
        <w:rPr>
          <w:rFonts w:eastAsia="Times New Roman" w:cs="Calibri"/>
          <w:b/>
          <w:i/>
          <w:spacing w:val="-3"/>
          <w:sz w:val="24"/>
          <w:szCs w:val="24"/>
          <w:lang w:val="en-GB" w:eastAsia="hr-HR"/>
        </w:rPr>
        <w:sectPr w:rsidR="00B157D4" w:rsidRPr="00041197" w:rsidSect="00F24D36">
          <w:footerReference w:type="default" r:id="rId28"/>
          <w:pgSz w:w="11906" w:h="16838"/>
          <w:pgMar w:top="1417" w:right="1417" w:bottom="1417" w:left="1276" w:header="708" w:footer="708" w:gutter="0"/>
          <w:cols w:space="708"/>
          <w:docGrid w:linePitch="360"/>
        </w:sectPr>
      </w:pPr>
    </w:p>
    <w:p w14:paraId="4A0650CA" w14:textId="77777777" w:rsidR="007C74A7" w:rsidRPr="00395073" w:rsidRDefault="007C74A7" w:rsidP="007C74A7">
      <w:pPr>
        <w:tabs>
          <w:tab w:val="left" w:pos="-720"/>
        </w:tabs>
        <w:suppressAutoHyphens/>
        <w:spacing w:after="0" w:line="240" w:lineRule="auto"/>
        <w:jc w:val="both"/>
        <w:rPr>
          <w:rFonts w:eastAsia="Times New Roman" w:cs="Calibri"/>
          <w:b/>
          <w:i/>
          <w:spacing w:val="-3"/>
          <w:sz w:val="24"/>
          <w:szCs w:val="24"/>
          <w:lang w:val="en-GB" w:eastAsia="hr-HR"/>
        </w:rPr>
      </w:pPr>
      <w:r w:rsidRPr="00395073">
        <w:rPr>
          <w:rFonts w:eastAsia="Times New Roman" w:cs="Calibri"/>
          <w:b/>
          <w:i/>
          <w:spacing w:val="-3"/>
          <w:sz w:val="24"/>
          <w:szCs w:val="24"/>
          <w:lang w:val="en-GB" w:eastAsia="hr-HR"/>
        </w:rPr>
        <w:lastRenderedPageBreak/>
        <w:t>Net interest income</w:t>
      </w:r>
    </w:p>
    <w:p w14:paraId="6F5631EB" w14:textId="77777777" w:rsidR="00BF17D9" w:rsidRPr="00041197" w:rsidRDefault="00BF17D9" w:rsidP="00BF17D9">
      <w:pPr>
        <w:tabs>
          <w:tab w:val="left" w:pos="-720"/>
        </w:tabs>
        <w:suppressAutoHyphens/>
        <w:spacing w:after="0" w:line="240" w:lineRule="auto"/>
        <w:jc w:val="both"/>
        <w:rPr>
          <w:rFonts w:eastAsia="Times New Roman" w:cs="Calibri"/>
          <w:b/>
          <w:i/>
          <w:spacing w:val="-3"/>
          <w:sz w:val="24"/>
          <w:szCs w:val="24"/>
          <w:lang w:val="en-GB" w:eastAsia="hr-HR"/>
        </w:rPr>
      </w:pPr>
    </w:p>
    <w:p w14:paraId="58C5EAB9" w14:textId="09DCA10A" w:rsidR="00BF17D9" w:rsidRPr="00041197" w:rsidRDefault="0038011D" w:rsidP="00BF17D9">
      <w:pPr>
        <w:tabs>
          <w:tab w:val="left" w:pos="-720"/>
        </w:tabs>
        <w:suppressAutoHyphens/>
        <w:spacing w:after="0" w:line="240" w:lineRule="auto"/>
        <w:jc w:val="both"/>
        <w:rPr>
          <w:rFonts w:cstheme="minorHAnsi"/>
          <w:spacing w:val="-3"/>
          <w:sz w:val="24"/>
          <w:szCs w:val="24"/>
          <w:lang w:val="en-GB"/>
        </w:rPr>
      </w:pPr>
      <w:r w:rsidRPr="00395073">
        <w:rPr>
          <w:rFonts w:cs="Calibri"/>
          <w:spacing w:val="-3"/>
          <w:sz w:val="24"/>
          <w:szCs w:val="24"/>
          <w:lang w:val="en-GB"/>
        </w:rPr>
        <w:t xml:space="preserve">Net interest income amounted to </w:t>
      </w:r>
      <w:r w:rsidRPr="008C2AC9">
        <w:rPr>
          <w:rFonts w:cs="Calibri"/>
          <w:spacing w:val="-3"/>
          <w:sz w:val="24"/>
          <w:szCs w:val="24"/>
          <w:lang w:val="en-GB"/>
        </w:rPr>
        <w:t>HRK</w:t>
      </w:r>
      <w:r w:rsidRPr="00D14621">
        <w:rPr>
          <w:rFonts w:cs="Calibri"/>
          <w:spacing w:val="-3"/>
          <w:sz w:val="24"/>
          <w:szCs w:val="24"/>
          <w:lang w:val="en-GB"/>
        </w:rPr>
        <w:t xml:space="preserve"> </w:t>
      </w:r>
      <w:r w:rsidR="00505702" w:rsidRPr="00041197">
        <w:rPr>
          <w:rFonts w:cstheme="minorHAnsi"/>
          <w:spacing w:val="-3"/>
          <w:sz w:val="24"/>
          <w:szCs w:val="24"/>
          <w:lang w:val="en-GB"/>
        </w:rPr>
        <w:t>8</w:t>
      </w:r>
      <w:r w:rsidR="006827A2">
        <w:rPr>
          <w:rFonts w:cstheme="minorHAnsi"/>
          <w:spacing w:val="-3"/>
          <w:sz w:val="24"/>
          <w:szCs w:val="24"/>
          <w:lang w:val="en-GB"/>
        </w:rPr>
        <w:t>7</w:t>
      </w:r>
      <w:r>
        <w:rPr>
          <w:rFonts w:cstheme="minorHAnsi"/>
          <w:spacing w:val="-3"/>
          <w:sz w:val="24"/>
          <w:szCs w:val="24"/>
          <w:lang w:val="en-GB"/>
        </w:rPr>
        <w:t>.</w:t>
      </w:r>
      <w:r w:rsidR="006827A2">
        <w:rPr>
          <w:rFonts w:cstheme="minorHAnsi"/>
          <w:spacing w:val="-3"/>
          <w:sz w:val="24"/>
          <w:szCs w:val="24"/>
          <w:lang w:val="en-GB"/>
        </w:rPr>
        <w:t>5</w:t>
      </w:r>
      <w:r w:rsidR="00BF17D9" w:rsidRPr="00041197">
        <w:rPr>
          <w:rFonts w:cstheme="minorHAnsi"/>
          <w:spacing w:val="-3"/>
          <w:sz w:val="24"/>
          <w:szCs w:val="24"/>
          <w:lang w:val="en-GB"/>
        </w:rPr>
        <w:t xml:space="preserve"> </w:t>
      </w:r>
      <w:r>
        <w:rPr>
          <w:rFonts w:cstheme="minorHAnsi"/>
          <w:spacing w:val="-3"/>
          <w:sz w:val="24"/>
          <w:szCs w:val="24"/>
          <w:lang w:val="en-GB"/>
        </w:rPr>
        <w:t xml:space="preserve">million, </w:t>
      </w:r>
      <w:r w:rsidRPr="00395073">
        <w:rPr>
          <w:rFonts w:cstheme="minorHAnsi"/>
          <w:spacing w:val="-3"/>
          <w:sz w:val="24"/>
          <w:szCs w:val="24"/>
          <w:lang w:val="en-GB"/>
        </w:rPr>
        <w:t>a</w:t>
      </w:r>
      <w:r w:rsidR="006827A2">
        <w:rPr>
          <w:rFonts w:cstheme="minorHAnsi"/>
          <w:spacing w:val="-3"/>
          <w:sz w:val="24"/>
          <w:szCs w:val="24"/>
          <w:lang w:val="en-GB"/>
        </w:rPr>
        <w:t>n</w:t>
      </w:r>
      <w:r w:rsidRPr="00395073">
        <w:rPr>
          <w:rFonts w:cstheme="minorHAnsi"/>
          <w:spacing w:val="-3"/>
          <w:sz w:val="24"/>
          <w:szCs w:val="24"/>
          <w:lang w:val="en-GB"/>
        </w:rPr>
        <w:t xml:space="preserve"> </w:t>
      </w:r>
      <w:r w:rsidR="006827A2">
        <w:rPr>
          <w:rFonts w:cstheme="minorHAnsi"/>
          <w:spacing w:val="-3"/>
          <w:sz w:val="24"/>
          <w:szCs w:val="24"/>
          <w:lang w:val="en-GB"/>
        </w:rPr>
        <w:t>in</w:t>
      </w:r>
      <w:r w:rsidRPr="00395073">
        <w:rPr>
          <w:rFonts w:cstheme="minorHAnsi"/>
          <w:spacing w:val="-3"/>
          <w:sz w:val="24"/>
          <w:szCs w:val="24"/>
          <w:lang w:val="en-GB"/>
        </w:rPr>
        <w:t xml:space="preserve">crease of </w:t>
      </w:r>
      <w:r w:rsidR="006827A2">
        <w:rPr>
          <w:rFonts w:cstheme="minorHAnsi"/>
          <w:spacing w:val="-3"/>
          <w:sz w:val="24"/>
          <w:szCs w:val="24"/>
          <w:lang w:val="en-GB"/>
        </w:rPr>
        <w:t>7</w:t>
      </w:r>
      <w:r>
        <w:rPr>
          <w:rFonts w:cstheme="minorHAnsi"/>
          <w:spacing w:val="-3"/>
          <w:sz w:val="24"/>
          <w:szCs w:val="24"/>
          <w:lang w:val="en-GB"/>
        </w:rPr>
        <w:t>.</w:t>
      </w:r>
      <w:r w:rsidR="006827A2">
        <w:rPr>
          <w:rFonts w:cstheme="minorHAnsi"/>
          <w:spacing w:val="-3"/>
          <w:sz w:val="24"/>
          <w:szCs w:val="24"/>
          <w:lang w:val="en-GB"/>
        </w:rPr>
        <w:t>8</w:t>
      </w:r>
      <w:r>
        <w:rPr>
          <w:rFonts w:cstheme="minorHAnsi"/>
          <w:spacing w:val="-3"/>
          <w:sz w:val="24"/>
          <w:szCs w:val="24"/>
          <w:lang w:val="en-GB"/>
        </w:rPr>
        <w:t xml:space="preserve"> percent</w:t>
      </w:r>
      <w:r w:rsidR="00BF17D9" w:rsidRPr="00041197">
        <w:rPr>
          <w:rFonts w:cstheme="minorHAnsi"/>
          <w:spacing w:val="-3"/>
          <w:sz w:val="24"/>
          <w:szCs w:val="24"/>
          <w:lang w:val="en-GB"/>
        </w:rPr>
        <w:t xml:space="preserve"> </w:t>
      </w:r>
      <w:r w:rsidRPr="00395073">
        <w:rPr>
          <w:rFonts w:cstheme="minorHAnsi"/>
          <w:spacing w:val="-3"/>
          <w:sz w:val="24"/>
          <w:szCs w:val="24"/>
          <w:lang w:val="en-GB"/>
        </w:rPr>
        <w:t>on the same period of the previous reporting year.</w:t>
      </w:r>
      <w:r w:rsidR="00BF17D9" w:rsidRPr="00041197">
        <w:rPr>
          <w:rFonts w:cstheme="minorHAnsi"/>
          <w:spacing w:val="-3"/>
          <w:sz w:val="24"/>
          <w:szCs w:val="24"/>
          <w:lang w:val="en-GB"/>
        </w:rPr>
        <w:t xml:space="preserve"> </w:t>
      </w:r>
    </w:p>
    <w:p w14:paraId="3BCA99D8" w14:textId="77777777" w:rsidR="00BF17D9" w:rsidRPr="00041197" w:rsidRDefault="00BF17D9" w:rsidP="00BF17D9">
      <w:pPr>
        <w:tabs>
          <w:tab w:val="left" w:pos="-720"/>
        </w:tabs>
        <w:suppressAutoHyphens/>
        <w:spacing w:after="0" w:line="240" w:lineRule="auto"/>
        <w:jc w:val="both"/>
        <w:rPr>
          <w:rFonts w:cstheme="minorHAnsi"/>
          <w:spacing w:val="-3"/>
          <w:sz w:val="24"/>
          <w:szCs w:val="24"/>
          <w:lang w:val="en-GB"/>
        </w:rPr>
      </w:pPr>
    </w:p>
    <w:p w14:paraId="667CB6C1" w14:textId="6F4469FF" w:rsidR="0038011D" w:rsidRPr="00395073" w:rsidRDefault="0038011D" w:rsidP="0038011D">
      <w:pPr>
        <w:tabs>
          <w:tab w:val="left" w:pos="-720"/>
        </w:tabs>
        <w:suppressAutoHyphens/>
        <w:spacing w:after="0" w:line="240" w:lineRule="auto"/>
        <w:jc w:val="both"/>
        <w:rPr>
          <w:rFonts w:cstheme="minorHAnsi"/>
          <w:spacing w:val="-3"/>
          <w:sz w:val="24"/>
          <w:szCs w:val="24"/>
          <w:lang w:val="en-GB"/>
        </w:rPr>
      </w:pPr>
      <w:r w:rsidRPr="00395073">
        <w:rPr>
          <w:rFonts w:cstheme="minorHAnsi"/>
          <w:spacing w:val="-3"/>
          <w:sz w:val="24"/>
          <w:szCs w:val="24"/>
          <w:lang w:val="en-GB"/>
        </w:rPr>
        <w:t xml:space="preserve">Interest income amounted to HRK </w:t>
      </w:r>
      <w:r w:rsidR="00F42B35" w:rsidRPr="00041197">
        <w:rPr>
          <w:rFonts w:cstheme="minorHAnsi"/>
          <w:spacing w:val="-3"/>
          <w:sz w:val="24"/>
          <w:szCs w:val="24"/>
          <w:lang w:val="en-GB"/>
        </w:rPr>
        <w:t>16</w:t>
      </w:r>
      <w:r w:rsidR="006827A2">
        <w:rPr>
          <w:rFonts w:cstheme="minorHAnsi"/>
          <w:spacing w:val="-3"/>
          <w:sz w:val="24"/>
          <w:szCs w:val="24"/>
          <w:lang w:val="en-GB"/>
        </w:rPr>
        <w:t>0</w:t>
      </w:r>
      <w:r>
        <w:rPr>
          <w:rFonts w:cstheme="minorHAnsi"/>
          <w:spacing w:val="-3"/>
          <w:sz w:val="24"/>
          <w:szCs w:val="24"/>
          <w:lang w:val="en-GB"/>
        </w:rPr>
        <w:t>.</w:t>
      </w:r>
      <w:r w:rsidR="006827A2">
        <w:rPr>
          <w:rFonts w:cstheme="minorHAnsi"/>
          <w:spacing w:val="-3"/>
          <w:sz w:val="24"/>
          <w:szCs w:val="24"/>
          <w:lang w:val="en-GB"/>
        </w:rPr>
        <w:t>2</w:t>
      </w:r>
      <w:r w:rsidR="00B276F2" w:rsidRPr="00041197">
        <w:rPr>
          <w:rFonts w:cstheme="minorHAnsi"/>
          <w:spacing w:val="-3"/>
          <w:sz w:val="24"/>
          <w:szCs w:val="24"/>
          <w:lang w:val="en-GB"/>
        </w:rPr>
        <w:t xml:space="preserve"> </w:t>
      </w:r>
      <w:r w:rsidRPr="00395073">
        <w:rPr>
          <w:rFonts w:cstheme="minorHAnsi"/>
          <w:spacing w:val="-3"/>
          <w:sz w:val="24"/>
          <w:szCs w:val="24"/>
          <w:lang w:val="en-GB"/>
        </w:rPr>
        <w:t>million, a decrease of</w:t>
      </w:r>
      <w:r w:rsidRPr="00041197">
        <w:rPr>
          <w:rFonts w:cstheme="minorHAnsi"/>
          <w:spacing w:val="-3"/>
          <w:sz w:val="24"/>
          <w:szCs w:val="24"/>
          <w:lang w:val="en-GB"/>
        </w:rPr>
        <w:t xml:space="preserve"> </w:t>
      </w:r>
      <w:r w:rsidR="00B276F2" w:rsidRPr="00041197">
        <w:rPr>
          <w:rFonts w:cstheme="minorHAnsi"/>
          <w:spacing w:val="-3"/>
          <w:sz w:val="24"/>
          <w:szCs w:val="24"/>
          <w:lang w:val="en-GB"/>
        </w:rPr>
        <w:t>1</w:t>
      </w:r>
      <w:r>
        <w:rPr>
          <w:rFonts w:cstheme="minorHAnsi"/>
          <w:spacing w:val="-3"/>
          <w:sz w:val="24"/>
          <w:szCs w:val="24"/>
          <w:lang w:val="en-GB"/>
        </w:rPr>
        <w:t>.</w:t>
      </w:r>
      <w:r w:rsidR="006827A2">
        <w:rPr>
          <w:rFonts w:cstheme="minorHAnsi"/>
          <w:spacing w:val="-3"/>
          <w:sz w:val="24"/>
          <w:szCs w:val="24"/>
          <w:lang w:val="en-GB"/>
        </w:rPr>
        <w:t>7</w:t>
      </w:r>
      <w:r w:rsidR="00B276F2" w:rsidRPr="00041197">
        <w:rPr>
          <w:rFonts w:cstheme="minorHAnsi"/>
          <w:spacing w:val="-3"/>
          <w:sz w:val="24"/>
          <w:szCs w:val="24"/>
          <w:lang w:val="en-GB"/>
        </w:rPr>
        <w:t xml:space="preserve"> </w:t>
      </w:r>
      <w:r w:rsidRPr="00395073">
        <w:rPr>
          <w:rFonts w:cstheme="minorHAnsi"/>
          <w:spacing w:val="-3"/>
          <w:sz w:val="24"/>
          <w:szCs w:val="24"/>
          <w:lang w:val="en-GB"/>
        </w:rPr>
        <w:t xml:space="preserve">percent on the same reporting period last year due to decreased interest income from long-term loans due to the long-term implementation of measures of interest rate reduction, reduction of interest income from interest rate subsidies, significant amounts of premature loan repayments in </w:t>
      </w:r>
      <w:r w:rsidR="00C16DA8" w:rsidRPr="00041197">
        <w:rPr>
          <w:rFonts w:cstheme="minorHAnsi"/>
          <w:spacing w:val="-3"/>
          <w:sz w:val="24"/>
          <w:szCs w:val="24"/>
          <w:lang w:val="en-GB"/>
        </w:rPr>
        <w:t>201</w:t>
      </w:r>
      <w:r w:rsidR="006827A2">
        <w:rPr>
          <w:rFonts w:cstheme="minorHAnsi"/>
          <w:spacing w:val="-3"/>
          <w:sz w:val="24"/>
          <w:szCs w:val="24"/>
          <w:lang w:val="en-GB"/>
        </w:rPr>
        <w:t>9</w:t>
      </w:r>
      <w:r>
        <w:rPr>
          <w:rFonts w:cstheme="minorHAnsi"/>
          <w:spacing w:val="-3"/>
          <w:sz w:val="24"/>
          <w:szCs w:val="24"/>
          <w:lang w:val="en-GB"/>
        </w:rPr>
        <w:t xml:space="preserve"> </w:t>
      </w:r>
      <w:r w:rsidRPr="00395073">
        <w:rPr>
          <w:rFonts w:cstheme="minorHAnsi"/>
          <w:spacing w:val="-3"/>
          <w:sz w:val="24"/>
          <w:szCs w:val="24"/>
          <w:lang w:val="en-GB"/>
        </w:rPr>
        <w:t>and the manner of recording of interest income from exposures classified to stage 3 and POCI assets (unwinding).</w:t>
      </w:r>
    </w:p>
    <w:p w14:paraId="71157B20" w14:textId="3F3F11A2" w:rsidR="00EF2AF8" w:rsidRPr="006827A2" w:rsidRDefault="0038011D" w:rsidP="002A10E9">
      <w:pPr>
        <w:tabs>
          <w:tab w:val="left" w:pos="9213"/>
        </w:tabs>
        <w:spacing w:after="0" w:line="240" w:lineRule="auto"/>
        <w:jc w:val="both"/>
        <w:rPr>
          <w:sz w:val="24"/>
          <w:szCs w:val="24"/>
          <w:lang w:val="en-GB"/>
        </w:rPr>
      </w:pPr>
      <w:r w:rsidRPr="0038011D">
        <w:rPr>
          <w:rFonts w:cstheme="minorHAnsi"/>
          <w:spacing w:val="-3"/>
          <w:sz w:val="24"/>
          <w:szCs w:val="24"/>
          <w:lang w:val="en-GB"/>
        </w:rPr>
        <w:t>On this basis, from 1 January to</w:t>
      </w:r>
      <w:r w:rsidRPr="00395073">
        <w:rPr>
          <w:rFonts w:cstheme="minorHAnsi"/>
          <w:spacing w:val="-3"/>
          <w:lang w:val="en-GB"/>
        </w:rPr>
        <w:t xml:space="preserve"> </w:t>
      </w:r>
      <w:r w:rsidR="00EC57E5" w:rsidRPr="002A10E9">
        <w:rPr>
          <w:sz w:val="24"/>
          <w:szCs w:val="24"/>
          <w:lang w:val="en-GB"/>
        </w:rPr>
        <w:t>3</w:t>
      </w:r>
      <w:r w:rsidR="00F42B35" w:rsidRPr="00041197">
        <w:rPr>
          <w:sz w:val="24"/>
          <w:szCs w:val="24"/>
          <w:lang w:val="en-GB"/>
        </w:rPr>
        <w:t>1</w:t>
      </w:r>
      <w:r>
        <w:rPr>
          <w:sz w:val="24"/>
          <w:szCs w:val="24"/>
          <w:lang w:val="en-GB"/>
        </w:rPr>
        <w:t xml:space="preserve"> March 20</w:t>
      </w:r>
      <w:r w:rsidR="006827A2">
        <w:rPr>
          <w:sz w:val="24"/>
          <w:szCs w:val="24"/>
          <w:lang w:val="en-GB"/>
        </w:rPr>
        <w:t>20</w:t>
      </w:r>
      <w:r>
        <w:rPr>
          <w:sz w:val="24"/>
          <w:szCs w:val="24"/>
          <w:lang w:val="en-GB"/>
        </w:rPr>
        <w:t>,</w:t>
      </w:r>
      <w:r w:rsidR="00F42B35" w:rsidRPr="00041197">
        <w:rPr>
          <w:sz w:val="24"/>
          <w:szCs w:val="24"/>
          <w:lang w:val="en-GB"/>
        </w:rPr>
        <w:t xml:space="preserve"> </w:t>
      </w:r>
      <w:r w:rsidRPr="0038011D">
        <w:rPr>
          <w:rFonts w:cstheme="minorHAnsi"/>
          <w:spacing w:val="-3"/>
          <w:sz w:val="24"/>
          <w:szCs w:val="24"/>
          <w:lang w:val="en-GB"/>
        </w:rPr>
        <w:t>interest income was reduced by HRK</w:t>
      </w:r>
      <w:r w:rsidRPr="00395073">
        <w:rPr>
          <w:rFonts w:cstheme="minorHAnsi"/>
          <w:spacing w:val="-3"/>
          <w:lang w:val="en-GB"/>
        </w:rPr>
        <w:t xml:space="preserve"> </w:t>
      </w:r>
      <w:r w:rsidR="006827A2" w:rsidRPr="006827A2">
        <w:rPr>
          <w:rFonts w:cstheme="minorHAnsi"/>
          <w:spacing w:val="-3"/>
          <w:sz w:val="24"/>
          <w:szCs w:val="24"/>
          <w:lang w:val="en-GB"/>
        </w:rPr>
        <w:t>10</w:t>
      </w:r>
      <w:r w:rsidRPr="006827A2">
        <w:rPr>
          <w:sz w:val="24"/>
          <w:szCs w:val="24"/>
          <w:lang w:val="en-GB"/>
        </w:rPr>
        <w:t>.</w:t>
      </w:r>
      <w:r w:rsidR="006827A2" w:rsidRPr="006827A2">
        <w:rPr>
          <w:sz w:val="24"/>
          <w:szCs w:val="24"/>
          <w:lang w:val="en-GB"/>
        </w:rPr>
        <w:t>6</w:t>
      </w:r>
      <w:r w:rsidR="00F42B35" w:rsidRPr="00041197">
        <w:rPr>
          <w:sz w:val="24"/>
          <w:szCs w:val="24"/>
          <w:lang w:val="en-GB"/>
        </w:rPr>
        <w:t xml:space="preserve"> </w:t>
      </w:r>
      <w:r w:rsidR="00EC57E5" w:rsidRPr="006827A2">
        <w:rPr>
          <w:sz w:val="24"/>
          <w:szCs w:val="24"/>
          <w:lang w:val="en-GB"/>
        </w:rPr>
        <w:t>mil</w:t>
      </w:r>
      <w:r w:rsidRPr="006827A2">
        <w:rPr>
          <w:sz w:val="24"/>
          <w:szCs w:val="24"/>
          <w:lang w:val="en-GB"/>
        </w:rPr>
        <w:t>lion</w:t>
      </w:r>
      <w:r w:rsidR="006827A2" w:rsidRPr="006827A2">
        <w:rPr>
          <w:sz w:val="24"/>
          <w:szCs w:val="24"/>
          <w:lang w:val="en-GB"/>
        </w:rPr>
        <w:t>,</w:t>
      </w:r>
      <w:r w:rsidR="006827A2" w:rsidRPr="006827A2">
        <w:rPr>
          <w:color w:val="222222"/>
          <w:sz w:val="24"/>
          <w:szCs w:val="24"/>
          <w:lang w:val="en"/>
        </w:rPr>
        <w:t xml:space="preserve"> while in the same reporting period in 2019 it decreased by HRK 8.7 million.</w:t>
      </w:r>
    </w:p>
    <w:p w14:paraId="60216BC4" w14:textId="77777777" w:rsidR="00EC57E5" w:rsidRPr="00041197" w:rsidRDefault="00EC57E5" w:rsidP="00972857">
      <w:pPr>
        <w:spacing w:after="0" w:line="240" w:lineRule="auto"/>
        <w:jc w:val="both"/>
        <w:rPr>
          <w:rFonts w:cstheme="minorHAnsi"/>
          <w:spacing w:val="-3"/>
          <w:sz w:val="24"/>
          <w:szCs w:val="24"/>
          <w:lang w:val="en-GB"/>
        </w:rPr>
      </w:pPr>
    </w:p>
    <w:p w14:paraId="6CF19D73" w14:textId="77777777" w:rsidR="006827A2" w:rsidRPr="006827A2" w:rsidRDefault="0038011D" w:rsidP="006827A2">
      <w:pPr>
        <w:spacing w:before="120" w:after="120"/>
        <w:jc w:val="both"/>
        <w:rPr>
          <w:rFonts w:ascii="Calibri" w:eastAsia="Calibri" w:hAnsi="Calibri" w:cs="Calibri"/>
          <w:spacing w:val="-3"/>
          <w:sz w:val="24"/>
          <w:szCs w:val="24"/>
          <w:lang w:val="en-GB"/>
        </w:rPr>
      </w:pPr>
      <w:r w:rsidRPr="00395073">
        <w:rPr>
          <w:rFonts w:cstheme="minorHAnsi"/>
          <w:spacing w:val="-3"/>
          <w:sz w:val="24"/>
          <w:szCs w:val="24"/>
          <w:lang w:val="en-GB"/>
        </w:rPr>
        <w:t xml:space="preserve">Interest expenses amounted to HRK </w:t>
      </w:r>
      <w:r w:rsidR="006827A2">
        <w:rPr>
          <w:rFonts w:cstheme="minorHAnsi"/>
          <w:spacing w:val="-3"/>
          <w:sz w:val="24"/>
          <w:szCs w:val="24"/>
          <w:lang w:val="en-GB"/>
        </w:rPr>
        <w:t>72</w:t>
      </w:r>
      <w:r>
        <w:rPr>
          <w:rFonts w:cstheme="minorHAnsi"/>
          <w:spacing w:val="-3"/>
          <w:sz w:val="24"/>
          <w:szCs w:val="24"/>
          <w:lang w:val="en-GB"/>
        </w:rPr>
        <w:t>.</w:t>
      </w:r>
      <w:r w:rsidR="006827A2">
        <w:rPr>
          <w:rFonts w:cstheme="minorHAnsi"/>
          <w:spacing w:val="-3"/>
          <w:sz w:val="24"/>
          <w:szCs w:val="24"/>
          <w:lang w:val="en-GB"/>
        </w:rPr>
        <w:t>7</w:t>
      </w:r>
      <w:r w:rsidR="00BF17D9" w:rsidRPr="00041197">
        <w:rPr>
          <w:rFonts w:cstheme="minorHAnsi"/>
          <w:spacing w:val="-3"/>
          <w:sz w:val="24"/>
          <w:szCs w:val="24"/>
          <w:lang w:val="en-GB"/>
        </w:rPr>
        <w:t xml:space="preserve"> mil</w:t>
      </w:r>
      <w:r>
        <w:rPr>
          <w:rFonts w:cstheme="minorHAnsi"/>
          <w:spacing w:val="-3"/>
          <w:sz w:val="24"/>
          <w:szCs w:val="24"/>
          <w:lang w:val="en-GB"/>
        </w:rPr>
        <w:t xml:space="preserve">lion, </w:t>
      </w:r>
      <w:r w:rsidRPr="00395073">
        <w:rPr>
          <w:rFonts w:cstheme="minorHAnsi"/>
          <w:spacing w:val="-3"/>
          <w:sz w:val="24"/>
          <w:szCs w:val="24"/>
          <w:lang w:val="en-GB"/>
        </w:rPr>
        <w:t xml:space="preserve">a decrease of </w:t>
      </w:r>
      <w:r w:rsidR="006827A2">
        <w:rPr>
          <w:rFonts w:cstheme="minorHAnsi"/>
          <w:spacing w:val="-3"/>
          <w:sz w:val="24"/>
          <w:szCs w:val="24"/>
          <w:lang w:val="en-GB"/>
        </w:rPr>
        <w:t>11</w:t>
      </w:r>
      <w:r>
        <w:rPr>
          <w:rFonts w:cstheme="minorHAnsi"/>
          <w:spacing w:val="-3"/>
          <w:sz w:val="24"/>
          <w:szCs w:val="24"/>
          <w:lang w:val="en-GB"/>
        </w:rPr>
        <w:t>.</w:t>
      </w:r>
      <w:r w:rsidR="00F42B35" w:rsidRPr="00041197">
        <w:rPr>
          <w:rFonts w:cstheme="minorHAnsi"/>
          <w:spacing w:val="-3"/>
          <w:sz w:val="24"/>
          <w:szCs w:val="24"/>
          <w:lang w:val="en-GB"/>
        </w:rPr>
        <w:t>1</w:t>
      </w:r>
      <w:r w:rsidR="001312B5" w:rsidRPr="00041197">
        <w:rPr>
          <w:rFonts w:cstheme="minorHAnsi"/>
          <w:spacing w:val="-3"/>
          <w:sz w:val="24"/>
          <w:szCs w:val="24"/>
          <w:lang w:val="en-GB"/>
        </w:rPr>
        <w:t xml:space="preserve"> </w:t>
      </w:r>
      <w:r w:rsidR="00F937F0" w:rsidRPr="00041197">
        <w:rPr>
          <w:rFonts w:cstheme="minorHAnsi"/>
          <w:spacing w:val="-3"/>
          <w:sz w:val="24"/>
          <w:szCs w:val="24"/>
          <w:lang w:val="en-GB"/>
        </w:rPr>
        <w:t>p</w:t>
      </w:r>
      <w:r>
        <w:rPr>
          <w:rFonts w:cstheme="minorHAnsi"/>
          <w:spacing w:val="-3"/>
          <w:sz w:val="24"/>
          <w:szCs w:val="24"/>
          <w:lang w:val="en-GB"/>
        </w:rPr>
        <w:t>ercent</w:t>
      </w:r>
      <w:r w:rsidR="00F937F0" w:rsidRPr="00041197">
        <w:rPr>
          <w:rFonts w:cstheme="minorHAnsi"/>
          <w:spacing w:val="-3"/>
          <w:sz w:val="24"/>
          <w:szCs w:val="24"/>
          <w:lang w:val="en-GB"/>
        </w:rPr>
        <w:t xml:space="preserve"> </w:t>
      </w:r>
      <w:r w:rsidRPr="00395073">
        <w:rPr>
          <w:rFonts w:cstheme="minorHAnsi"/>
          <w:spacing w:val="-3"/>
          <w:sz w:val="24"/>
          <w:szCs w:val="24"/>
          <w:lang w:val="en-GB"/>
        </w:rPr>
        <w:t xml:space="preserve">on the same </w:t>
      </w:r>
      <w:r w:rsidRPr="006827A2">
        <w:rPr>
          <w:rFonts w:cstheme="minorHAnsi"/>
          <w:spacing w:val="-3"/>
          <w:sz w:val="24"/>
          <w:szCs w:val="24"/>
          <w:lang w:val="en-GB"/>
        </w:rPr>
        <w:t>reporting period last year</w:t>
      </w:r>
      <w:r w:rsidR="006827A2" w:rsidRPr="006827A2">
        <w:rPr>
          <w:rFonts w:cstheme="minorHAnsi"/>
          <w:spacing w:val="-3"/>
          <w:sz w:val="24"/>
          <w:szCs w:val="24"/>
          <w:lang w:val="en-GB"/>
        </w:rPr>
        <w:t xml:space="preserve">, </w:t>
      </w:r>
      <w:r w:rsidR="006827A2" w:rsidRPr="006827A2">
        <w:rPr>
          <w:rFonts w:ascii="Calibri" w:eastAsia="Calibri" w:hAnsi="Calibri" w:cs="Calibri"/>
          <w:spacing w:val="-3"/>
          <w:sz w:val="24"/>
          <w:szCs w:val="24"/>
          <w:lang w:val="en-GB"/>
        </w:rPr>
        <w:t>which was mostly affected by the repayment of loans and the utilisation of credit lines of special financial institutions at favourable interest rates.</w:t>
      </w:r>
    </w:p>
    <w:p w14:paraId="3AB51D0C" w14:textId="77777777" w:rsidR="00DA2F32" w:rsidRPr="00041197" w:rsidRDefault="00DA2F32" w:rsidP="00BF17D9">
      <w:pPr>
        <w:tabs>
          <w:tab w:val="left" w:pos="-720"/>
        </w:tabs>
        <w:suppressAutoHyphens/>
        <w:spacing w:after="0" w:line="240" w:lineRule="auto"/>
        <w:jc w:val="both"/>
        <w:rPr>
          <w:rFonts w:cstheme="minorHAnsi"/>
          <w:spacing w:val="-3"/>
          <w:sz w:val="24"/>
          <w:szCs w:val="24"/>
          <w:lang w:val="en-GB"/>
        </w:rPr>
      </w:pPr>
    </w:p>
    <w:p w14:paraId="0AEA28C2" w14:textId="117FA1A4" w:rsidR="00CD2131" w:rsidRPr="00041197" w:rsidRDefault="001A621E" w:rsidP="00BF17D9">
      <w:pPr>
        <w:tabs>
          <w:tab w:val="left" w:pos="-720"/>
        </w:tabs>
        <w:suppressAutoHyphens/>
        <w:spacing w:after="0" w:line="240" w:lineRule="auto"/>
        <w:jc w:val="both"/>
        <w:rPr>
          <w:rFonts w:eastAsia="Times New Roman" w:cs="Calibri"/>
          <w:b/>
          <w:i/>
          <w:spacing w:val="-3"/>
          <w:sz w:val="24"/>
          <w:szCs w:val="24"/>
          <w:lang w:val="en-GB" w:eastAsia="hr-HR"/>
        </w:rPr>
      </w:pPr>
      <w:r w:rsidRPr="00395073">
        <w:rPr>
          <w:rFonts w:cstheme="minorHAnsi"/>
          <w:spacing w:val="-3"/>
          <w:sz w:val="24"/>
          <w:szCs w:val="24"/>
          <w:lang w:val="en-GB"/>
        </w:rPr>
        <w:t>Having in mind the described trends</w:t>
      </w:r>
      <w:r w:rsidRPr="00395073">
        <w:rPr>
          <w:rFonts w:cs="Calibri"/>
          <w:spacing w:val="-3"/>
          <w:sz w:val="24"/>
          <w:szCs w:val="24"/>
          <w:lang w:val="en-GB"/>
        </w:rPr>
        <w:t xml:space="preserve"> in interest income and interest expenses,</w:t>
      </w:r>
      <w:r w:rsidRPr="00395073" w:rsidDel="00DA2F32">
        <w:rPr>
          <w:rFonts w:cstheme="minorHAnsi"/>
          <w:spacing w:val="-3"/>
          <w:sz w:val="24"/>
          <w:szCs w:val="24"/>
          <w:lang w:val="en-GB"/>
        </w:rPr>
        <w:t xml:space="preserve"> </w:t>
      </w:r>
      <w:r w:rsidRPr="00395073">
        <w:rPr>
          <w:rFonts w:cstheme="minorHAnsi"/>
          <w:spacing w:val="-3"/>
          <w:sz w:val="24"/>
          <w:szCs w:val="24"/>
          <w:lang w:val="en-GB"/>
        </w:rPr>
        <w:t xml:space="preserve">net interest margin </w:t>
      </w:r>
      <w:r w:rsidR="000F670B">
        <w:rPr>
          <w:rFonts w:cstheme="minorHAnsi"/>
          <w:spacing w:val="-3"/>
          <w:sz w:val="24"/>
          <w:szCs w:val="24"/>
          <w:lang w:val="en-GB"/>
        </w:rPr>
        <w:t>in</w:t>
      </w:r>
      <w:r w:rsidRPr="00395073">
        <w:rPr>
          <w:rFonts w:cstheme="minorHAnsi"/>
          <w:spacing w:val="-3"/>
          <w:sz w:val="24"/>
          <w:szCs w:val="24"/>
          <w:lang w:val="en-GB"/>
        </w:rPr>
        <w:t>creased compared with the same reporting period last year and stood at</w:t>
      </w:r>
      <w:r w:rsidRPr="00041197">
        <w:rPr>
          <w:rFonts w:cs="Calibri"/>
          <w:spacing w:val="-3"/>
          <w:sz w:val="24"/>
          <w:szCs w:val="24"/>
          <w:lang w:val="en-GB"/>
        </w:rPr>
        <w:t xml:space="preserve"> </w:t>
      </w:r>
      <w:r w:rsidR="00BF17D9" w:rsidRPr="00041197">
        <w:rPr>
          <w:rFonts w:cstheme="minorHAnsi"/>
          <w:spacing w:val="-3"/>
          <w:sz w:val="24"/>
          <w:szCs w:val="24"/>
          <w:lang w:val="en-GB"/>
        </w:rPr>
        <w:t>1</w:t>
      </w:r>
      <w:r>
        <w:rPr>
          <w:rFonts w:cstheme="minorHAnsi"/>
          <w:spacing w:val="-3"/>
          <w:sz w:val="24"/>
          <w:szCs w:val="24"/>
          <w:lang w:val="en-GB"/>
        </w:rPr>
        <w:t>.</w:t>
      </w:r>
      <w:r w:rsidR="000F670B">
        <w:rPr>
          <w:rFonts w:cstheme="minorHAnsi"/>
          <w:spacing w:val="-3"/>
          <w:sz w:val="24"/>
          <w:szCs w:val="24"/>
          <w:lang w:val="en-GB"/>
        </w:rPr>
        <w:t>3</w:t>
      </w:r>
      <w:r w:rsidR="001312B5" w:rsidRPr="00041197">
        <w:rPr>
          <w:rFonts w:cstheme="minorHAnsi"/>
          <w:spacing w:val="-3"/>
          <w:sz w:val="24"/>
          <w:szCs w:val="24"/>
          <w:lang w:val="en-GB"/>
        </w:rPr>
        <w:t xml:space="preserve"> </w:t>
      </w:r>
      <w:r w:rsidR="00F937F0" w:rsidRPr="00041197">
        <w:rPr>
          <w:rFonts w:cstheme="minorHAnsi"/>
          <w:spacing w:val="-3"/>
          <w:sz w:val="24"/>
          <w:szCs w:val="24"/>
          <w:lang w:val="en-GB"/>
        </w:rPr>
        <w:t>p</w:t>
      </w:r>
      <w:r>
        <w:rPr>
          <w:rFonts w:cstheme="minorHAnsi"/>
          <w:spacing w:val="-3"/>
          <w:sz w:val="24"/>
          <w:szCs w:val="24"/>
          <w:lang w:val="en-GB"/>
        </w:rPr>
        <w:t>ercent as against 1.</w:t>
      </w:r>
      <w:r w:rsidR="000F670B">
        <w:rPr>
          <w:rFonts w:cstheme="minorHAnsi"/>
          <w:spacing w:val="-3"/>
          <w:sz w:val="24"/>
          <w:szCs w:val="24"/>
          <w:lang w:val="en-GB"/>
        </w:rPr>
        <w:t>2</w:t>
      </w:r>
      <w:r>
        <w:rPr>
          <w:rFonts w:cstheme="minorHAnsi"/>
          <w:spacing w:val="-3"/>
          <w:sz w:val="24"/>
          <w:szCs w:val="24"/>
          <w:lang w:val="en-GB"/>
        </w:rPr>
        <w:t xml:space="preserve"> percent</w:t>
      </w:r>
      <w:r w:rsidR="00F937F0" w:rsidRPr="00041197">
        <w:rPr>
          <w:rFonts w:cstheme="minorHAnsi"/>
          <w:spacing w:val="-3"/>
          <w:sz w:val="24"/>
          <w:szCs w:val="24"/>
          <w:lang w:val="en-GB"/>
        </w:rPr>
        <w:t xml:space="preserve"> </w:t>
      </w:r>
      <w:r w:rsidRPr="00395073">
        <w:rPr>
          <w:rFonts w:cstheme="minorHAnsi"/>
          <w:spacing w:val="-3"/>
          <w:sz w:val="24"/>
          <w:szCs w:val="24"/>
          <w:lang w:val="en-GB"/>
        </w:rPr>
        <w:t>in the same reporting period last year</w:t>
      </w:r>
      <w:r w:rsidR="00BF17D9" w:rsidRPr="00041197">
        <w:rPr>
          <w:rFonts w:cstheme="minorHAnsi"/>
          <w:spacing w:val="-3"/>
          <w:lang w:val="en-GB"/>
        </w:rPr>
        <w:t>.</w:t>
      </w:r>
    </w:p>
    <w:p w14:paraId="542A5598" w14:textId="77777777" w:rsidR="00CD2131" w:rsidRPr="00041197" w:rsidRDefault="00CD2131" w:rsidP="00BF17D9">
      <w:pPr>
        <w:tabs>
          <w:tab w:val="left" w:pos="-720"/>
        </w:tabs>
        <w:suppressAutoHyphens/>
        <w:spacing w:after="0" w:line="240" w:lineRule="auto"/>
        <w:jc w:val="both"/>
        <w:rPr>
          <w:rFonts w:eastAsia="Times New Roman" w:cs="Calibri"/>
          <w:b/>
          <w:i/>
          <w:spacing w:val="-3"/>
          <w:sz w:val="24"/>
          <w:szCs w:val="24"/>
          <w:lang w:val="en-GB" w:eastAsia="hr-HR"/>
        </w:rPr>
      </w:pPr>
    </w:p>
    <w:p w14:paraId="77228E1E" w14:textId="54091983" w:rsidR="001A621E" w:rsidRPr="00395073" w:rsidRDefault="001A621E" w:rsidP="001A621E">
      <w:pPr>
        <w:tabs>
          <w:tab w:val="left" w:pos="-720"/>
        </w:tabs>
        <w:suppressAutoHyphens/>
        <w:spacing w:after="0" w:line="240" w:lineRule="auto"/>
        <w:jc w:val="both"/>
        <w:rPr>
          <w:rFonts w:eastAsia="Times New Roman" w:cs="Calibri"/>
          <w:b/>
          <w:i/>
          <w:spacing w:val="-3"/>
          <w:sz w:val="24"/>
          <w:szCs w:val="24"/>
          <w:lang w:val="en-GB" w:eastAsia="hr-HR"/>
        </w:rPr>
      </w:pPr>
      <w:r w:rsidRPr="00395073">
        <w:rPr>
          <w:rFonts w:eastAsia="Times New Roman" w:cs="Calibri"/>
          <w:b/>
          <w:i/>
          <w:spacing w:val="-3"/>
          <w:sz w:val="24"/>
          <w:szCs w:val="24"/>
          <w:lang w:val="en-GB" w:eastAsia="hr-HR"/>
        </w:rPr>
        <w:t xml:space="preserve">Net fee income </w:t>
      </w:r>
      <w:r w:rsidR="0014550E">
        <w:rPr>
          <w:rFonts w:eastAsia="Times New Roman" w:cs="Calibri"/>
          <w:b/>
          <w:i/>
          <w:spacing w:val="-3"/>
          <w:sz w:val="24"/>
          <w:szCs w:val="24"/>
          <w:lang w:val="en-GB" w:eastAsia="hr-HR"/>
        </w:rPr>
        <w:t>and commission income</w:t>
      </w:r>
    </w:p>
    <w:p w14:paraId="03B3164E" w14:textId="77777777" w:rsidR="00BF17D9" w:rsidRPr="00041197" w:rsidRDefault="00BF17D9" w:rsidP="00BF17D9">
      <w:pPr>
        <w:tabs>
          <w:tab w:val="left" w:pos="-720"/>
        </w:tabs>
        <w:suppressAutoHyphens/>
        <w:spacing w:after="0" w:line="240" w:lineRule="auto"/>
        <w:jc w:val="both"/>
        <w:rPr>
          <w:rFonts w:eastAsia="Times New Roman" w:cs="Calibri"/>
          <w:b/>
          <w:i/>
          <w:spacing w:val="-3"/>
          <w:sz w:val="24"/>
          <w:szCs w:val="24"/>
          <w:lang w:val="en-GB" w:eastAsia="hr-HR"/>
        </w:rPr>
      </w:pPr>
    </w:p>
    <w:p w14:paraId="370D19E0" w14:textId="009FC12D" w:rsidR="00E96992" w:rsidRPr="00E96992" w:rsidRDefault="001A621E" w:rsidP="00C020AF">
      <w:pPr>
        <w:spacing w:after="0" w:line="240" w:lineRule="auto"/>
        <w:jc w:val="both"/>
        <w:rPr>
          <w:rFonts w:ascii="Calibri" w:eastAsia="Calibri" w:hAnsi="Calibri" w:cs="Calibri"/>
          <w:spacing w:val="-3"/>
          <w:sz w:val="24"/>
          <w:szCs w:val="24"/>
          <w:lang w:val="en-GB"/>
        </w:rPr>
      </w:pPr>
      <w:r w:rsidRPr="00395073">
        <w:rPr>
          <w:rFonts w:cstheme="minorHAnsi"/>
          <w:spacing w:val="-3"/>
          <w:sz w:val="24"/>
          <w:szCs w:val="24"/>
          <w:lang w:val="en-GB"/>
        </w:rPr>
        <w:t>Net fee</w:t>
      </w:r>
      <w:r w:rsidR="0014550E">
        <w:rPr>
          <w:rFonts w:cstheme="minorHAnsi"/>
          <w:spacing w:val="-3"/>
          <w:sz w:val="24"/>
          <w:szCs w:val="24"/>
          <w:lang w:val="en-GB"/>
        </w:rPr>
        <w:t xml:space="preserve"> and commission</w:t>
      </w:r>
      <w:r w:rsidRPr="00395073">
        <w:rPr>
          <w:rFonts w:cstheme="minorHAnsi"/>
          <w:spacing w:val="-3"/>
          <w:sz w:val="24"/>
          <w:szCs w:val="24"/>
          <w:lang w:val="en-GB"/>
        </w:rPr>
        <w:t xml:space="preserve"> income amounted to HRK </w:t>
      </w:r>
      <w:r w:rsidR="000F670B">
        <w:rPr>
          <w:rFonts w:cstheme="minorHAnsi"/>
          <w:spacing w:val="-3"/>
          <w:sz w:val="24"/>
          <w:szCs w:val="24"/>
          <w:lang w:val="en-GB"/>
        </w:rPr>
        <w:t>5</w:t>
      </w:r>
      <w:r>
        <w:rPr>
          <w:rFonts w:cstheme="minorHAnsi"/>
          <w:spacing w:val="-3"/>
          <w:sz w:val="24"/>
          <w:szCs w:val="24"/>
          <w:lang w:val="en-GB"/>
        </w:rPr>
        <w:t>.</w:t>
      </w:r>
      <w:r w:rsidR="000F670B">
        <w:rPr>
          <w:rFonts w:cstheme="minorHAnsi"/>
          <w:spacing w:val="-3"/>
          <w:sz w:val="24"/>
          <w:szCs w:val="24"/>
          <w:lang w:val="en-GB"/>
        </w:rPr>
        <w:t>0</w:t>
      </w:r>
      <w:r w:rsidR="00BF17D9" w:rsidRPr="00041197">
        <w:rPr>
          <w:rFonts w:cstheme="minorHAnsi"/>
          <w:spacing w:val="-3"/>
          <w:sz w:val="24"/>
          <w:szCs w:val="24"/>
          <w:lang w:val="en-GB"/>
        </w:rPr>
        <w:t xml:space="preserve"> mil</w:t>
      </w:r>
      <w:r>
        <w:rPr>
          <w:rFonts w:cstheme="minorHAnsi"/>
          <w:spacing w:val="-3"/>
          <w:sz w:val="24"/>
          <w:szCs w:val="24"/>
          <w:lang w:val="en-GB"/>
        </w:rPr>
        <w:t>lion, a decrease of</w:t>
      </w:r>
      <w:r w:rsidR="00BF17D9" w:rsidRPr="00041197">
        <w:rPr>
          <w:rFonts w:cstheme="minorHAnsi"/>
          <w:spacing w:val="-3"/>
          <w:sz w:val="24"/>
          <w:szCs w:val="24"/>
          <w:lang w:val="en-GB"/>
        </w:rPr>
        <w:t xml:space="preserve"> </w:t>
      </w:r>
      <w:r w:rsidR="000F670B">
        <w:rPr>
          <w:rFonts w:cstheme="minorHAnsi"/>
          <w:spacing w:val="-3"/>
          <w:sz w:val="24"/>
          <w:szCs w:val="24"/>
          <w:lang w:val="en-GB"/>
        </w:rPr>
        <w:t>25</w:t>
      </w:r>
      <w:r>
        <w:rPr>
          <w:rFonts w:cstheme="minorHAnsi"/>
          <w:spacing w:val="-3"/>
          <w:sz w:val="24"/>
          <w:szCs w:val="24"/>
          <w:lang w:val="en-GB"/>
        </w:rPr>
        <w:t>.</w:t>
      </w:r>
      <w:r w:rsidR="000F670B">
        <w:rPr>
          <w:rFonts w:cstheme="minorHAnsi"/>
          <w:spacing w:val="-3"/>
          <w:sz w:val="24"/>
          <w:szCs w:val="24"/>
          <w:lang w:val="en-GB"/>
        </w:rPr>
        <w:t>4</w:t>
      </w:r>
      <w:r w:rsidR="00A5245E" w:rsidRPr="00041197">
        <w:rPr>
          <w:rFonts w:cstheme="minorHAnsi"/>
          <w:spacing w:val="-3"/>
          <w:sz w:val="24"/>
          <w:szCs w:val="24"/>
          <w:lang w:val="en-GB"/>
        </w:rPr>
        <w:t xml:space="preserve"> </w:t>
      </w:r>
      <w:r w:rsidR="00685E73" w:rsidRPr="00041197">
        <w:rPr>
          <w:rFonts w:cstheme="minorHAnsi"/>
          <w:spacing w:val="-3"/>
          <w:sz w:val="24"/>
          <w:szCs w:val="24"/>
          <w:lang w:val="en-GB"/>
        </w:rPr>
        <w:t>p</w:t>
      </w:r>
      <w:r>
        <w:rPr>
          <w:rFonts w:cstheme="minorHAnsi"/>
          <w:spacing w:val="-3"/>
          <w:sz w:val="24"/>
          <w:szCs w:val="24"/>
          <w:lang w:val="en-GB"/>
        </w:rPr>
        <w:t xml:space="preserve">ercent </w:t>
      </w:r>
      <w:r w:rsidRPr="00E96992">
        <w:rPr>
          <w:rFonts w:cstheme="minorHAnsi"/>
          <w:spacing w:val="-3"/>
          <w:sz w:val="24"/>
          <w:szCs w:val="24"/>
          <w:lang w:val="en-GB"/>
        </w:rPr>
        <w:t xml:space="preserve">compared with the same reporting period last year due </w:t>
      </w:r>
      <w:r w:rsidR="00E96992" w:rsidRPr="00E96992">
        <w:rPr>
          <w:rFonts w:ascii="Calibri" w:eastAsia="Calibri" w:hAnsi="Calibri" w:cs="Calibri"/>
          <w:spacing w:val="-3"/>
          <w:sz w:val="24"/>
          <w:szCs w:val="24"/>
        </w:rPr>
        <w:t xml:space="preserve">to </w:t>
      </w:r>
      <w:r w:rsidR="00E96992" w:rsidRPr="00E96992">
        <w:rPr>
          <w:rFonts w:ascii="Calibri" w:eastAsia="Calibri" w:hAnsi="Calibri" w:cs="Calibri"/>
          <w:spacing w:val="-3"/>
          <w:sz w:val="24"/>
          <w:szCs w:val="24"/>
          <w:lang w:val="en-GB"/>
        </w:rPr>
        <w:t>a lower volume of guarantees issued.</w:t>
      </w:r>
    </w:p>
    <w:p w14:paraId="18D3CE69" w14:textId="77777777" w:rsidR="00BF17D9" w:rsidRPr="00041197" w:rsidRDefault="00BF17D9" w:rsidP="00BF17D9">
      <w:pPr>
        <w:tabs>
          <w:tab w:val="left" w:pos="-720"/>
        </w:tabs>
        <w:suppressAutoHyphens/>
        <w:spacing w:after="0" w:line="240" w:lineRule="auto"/>
        <w:jc w:val="both"/>
        <w:rPr>
          <w:rFonts w:eastAsia="Times New Roman" w:cs="Calibri"/>
          <w:spacing w:val="-3"/>
          <w:sz w:val="24"/>
          <w:szCs w:val="24"/>
          <w:lang w:val="en-GB" w:eastAsia="hr-HR"/>
        </w:rPr>
      </w:pPr>
    </w:p>
    <w:p w14:paraId="10A2623F" w14:textId="754D6491" w:rsidR="001A621E" w:rsidRPr="00395073" w:rsidRDefault="001A621E" w:rsidP="001A621E">
      <w:pPr>
        <w:spacing w:after="0" w:line="240" w:lineRule="auto"/>
        <w:jc w:val="both"/>
        <w:rPr>
          <w:rFonts w:eastAsia="Times New Roman" w:cs="Calibri"/>
          <w:b/>
          <w:i/>
          <w:sz w:val="24"/>
          <w:szCs w:val="24"/>
          <w:lang w:val="en-GB" w:eastAsia="hr-HR"/>
        </w:rPr>
      </w:pPr>
      <w:r w:rsidRPr="008A1CA5">
        <w:rPr>
          <w:rFonts w:eastAsia="Times New Roman" w:cs="Calibri"/>
          <w:b/>
          <w:i/>
          <w:sz w:val="24"/>
          <w:szCs w:val="24"/>
          <w:lang w:val="en-GB" w:eastAsia="hr-HR"/>
        </w:rPr>
        <w:t xml:space="preserve">Net gains/(losses) </w:t>
      </w:r>
      <w:r w:rsidR="0014550E" w:rsidRPr="008A1CA5">
        <w:rPr>
          <w:rFonts w:eastAsia="Times New Roman" w:cs="Calibri"/>
          <w:b/>
          <w:i/>
          <w:sz w:val="24"/>
          <w:szCs w:val="24"/>
          <w:lang w:val="en-GB" w:eastAsia="hr-HR"/>
        </w:rPr>
        <w:t xml:space="preserve">on </w:t>
      </w:r>
      <w:r w:rsidRPr="008A1CA5">
        <w:rPr>
          <w:rFonts w:eastAsia="Times New Roman" w:cs="Calibri"/>
          <w:b/>
          <w:i/>
          <w:sz w:val="24"/>
          <w:szCs w:val="24"/>
          <w:lang w:val="en-GB" w:eastAsia="hr-HR"/>
        </w:rPr>
        <w:t xml:space="preserve">financial </w:t>
      </w:r>
      <w:r w:rsidR="0014550E" w:rsidRPr="008A1CA5">
        <w:rPr>
          <w:rFonts w:eastAsia="Times New Roman" w:cs="Calibri"/>
          <w:b/>
          <w:i/>
          <w:sz w:val="24"/>
          <w:szCs w:val="24"/>
          <w:lang w:val="en-GB" w:eastAsia="hr-HR"/>
        </w:rPr>
        <w:t>operations</w:t>
      </w:r>
    </w:p>
    <w:p w14:paraId="409FC508" w14:textId="77777777" w:rsidR="00BF17D9" w:rsidRPr="00041197" w:rsidRDefault="00BF17D9" w:rsidP="00BF17D9">
      <w:pPr>
        <w:spacing w:after="0" w:line="240" w:lineRule="auto"/>
        <w:jc w:val="both"/>
        <w:rPr>
          <w:rFonts w:eastAsia="Times New Roman" w:cs="Calibri"/>
          <w:b/>
          <w:i/>
          <w:sz w:val="24"/>
          <w:szCs w:val="24"/>
          <w:lang w:val="en-GB" w:eastAsia="hr-HR"/>
        </w:rPr>
      </w:pPr>
    </w:p>
    <w:p w14:paraId="4C569BF2" w14:textId="77E59523" w:rsidR="001A621E" w:rsidRPr="00395073" w:rsidRDefault="001A621E" w:rsidP="001A621E">
      <w:pPr>
        <w:tabs>
          <w:tab w:val="left" w:pos="-720"/>
        </w:tabs>
        <w:spacing w:after="0" w:line="240" w:lineRule="auto"/>
        <w:jc w:val="both"/>
        <w:rPr>
          <w:rFonts w:eastAsia="Times New Roman" w:cs="Calibri"/>
          <w:spacing w:val="-3"/>
          <w:sz w:val="24"/>
          <w:szCs w:val="24"/>
          <w:lang w:val="en-GB" w:eastAsia="hr-HR"/>
        </w:rPr>
      </w:pPr>
      <w:r w:rsidRPr="00395073">
        <w:rPr>
          <w:rFonts w:cstheme="minorHAnsi"/>
          <w:spacing w:val="-3"/>
          <w:sz w:val="24"/>
          <w:szCs w:val="24"/>
          <w:lang w:val="en-GB"/>
        </w:rPr>
        <w:t xml:space="preserve">Net gains/(losses) </w:t>
      </w:r>
      <w:r w:rsidR="0014550E">
        <w:rPr>
          <w:rFonts w:cstheme="minorHAnsi"/>
          <w:spacing w:val="-3"/>
          <w:sz w:val="24"/>
          <w:szCs w:val="24"/>
          <w:lang w:val="en-GB"/>
        </w:rPr>
        <w:t>on</w:t>
      </w:r>
      <w:r w:rsidR="0014550E" w:rsidRPr="00395073">
        <w:rPr>
          <w:rFonts w:cstheme="minorHAnsi"/>
          <w:spacing w:val="-3"/>
          <w:sz w:val="24"/>
          <w:szCs w:val="24"/>
          <w:lang w:val="en-GB"/>
        </w:rPr>
        <w:t xml:space="preserve"> </w:t>
      </w:r>
      <w:r w:rsidRPr="00395073">
        <w:rPr>
          <w:rFonts w:cstheme="minorHAnsi"/>
          <w:spacing w:val="-3"/>
          <w:sz w:val="24"/>
          <w:szCs w:val="24"/>
          <w:lang w:val="en-GB"/>
        </w:rPr>
        <w:t xml:space="preserve">financial </w:t>
      </w:r>
      <w:r w:rsidR="0014550E">
        <w:rPr>
          <w:rFonts w:cstheme="minorHAnsi"/>
          <w:spacing w:val="-3"/>
          <w:sz w:val="24"/>
          <w:szCs w:val="24"/>
          <w:lang w:val="en-GB"/>
        </w:rPr>
        <w:t>operations</w:t>
      </w:r>
      <w:r w:rsidR="0014550E" w:rsidRPr="00395073">
        <w:rPr>
          <w:rFonts w:cstheme="minorHAnsi"/>
          <w:spacing w:val="-3"/>
          <w:sz w:val="24"/>
          <w:szCs w:val="24"/>
          <w:lang w:val="en-GB"/>
        </w:rPr>
        <w:t xml:space="preserve"> </w:t>
      </w:r>
      <w:r w:rsidRPr="00395073">
        <w:rPr>
          <w:rFonts w:cstheme="minorHAnsi"/>
          <w:spacing w:val="-3"/>
          <w:sz w:val="24"/>
          <w:szCs w:val="24"/>
          <w:lang w:val="en-GB"/>
        </w:rPr>
        <w:t xml:space="preserve">are comprised of net foreign exchange gains/(losses) on the principal amount of receivables and liabilities, net revenues or expenditures arising out of the loan contracts with embedded call option, gains/(losses) arising out of value adjustment of </w:t>
      </w:r>
      <w:r>
        <w:rPr>
          <w:rFonts w:eastAsia="Times New Roman" w:cs="Calibri"/>
          <w:spacing w:val="-3"/>
          <w:sz w:val="24"/>
          <w:szCs w:val="24"/>
          <w:lang w:val="en-GB" w:eastAsia="hr-HR"/>
        </w:rPr>
        <w:t>financial assets</w:t>
      </w:r>
      <w:r w:rsidR="000F09ED" w:rsidRPr="00041197">
        <w:rPr>
          <w:rFonts w:eastAsia="Times New Roman" w:cs="Calibri"/>
          <w:spacing w:val="-3"/>
          <w:sz w:val="24"/>
          <w:szCs w:val="24"/>
          <w:lang w:val="en-GB" w:eastAsia="hr-HR"/>
        </w:rPr>
        <w:t xml:space="preserve"> </w:t>
      </w:r>
      <w:r w:rsidRPr="00395073">
        <w:rPr>
          <w:rFonts w:cstheme="minorHAnsi"/>
          <w:spacing w:val="-3"/>
          <w:sz w:val="24"/>
          <w:szCs w:val="24"/>
          <w:lang w:val="en-GB"/>
        </w:rPr>
        <w:t xml:space="preserve">stated at fair value through profit or loss and realised gains/(losses) arising out of </w:t>
      </w:r>
      <w:r>
        <w:rPr>
          <w:rFonts w:eastAsia="Times New Roman" w:cs="Calibri"/>
          <w:spacing w:val="-3"/>
          <w:sz w:val="24"/>
          <w:szCs w:val="24"/>
          <w:lang w:val="en-GB" w:eastAsia="hr-HR"/>
        </w:rPr>
        <w:t>financial</w:t>
      </w:r>
      <w:r w:rsidR="0047257D" w:rsidRPr="00041197">
        <w:rPr>
          <w:rFonts w:eastAsia="Times New Roman" w:cs="Calibri"/>
          <w:spacing w:val="-3"/>
          <w:sz w:val="24"/>
          <w:szCs w:val="24"/>
          <w:lang w:val="en-GB" w:eastAsia="hr-HR"/>
        </w:rPr>
        <w:t xml:space="preserve"> </w:t>
      </w:r>
      <w:r w:rsidRPr="00395073">
        <w:rPr>
          <w:rFonts w:cstheme="minorHAnsi"/>
          <w:spacing w:val="-3"/>
          <w:sz w:val="24"/>
          <w:szCs w:val="24"/>
          <w:lang w:val="en-GB"/>
        </w:rPr>
        <w:t>assets</w:t>
      </w:r>
      <w:r w:rsidRPr="00395073">
        <w:rPr>
          <w:rFonts w:eastAsia="Times New Roman" w:cs="Calibri"/>
          <w:spacing w:val="-3"/>
          <w:sz w:val="24"/>
          <w:szCs w:val="24"/>
          <w:lang w:val="en-GB" w:eastAsia="hr-HR"/>
        </w:rPr>
        <w:t xml:space="preserve"> at fair value through other comprehensive income.</w:t>
      </w:r>
    </w:p>
    <w:p w14:paraId="31A97D2A" w14:textId="77777777" w:rsidR="008C6E0E" w:rsidRPr="00041197" w:rsidRDefault="008C6E0E" w:rsidP="007B069A">
      <w:pPr>
        <w:tabs>
          <w:tab w:val="left" w:pos="-720"/>
        </w:tabs>
        <w:spacing w:after="0" w:line="240" w:lineRule="auto"/>
        <w:jc w:val="both"/>
        <w:rPr>
          <w:rFonts w:eastAsia="Times New Roman" w:cs="Calibri"/>
          <w:spacing w:val="-3"/>
          <w:sz w:val="24"/>
          <w:szCs w:val="24"/>
          <w:lang w:val="en-GB" w:eastAsia="hr-HR"/>
        </w:rPr>
      </w:pPr>
    </w:p>
    <w:p w14:paraId="69604E27" w14:textId="605165F4" w:rsidR="009F2049" w:rsidRPr="00704716" w:rsidRDefault="001A621E" w:rsidP="009F2049">
      <w:pPr>
        <w:tabs>
          <w:tab w:val="left" w:pos="-720"/>
        </w:tabs>
        <w:suppressAutoHyphens/>
        <w:spacing w:after="0" w:line="240" w:lineRule="auto"/>
        <w:jc w:val="both"/>
        <w:rPr>
          <w:rFonts w:cstheme="minorHAnsi"/>
          <w:spacing w:val="-3"/>
          <w:sz w:val="24"/>
          <w:szCs w:val="24"/>
        </w:rPr>
      </w:pPr>
      <w:r w:rsidRPr="00395073">
        <w:rPr>
          <w:rFonts w:cstheme="minorHAnsi"/>
          <w:spacing w:val="-3"/>
          <w:sz w:val="24"/>
          <w:szCs w:val="24"/>
          <w:lang w:val="en-GB"/>
        </w:rPr>
        <w:t xml:space="preserve">In the reporting period, net </w:t>
      </w:r>
      <w:r w:rsidR="009F2049">
        <w:rPr>
          <w:rFonts w:cstheme="minorHAnsi"/>
          <w:spacing w:val="-3"/>
          <w:sz w:val="24"/>
          <w:szCs w:val="24"/>
          <w:lang w:val="en-GB"/>
        </w:rPr>
        <w:t>losses</w:t>
      </w:r>
      <w:r w:rsidRPr="00395073">
        <w:rPr>
          <w:rFonts w:cstheme="minorHAnsi"/>
          <w:spacing w:val="-3"/>
          <w:sz w:val="24"/>
          <w:szCs w:val="24"/>
          <w:lang w:val="en-GB"/>
        </w:rPr>
        <w:t xml:space="preserve"> </w:t>
      </w:r>
      <w:r w:rsidR="0014550E">
        <w:rPr>
          <w:rFonts w:cstheme="minorHAnsi"/>
          <w:spacing w:val="-3"/>
          <w:sz w:val="24"/>
          <w:szCs w:val="24"/>
          <w:lang w:val="en-GB"/>
        </w:rPr>
        <w:t>on</w:t>
      </w:r>
      <w:r w:rsidR="0014550E" w:rsidRPr="00395073">
        <w:rPr>
          <w:rFonts w:cstheme="minorHAnsi"/>
          <w:spacing w:val="-3"/>
          <w:sz w:val="24"/>
          <w:szCs w:val="24"/>
          <w:lang w:val="en-GB"/>
        </w:rPr>
        <w:t xml:space="preserve"> </w:t>
      </w:r>
      <w:r w:rsidRPr="00395073">
        <w:rPr>
          <w:rFonts w:cstheme="minorHAnsi"/>
          <w:spacing w:val="-3"/>
          <w:sz w:val="24"/>
          <w:szCs w:val="24"/>
          <w:lang w:val="en-GB"/>
        </w:rPr>
        <w:t xml:space="preserve">financial </w:t>
      </w:r>
      <w:r w:rsidR="0014550E">
        <w:rPr>
          <w:rFonts w:cstheme="minorHAnsi"/>
          <w:spacing w:val="-3"/>
          <w:sz w:val="24"/>
          <w:szCs w:val="24"/>
          <w:lang w:val="en-GB"/>
        </w:rPr>
        <w:t xml:space="preserve">operations </w:t>
      </w:r>
      <w:r w:rsidRPr="00395073">
        <w:rPr>
          <w:rFonts w:cstheme="minorHAnsi"/>
          <w:spacing w:val="-3"/>
          <w:sz w:val="24"/>
          <w:szCs w:val="24"/>
          <w:lang w:val="en-GB"/>
        </w:rPr>
        <w:t xml:space="preserve">amounted to HRK </w:t>
      </w:r>
      <w:r w:rsidR="009F2049">
        <w:rPr>
          <w:rFonts w:cstheme="minorHAnsi"/>
          <w:spacing w:val="-3"/>
          <w:sz w:val="24"/>
          <w:szCs w:val="24"/>
          <w:lang w:val="en-GB"/>
        </w:rPr>
        <w:t>19</w:t>
      </w:r>
      <w:r>
        <w:rPr>
          <w:rFonts w:cstheme="minorHAnsi"/>
          <w:spacing w:val="-3"/>
          <w:sz w:val="24"/>
          <w:szCs w:val="24"/>
          <w:lang w:val="en-GB"/>
        </w:rPr>
        <w:t>.</w:t>
      </w:r>
      <w:r w:rsidR="009F2049">
        <w:rPr>
          <w:rFonts w:cstheme="minorHAnsi"/>
          <w:spacing w:val="-3"/>
          <w:sz w:val="24"/>
          <w:szCs w:val="24"/>
          <w:lang w:val="en-GB"/>
        </w:rPr>
        <w:t>2</w:t>
      </w:r>
      <w:r w:rsidR="00BF17D9" w:rsidRPr="00041197">
        <w:rPr>
          <w:rFonts w:cstheme="minorHAnsi"/>
          <w:spacing w:val="-3"/>
          <w:sz w:val="24"/>
          <w:szCs w:val="24"/>
          <w:lang w:val="en-GB"/>
        </w:rPr>
        <w:t xml:space="preserve"> mil</w:t>
      </w:r>
      <w:r>
        <w:rPr>
          <w:rFonts w:cstheme="minorHAnsi"/>
          <w:spacing w:val="-3"/>
          <w:sz w:val="24"/>
          <w:szCs w:val="24"/>
          <w:lang w:val="en-GB"/>
        </w:rPr>
        <w:t>lion</w:t>
      </w:r>
      <w:r w:rsidR="00F81D85" w:rsidRPr="00041197">
        <w:rPr>
          <w:rFonts w:cstheme="minorHAnsi"/>
          <w:spacing w:val="-3"/>
          <w:sz w:val="24"/>
          <w:szCs w:val="24"/>
          <w:lang w:val="en-GB"/>
        </w:rPr>
        <w:t xml:space="preserve">, </w:t>
      </w:r>
      <w:r w:rsidR="009F2049" w:rsidRPr="0005777B">
        <w:rPr>
          <w:rFonts w:cstheme="minorHAnsi"/>
          <w:spacing w:val="-3"/>
          <w:sz w:val="24"/>
          <w:szCs w:val="24"/>
          <w:lang w:val="en-GB"/>
        </w:rPr>
        <w:t xml:space="preserve">whereas, in the same reporting period previous year, net </w:t>
      </w:r>
      <w:r w:rsidR="009F2049">
        <w:rPr>
          <w:rFonts w:cstheme="minorHAnsi"/>
          <w:spacing w:val="-3"/>
          <w:sz w:val="24"/>
          <w:szCs w:val="24"/>
          <w:lang w:val="en-GB"/>
        </w:rPr>
        <w:t>gains</w:t>
      </w:r>
      <w:r w:rsidR="009F2049" w:rsidRPr="0005777B">
        <w:rPr>
          <w:rFonts w:cstheme="minorHAnsi"/>
          <w:spacing w:val="-3"/>
          <w:sz w:val="24"/>
          <w:szCs w:val="24"/>
          <w:lang w:val="en-GB"/>
        </w:rPr>
        <w:t xml:space="preserve"> amounted to HRK </w:t>
      </w:r>
      <w:r w:rsidR="009F2049">
        <w:rPr>
          <w:rFonts w:cstheme="minorHAnsi"/>
          <w:spacing w:val="-3"/>
          <w:sz w:val="24"/>
          <w:szCs w:val="24"/>
          <w:lang w:val="en-GB"/>
        </w:rPr>
        <w:t>3</w:t>
      </w:r>
      <w:r w:rsidR="009F2049">
        <w:rPr>
          <w:rFonts w:cstheme="minorHAnsi"/>
          <w:spacing w:val="-3"/>
          <w:sz w:val="24"/>
          <w:szCs w:val="24"/>
        </w:rPr>
        <w:t>.4</w:t>
      </w:r>
      <w:r w:rsidR="009F2049" w:rsidRPr="00704716">
        <w:rPr>
          <w:rFonts w:cstheme="minorHAnsi"/>
          <w:spacing w:val="-3"/>
          <w:sz w:val="24"/>
          <w:szCs w:val="24"/>
        </w:rPr>
        <w:t xml:space="preserve"> </w:t>
      </w:r>
      <w:proofErr w:type="spellStart"/>
      <w:r w:rsidR="009F2049" w:rsidRPr="00704716">
        <w:rPr>
          <w:rFonts w:cstheme="minorHAnsi"/>
          <w:spacing w:val="-3"/>
          <w:sz w:val="24"/>
          <w:szCs w:val="24"/>
        </w:rPr>
        <w:t>mil</w:t>
      </w:r>
      <w:r w:rsidR="009F2049">
        <w:rPr>
          <w:rFonts w:cstheme="minorHAnsi"/>
          <w:spacing w:val="-3"/>
          <w:sz w:val="24"/>
          <w:szCs w:val="24"/>
        </w:rPr>
        <w:t>lion</w:t>
      </w:r>
      <w:proofErr w:type="spellEnd"/>
      <w:r w:rsidR="009F2049" w:rsidRPr="00704716">
        <w:rPr>
          <w:rFonts w:cstheme="minorHAnsi"/>
          <w:spacing w:val="-3"/>
          <w:sz w:val="24"/>
          <w:szCs w:val="24"/>
        </w:rPr>
        <w:t xml:space="preserve">. </w:t>
      </w:r>
    </w:p>
    <w:p w14:paraId="28610377" w14:textId="2DC11E7A" w:rsidR="00BF17D9" w:rsidRPr="00041197" w:rsidRDefault="00BF17D9" w:rsidP="00BF17D9">
      <w:pPr>
        <w:tabs>
          <w:tab w:val="left" w:pos="-720"/>
        </w:tabs>
        <w:suppressAutoHyphens/>
        <w:spacing w:after="0" w:line="240" w:lineRule="auto"/>
        <w:jc w:val="both"/>
        <w:rPr>
          <w:rFonts w:cstheme="minorHAnsi"/>
          <w:spacing w:val="-3"/>
          <w:sz w:val="24"/>
          <w:szCs w:val="24"/>
          <w:lang w:val="en-GB"/>
        </w:rPr>
      </w:pPr>
    </w:p>
    <w:p w14:paraId="2CCEBFC7" w14:textId="77777777" w:rsidR="00CD2131" w:rsidRPr="00041197" w:rsidRDefault="00CD2131" w:rsidP="00BF17D9">
      <w:pPr>
        <w:tabs>
          <w:tab w:val="left" w:pos="-720"/>
        </w:tabs>
        <w:suppressAutoHyphens/>
        <w:spacing w:after="0" w:line="240" w:lineRule="auto"/>
        <w:jc w:val="both"/>
        <w:rPr>
          <w:rFonts w:cstheme="minorHAnsi"/>
          <w:spacing w:val="-3"/>
          <w:sz w:val="24"/>
          <w:szCs w:val="24"/>
          <w:lang w:val="en-GB"/>
        </w:rPr>
        <w:sectPr w:rsidR="00CD2131" w:rsidRPr="00041197">
          <w:footerReference w:type="default" r:id="rId29"/>
          <w:pgSz w:w="11906" w:h="16838"/>
          <w:pgMar w:top="1417" w:right="1417" w:bottom="1417" w:left="1417" w:header="708" w:footer="708" w:gutter="0"/>
          <w:cols w:space="708"/>
          <w:docGrid w:linePitch="360"/>
        </w:sectPr>
      </w:pPr>
    </w:p>
    <w:p w14:paraId="129FFD14" w14:textId="77777777" w:rsidR="00BF17D9" w:rsidRPr="00041197" w:rsidRDefault="00BF17D9" w:rsidP="00BF17D9">
      <w:pPr>
        <w:tabs>
          <w:tab w:val="left" w:pos="-720"/>
        </w:tabs>
        <w:suppressAutoHyphens/>
        <w:spacing w:after="0" w:line="240" w:lineRule="auto"/>
        <w:jc w:val="both"/>
        <w:rPr>
          <w:rFonts w:cstheme="minorHAnsi"/>
          <w:spacing w:val="-3"/>
          <w:sz w:val="24"/>
          <w:szCs w:val="24"/>
          <w:lang w:val="en-GB"/>
        </w:rPr>
      </w:pPr>
    </w:p>
    <w:p w14:paraId="1EBC9C31" w14:textId="77777777" w:rsidR="00BF17D9" w:rsidRPr="00041197" w:rsidRDefault="001A621E" w:rsidP="00BF17D9">
      <w:pPr>
        <w:tabs>
          <w:tab w:val="left" w:pos="-720"/>
        </w:tabs>
        <w:suppressAutoHyphens/>
        <w:spacing w:after="0" w:line="240" w:lineRule="auto"/>
        <w:jc w:val="both"/>
        <w:rPr>
          <w:rFonts w:cstheme="minorHAnsi"/>
          <w:spacing w:val="-3"/>
          <w:sz w:val="24"/>
          <w:szCs w:val="24"/>
          <w:lang w:val="en-GB"/>
        </w:rPr>
      </w:pPr>
      <w:r w:rsidRPr="00395073">
        <w:rPr>
          <w:rFonts w:cstheme="minorHAnsi"/>
          <w:spacing w:val="-3"/>
          <w:sz w:val="24"/>
          <w:szCs w:val="24"/>
          <w:lang w:val="en-GB"/>
        </w:rPr>
        <w:t>A breakdown of changes in the exchange rate of HRK against the EUR and the USD</w:t>
      </w:r>
      <w:r w:rsidR="00BF17D9" w:rsidRPr="00041197">
        <w:rPr>
          <w:rFonts w:cstheme="minorHAnsi"/>
          <w:spacing w:val="-3"/>
          <w:sz w:val="24"/>
          <w:szCs w:val="24"/>
          <w:lang w:val="en-GB"/>
        </w:rPr>
        <w:t>:</w:t>
      </w:r>
    </w:p>
    <w:p w14:paraId="44C0D8EB" w14:textId="77777777" w:rsidR="00BF17D9" w:rsidRPr="00041197" w:rsidRDefault="00BF17D9" w:rsidP="00BF17D9">
      <w:pPr>
        <w:tabs>
          <w:tab w:val="left" w:pos="-720"/>
        </w:tabs>
        <w:suppressAutoHyphens/>
        <w:spacing w:after="0" w:line="240" w:lineRule="auto"/>
        <w:jc w:val="both"/>
        <w:rPr>
          <w:rFonts w:cstheme="minorHAnsi"/>
          <w:spacing w:val="-3"/>
          <w:sz w:val="24"/>
          <w:szCs w:val="24"/>
          <w:lang w:val="en-GB"/>
        </w:rPr>
      </w:pPr>
    </w:p>
    <w:p w14:paraId="354E9666" w14:textId="379B2BB6" w:rsidR="00BF17D9" w:rsidRPr="00041197" w:rsidRDefault="00EC28B8" w:rsidP="00BF17D9">
      <w:pPr>
        <w:tabs>
          <w:tab w:val="left" w:pos="-720"/>
          <w:tab w:val="left" w:pos="4820"/>
        </w:tabs>
        <w:suppressAutoHyphens/>
        <w:spacing w:after="0" w:line="240" w:lineRule="auto"/>
        <w:ind w:left="-426" w:right="-567"/>
        <w:jc w:val="both"/>
        <w:rPr>
          <w:rFonts w:cstheme="minorHAnsi"/>
          <w:spacing w:val="-3"/>
          <w:sz w:val="24"/>
          <w:szCs w:val="24"/>
          <w:lang w:val="en-GB"/>
        </w:rPr>
      </w:pPr>
      <w:r w:rsidRPr="00041197">
        <w:rPr>
          <w:rFonts w:cstheme="minorHAnsi"/>
          <w:spacing w:val="-3"/>
          <w:sz w:val="24"/>
          <w:szCs w:val="24"/>
          <w:lang w:val="en-GB" w:eastAsia="hr-HR"/>
        </w:rPr>
        <w:t xml:space="preserve">   </w:t>
      </w:r>
      <w:r w:rsidR="0056041B">
        <w:rPr>
          <w:rFonts w:cstheme="minorHAnsi"/>
          <w:noProof/>
          <w:spacing w:val="-3"/>
          <w:sz w:val="24"/>
          <w:szCs w:val="24"/>
          <w:lang w:val="en-GB" w:eastAsia="hr-HR"/>
        </w:rPr>
        <w:drawing>
          <wp:inline distT="0" distB="0" distL="0" distR="0" wp14:anchorId="6D2C81A5" wp14:editId="0C66224B">
            <wp:extent cx="3092176" cy="1854000"/>
            <wp:effectExtent l="0" t="0" r="762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092176" cy="1854000"/>
                    </a:xfrm>
                    <a:prstGeom prst="rect">
                      <a:avLst/>
                    </a:prstGeom>
                    <a:noFill/>
                  </pic:spPr>
                </pic:pic>
              </a:graphicData>
            </a:graphic>
          </wp:inline>
        </w:drawing>
      </w:r>
      <w:r w:rsidRPr="00041197">
        <w:rPr>
          <w:rFonts w:cstheme="minorHAnsi"/>
          <w:spacing w:val="-3"/>
          <w:sz w:val="24"/>
          <w:szCs w:val="24"/>
          <w:lang w:val="en-GB" w:eastAsia="hr-HR"/>
        </w:rPr>
        <w:t xml:space="preserve"> </w:t>
      </w:r>
      <w:r w:rsidR="0056041B">
        <w:rPr>
          <w:rFonts w:cstheme="minorHAnsi"/>
          <w:noProof/>
          <w:spacing w:val="-3"/>
          <w:sz w:val="24"/>
          <w:szCs w:val="24"/>
          <w:lang w:val="en-GB" w:eastAsia="hr-HR"/>
        </w:rPr>
        <w:drawing>
          <wp:inline distT="0" distB="0" distL="0" distR="0" wp14:anchorId="0BEF59E9" wp14:editId="39D5CFF8">
            <wp:extent cx="3110727" cy="1854000"/>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110727" cy="1854000"/>
                    </a:xfrm>
                    <a:prstGeom prst="rect">
                      <a:avLst/>
                    </a:prstGeom>
                    <a:noFill/>
                  </pic:spPr>
                </pic:pic>
              </a:graphicData>
            </a:graphic>
          </wp:inline>
        </w:drawing>
      </w:r>
      <w:r w:rsidR="00BF17D9" w:rsidRPr="00041197">
        <w:rPr>
          <w:rFonts w:cstheme="minorHAnsi"/>
          <w:spacing w:val="-3"/>
          <w:sz w:val="24"/>
          <w:szCs w:val="24"/>
          <w:lang w:val="en-GB"/>
        </w:rPr>
        <w:t xml:space="preserve"> </w:t>
      </w:r>
    </w:p>
    <w:p w14:paraId="22EC9788" w14:textId="77777777" w:rsidR="00BF17D9" w:rsidRPr="00041197" w:rsidRDefault="00BF17D9" w:rsidP="00BF17D9">
      <w:pPr>
        <w:tabs>
          <w:tab w:val="left" w:pos="-720"/>
          <w:tab w:val="left" w:pos="4820"/>
        </w:tabs>
        <w:suppressAutoHyphens/>
        <w:spacing w:after="0" w:line="240" w:lineRule="auto"/>
        <w:ind w:right="-426" w:hanging="426"/>
        <w:jc w:val="both"/>
        <w:rPr>
          <w:rFonts w:cstheme="minorHAnsi"/>
          <w:spacing w:val="-3"/>
          <w:sz w:val="24"/>
          <w:szCs w:val="24"/>
          <w:lang w:val="en-GB"/>
        </w:rPr>
      </w:pPr>
    </w:p>
    <w:p w14:paraId="697DF307" w14:textId="77777777" w:rsidR="00BF17D9" w:rsidRPr="00041197" w:rsidRDefault="00BF17D9" w:rsidP="00BF17D9">
      <w:pPr>
        <w:tabs>
          <w:tab w:val="left" w:pos="-720"/>
          <w:tab w:val="left" w:pos="4820"/>
        </w:tabs>
        <w:suppressAutoHyphens/>
        <w:spacing w:after="0" w:line="240" w:lineRule="auto"/>
        <w:ind w:right="-426" w:hanging="426"/>
        <w:jc w:val="both"/>
        <w:rPr>
          <w:rFonts w:cstheme="minorHAnsi"/>
          <w:color w:val="7F7F7F" w:themeColor="text1" w:themeTint="80"/>
          <w:spacing w:val="-3"/>
          <w:sz w:val="20"/>
          <w:szCs w:val="24"/>
          <w:lang w:val="en-GB"/>
        </w:rPr>
      </w:pPr>
      <w:r w:rsidRPr="00041197">
        <w:rPr>
          <w:rFonts w:cstheme="minorHAnsi"/>
          <w:spacing w:val="-3"/>
          <w:sz w:val="24"/>
          <w:szCs w:val="24"/>
          <w:lang w:val="en-GB"/>
        </w:rPr>
        <w:t xml:space="preserve">    </w:t>
      </w:r>
      <w:r w:rsidR="00A72F02" w:rsidRPr="00041197">
        <w:rPr>
          <w:rFonts w:cstheme="minorHAnsi"/>
          <w:spacing w:val="-3"/>
          <w:sz w:val="24"/>
          <w:szCs w:val="24"/>
          <w:lang w:val="en-GB"/>
        </w:rPr>
        <w:t xml:space="preserve">     </w:t>
      </w:r>
      <w:r w:rsidRPr="00041197">
        <w:rPr>
          <w:rFonts w:cstheme="minorHAnsi"/>
          <w:color w:val="7F7F7F" w:themeColor="text1" w:themeTint="80"/>
          <w:spacing w:val="-3"/>
          <w:sz w:val="20"/>
          <w:szCs w:val="24"/>
          <w:lang w:val="en-GB"/>
        </w:rPr>
        <w:t>N</w:t>
      </w:r>
      <w:r w:rsidR="001A621E">
        <w:rPr>
          <w:rFonts w:cstheme="minorHAnsi"/>
          <w:color w:val="7F7F7F" w:themeColor="text1" w:themeTint="80"/>
          <w:spacing w:val="-3"/>
          <w:sz w:val="20"/>
          <w:szCs w:val="24"/>
          <w:lang w:val="en-GB"/>
        </w:rPr>
        <w:t>ote</w:t>
      </w:r>
      <w:r w:rsidRPr="00041197">
        <w:rPr>
          <w:rFonts w:cstheme="minorHAnsi"/>
          <w:color w:val="7F7F7F" w:themeColor="text1" w:themeTint="80"/>
          <w:spacing w:val="-3"/>
          <w:sz w:val="20"/>
          <w:szCs w:val="24"/>
          <w:lang w:val="en-GB"/>
        </w:rPr>
        <w:t>:</w:t>
      </w:r>
    </w:p>
    <w:p w14:paraId="1FE13D58" w14:textId="52402F36" w:rsidR="00BF17D9" w:rsidRPr="00041197" w:rsidRDefault="00BF17D9" w:rsidP="00BF17D9">
      <w:pPr>
        <w:tabs>
          <w:tab w:val="left" w:pos="-720"/>
          <w:tab w:val="left" w:pos="4820"/>
        </w:tabs>
        <w:suppressAutoHyphens/>
        <w:spacing w:after="0" w:line="240" w:lineRule="auto"/>
        <w:ind w:right="-426" w:hanging="426"/>
        <w:jc w:val="both"/>
        <w:rPr>
          <w:rFonts w:cstheme="minorHAnsi"/>
          <w:color w:val="7F7F7F" w:themeColor="text1" w:themeTint="80"/>
          <w:spacing w:val="-3"/>
          <w:sz w:val="20"/>
          <w:szCs w:val="24"/>
          <w:lang w:val="en-GB"/>
        </w:rPr>
      </w:pPr>
      <w:r w:rsidRPr="00041197">
        <w:rPr>
          <w:rFonts w:cstheme="minorHAnsi"/>
          <w:color w:val="7F7F7F" w:themeColor="text1" w:themeTint="80"/>
          <w:spacing w:val="-3"/>
          <w:sz w:val="20"/>
          <w:szCs w:val="24"/>
          <w:lang w:val="en-GB"/>
        </w:rPr>
        <w:t xml:space="preserve"> </w:t>
      </w:r>
      <w:r w:rsidR="00A72F02" w:rsidRPr="00041197">
        <w:rPr>
          <w:rFonts w:cstheme="minorHAnsi"/>
          <w:color w:val="7F7F7F" w:themeColor="text1" w:themeTint="80"/>
          <w:spacing w:val="-3"/>
          <w:sz w:val="20"/>
          <w:szCs w:val="24"/>
          <w:lang w:val="en-GB"/>
        </w:rPr>
        <w:t xml:space="preserve">         </w:t>
      </w:r>
      <w:r w:rsidRPr="00041197">
        <w:rPr>
          <w:rFonts w:cstheme="minorHAnsi"/>
          <w:color w:val="7F7F7F" w:themeColor="text1" w:themeTint="80"/>
          <w:spacing w:val="-3"/>
          <w:sz w:val="20"/>
          <w:szCs w:val="24"/>
          <w:lang w:val="en-GB"/>
        </w:rPr>
        <w:t xml:space="preserve"> </w:t>
      </w:r>
      <w:r w:rsidR="00B81C8B" w:rsidRPr="00041197">
        <w:rPr>
          <w:rFonts w:cstheme="minorHAnsi"/>
          <w:color w:val="7F7F7F" w:themeColor="text1" w:themeTint="80"/>
          <w:spacing w:val="-3"/>
          <w:sz w:val="20"/>
          <w:szCs w:val="24"/>
          <w:lang w:val="en-GB"/>
        </w:rPr>
        <w:t>D</w:t>
      </w:r>
      <w:r w:rsidRPr="00041197">
        <w:rPr>
          <w:rFonts w:cstheme="minorHAnsi"/>
          <w:color w:val="7F7F7F" w:themeColor="text1" w:themeTint="80"/>
          <w:spacing w:val="-3"/>
          <w:sz w:val="20"/>
          <w:szCs w:val="24"/>
          <w:vertAlign w:val="subscript"/>
          <w:lang w:val="en-GB"/>
        </w:rPr>
        <w:t>1</w:t>
      </w:r>
      <w:r w:rsidRPr="00041197">
        <w:rPr>
          <w:rFonts w:cstheme="minorHAnsi"/>
          <w:color w:val="7F7F7F" w:themeColor="text1" w:themeTint="80"/>
          <w:spacing w:val="-3"/>
          <w:sz w:val="20"/>
          <w:szCs w:val="24"/>
          <w:lang w:val="en-GB"/>
        </w:rPr>
        <w:t xml:space="preserve"> = </w:t>
      </w:r>
      <w:r w:rsidR="00013CB8">
        <w:rPr>
          <w:rFonts w:cstheme="minorHAnsi"/>
          <w:color w:val="7F7F7F" w:themeColor="text1" w:themeTint="80"/>
          <w:spacing w:val="-3"/>
          <w:sz w:val="20"/>
          <w:szCs w:val="24"/>
          <w:lang w:val="en-GB"/>
        </w:rPr>
        <w:t>HRK depreciation</w:t>
      </w:r>
      <w:r w:rsidR="00E540AB" w:rsidRPr="00041197">
        <w:rPr>
          <w:rFonts w:cstheme="minorHAnsi"/>
          <w:color w:val="7F7F7F" w:themeColor="text1" w:themeTint="80"/>
          <w:spacing w:val="-3"/>
          <w:sz w:val="20"/>
          <w:szCs w:val="24"/>
          <w:lang w:val="en-GB"/>
        </w:rPr>
        <w:t xml:space="preserve"> 3</w:t>
      </w:r>
      <w:r w:rsidR="00AF4EE7" w:rsidRPr="00041197">
        <w:rPr>
          <w:rFonts w:cstheme="minorHAnsi"/>
          <w:color w:val="7F7F7F" w:themeColor="text1" w:themeTint="80"/>
          <w:spacing w:val="-3"/>
          <w:sz w:val="20"/>
          <w:szCs w:val="24"/>
          <w:lang w:val="en-GB"/>
        </w:rPr>
        <w:t>1</w:t>
      </w:r>
      <w:r w:rsidR="00E540AB" w:rsidRPr="00041197">
        <w:rPr>
          <w:rFonts w:cstheme="minorHAnsi"/>
          <w:color w:val="7F7F7F" w:themeColor="text1" w:themeTint="80"/>
          <w:spacing w:val="-3"/>
          <w:sz w:val="20"/>
          <w:szCs w:val="24"/>
          <w:lang w:val="en-GB"/>
        </w:rPr>
        <w:t>.</w:t>
      </w:r>
      <w:r w:rsidR="00B81C8B" w:rsidRPr="00041197">
        <w:rPr>
          <w:rFonts w:cstheme="minorHAnsi"/>
          <w:color w:val="7F7F7F" w:themeColor="text1" w:themeTint="80"/>
          <w:spacing w:val="-3"/>
          <w:sz w:val="20"/>
          <w:szCs w:val="24"/>
          <w:lang w:val="en-GB"/>
        </w:rPr>
        <w:t>3</w:t>
      </w:r>
      <w:r w:rsidR="00E540AB" w:rsidRPr="00041197">
        <w:rPr>
          <w:rFonts w:cstheme="minorHAnsi"/>
          <w:color w:val="7F7F7F" w:themeColor="text1" w:themeTint="80"/>
          <w:spacing w:val="-3"/>
          <w:sz w:val="20"/>
          <w:szCs w:val="24"/>
          <w:lang w:val="en-GB"/>
        </w:rPr>
        <w:t>.</w:t>
      </w:r>
      <w:r w:rsidR="00B81C8B" w:rsidRPr="00041197">
        <w:rPr>
          <w:rFonts w:cstheme="minorHAnsi"/>
          <w:color w:val="7F7F7F" w:themeColor="text1" w:themeTint="80"/>
          <w:spacing w:val="-3"/>
          <w:sz w:val="20"/>
          <w:szCs w:val="24"/>
          <w:lang w:val="en-GB"/>
        </w:rPr>
        <w:t>20</w:t>
      </w:r>
      <w:r w:rsidR="0056041B">
        <w:rPr>
          <w:rFonts w:cstheme="minorHAnsi"/>
          <w:color w:val="7F7F7F" w:themeColor="text1" w:themeTint="80"/>
          <w:spacing w:val="-3"/>
          <w:sz w:val="20"/>
          <w:szCs w:val="24"/>
          <w:lang w:val="en-GB"/>
        </w:rPr>
        <w:t>20</w:t>
      </w:r>
      <w:r w:rsidR="00E540AB" w:rsidRPr="00041197">
        <w:rPr>
          <w:rFonts w:cstheme="minorHAnsi"/>
          <w:color w:val="7F7F7F" w:themeColor="text1" w:themeTint="80"/>
          <w:spacing w:val="-3"/>
          <w:sz w:val="20"/>
          <w:szCs w:val="24"/>
          <w:lang w:val="en-GB"/>
        </w:rPr>
        <w:t>/31.12.</w:t>
      </w:r>
      <w:r w:rsidR="00B81C8B" w:rsidRPr="00041197">
        <w:rPr>
          <w:rFonts w:cstheme="minorHAnsi"/>
          <w:color w:val="7F7F7F" w:themeColor="text1" w:themeTint="80"/>
          <w:spacing w:val="-3"/>
          <w:sz w:val="20"/>
          <w:szCs w:val="24"/>
          <w:lang w:val="en-GB"/>
        </w:rPr>
        <w:t>201</w:t>
      </w:r>
      <w:r w:rsidR="0056041B">
        <w:rPr>
          <w:rFonts w:cstheme="minorHAnsi"/>
          <w:color w:val="7F7F7F" w:themeColor="text1" w:themeTint="80"/>
          <w:spacing w:val="-3"/>
          <w:sz w:val="20"/>
          <w:szCs w:val="24"/>
          <w:lang w:val="en-GB"/>
        </w:rPr>
        <w:t>9</w:t>
      </w:r>
      <w:r w:rsidRPr="00041197">
        <w:rPr>
          <w:rFonts w:cstheme="minorHAnsi"/>
          <w:color w:val="7F7F7F" w:themeColor="text1" w:themeTint="80"/>
          <w:spacing w:val="-3"/>
          <w:sz w:val="20"/>
          <w:szCs w:val="24"/>
          <w:lang w:val="en-GB"/>
        </w:rPr>
        <w:tab/>
        <w:t xml:space="preserve">  </w:t>
      </w:r>
      <w:r w:rsidR="00A72F02" w:rsidRPr="00041197">
        <w:rPr>
          <w:rFonts w:cstheme="minorHAnsi"/>
          <w:color w:val="7F7F7F" w:themeColor="text1" w:themeTint="80"/>
          <w:spacing w:val="-3"/>
          <w:sz w:val="20"/>
          <w:szCs w:val="24"/>
          <w:lang w:val="en-GB"/>
        </w:rPr>
        <w:t xml:space="preserve">       </w:t>
      </w:r>
      <w:r w:rsidRPr="00041197">
        <w:rPr>
          <w:rFonts w:cstheme="minorHAnsi"/>
          <w:color w:val="7F7F7F" w:themeColor="text1" w:themeTint="80"/>
          <w:spacing w:val="-3"/>
          <w:sz w:val="20"/>
          <w:szCs w:val="24"/>
          <w:lang w:val="en-GB"/>
        </w:rPr>
        <w:t xml:space="preserve"> </w:t>
      </w:r>
      <w:r w:rsidR="00E540AB" w:rsidRPr="00041197">
        <w:rPr>
          <w:rFonts w:cstheme="minorHAnsi"/>
          <w:color w:val="7F7F7F" w:themeColor="text1" w:themeTint="80"/>
          <w:spacing w:val="-3"/>
          <w:sz w:val="20"/>
          <w:szCs w:val="24"/>
          <w:lang w:val="en-GB"/>
        </w:rPr>
        <w:t>D</w:t>
      </w:r>
      <w:r w:rsidRPr="00041197">
        <w:rPr>
          <w:rFonts w:cstheme="minorHAnsi"/>
          <w:color w:val="7F7F7F" w:themeColor="text1" w:themeTint="80"/>
          <w:spacing w:val="-3"/>
          <w:sz w:val="20"/>
          <w:szCs w:val="24"/>
          <w:vertAlign w:val="subscript"/>
          <w:lang w:val="en-GB"/>
        </w:rPr>
        <w:t>1</w:t>
      </w:r>
      <w:r w:rsidRPr="00041197">
        <w:rPr>
          <w:rFonts w:cstheme="minorHAnsi"/>
          <w:color w:val="7F7F7F" w:themeColor="text1" w:themeTint="80"/>
          <w:spacing w:val="-3"/>
          <w:sz w:val="20"/>
          <w:szCs w:val="24"/>
          <w:lang w:val="en-GB"/>
        </w:rPr>
        <w:t xml:space="preserve"> = </w:t>
      </w:r>
      <w:r w:rsidR="00013CB8">
        <w:rPr>
          <w:rFonts w:cstheme="minorHAnsi"/>
          <w:color w:val="7F7F7F" w:themeColor="text1" w:themeTint="80"/>
          <w:spacing w:val="-3"/>
          <w:sz w:val="20"/>
          <w:szCs w:val="24"/>
          <w:lang w:val="en-GB"/>
        </w:rPr>
        <w:t xml:space="preserve">HRK depreciation </w:t>
      </w:r>
      <w:r w:rsidR="00B81C8B" w:rsidRPr="00041197">
        <w:rPr>
          <w:rFonts w:cstheme="minorHAnsi"/>
          <w:color w:val="7F7F7F" w:themeColor="text1" w:themeTint="80"/>
          <w:spacing w:val="-3"/>
          <w:sz w:val="20"/>
          <w:szCs w:val="24"/>
          <w:lang w:val="en-GB"/>
        </w:rPr>
        <w:t>31</w:t>
      </w:r>
      <w:r w:rsidR="00E540AB" w:rsidRPr="00041197">
        <w:rPr>
          <w:rFonts w:cstheme="minorHAnsi"/>
          <w:color w:val="7F7F7F" w:themeColor="text1" w:themeTint="80"/>
          <w:spacing w:val="-3"/>
          <w:sz w:val="20"/>
          <w:szCs w:val="24"/>
          <w:lang w:val="en-GB"/>
        </w:rPr>
        <w:t>.</w:t>
      </w:r>
      <w:r w:rsidR="00B81C8B" w:rsidRPr="00041197">
        <w:rPr>
          <w:rFonts w:cstheme="minorHAnsi"/>
          <w:color w:val="7F7F7F" w:themeColor="text1" w:themeTint="80"/>
          <w:spacing w:val="-3"/>
          <w:sz w:val="20"/>
          <w:szCs w:val="24"/>
          <w:lang w:val="en-GB"/>
        </w:rPr>
        <w:t>3</w:t>
      </w:r>
      <w:r w:rsidR="00E540AB" w:rsidRPr="00041197">
        <w:rPr>
          <w:rFonts w:cstheme="minorHAnsi"/>
          <w:color w:val="7F7F7F" w:themeColor="text1" w:themeTint="80"/>
          <w:spacing w:val="-3"/>
          <w:sz w:val="20"/>
          <w:szCs w:val="24"/>
          <w:lang w:val="en-GB"/>
        </w:rPr>
        <w:t>.</w:t>
      </w:r>
      <w:r w:rsidR="00B81C8B" w:rsidRPr="00041197">
        <w:rPr>
          <w:rFonts w:cstheme="minorHAnsi"/>
          <w:color w:val="7F7F7F" w:themeColor="text1" w:themeTint="80"/>
          <w:spacing w:val="-3"/>
          <w:sz w:val="20"/>
          <w:szCs w:val="24"/>
          <w:lang w:val="en-GB"/>
        </w:rPr>
        <w:t>20</w:t>
      </w:r>
      <w:r w:rsidR="0056041B">
        <w:rPr>
          <w:rFonts w:cstheme="minorHAnsi"/>
          <w:color w:val="7F7F7F" w:themeColor="text1" w:themeTint="80"/>
          <w:spacing w:val="-3"/>
          <w:sz w:val="20"/>
          <w:szCs w:val="24"/>
          <w:lang w:val="en-GB"/>
        </w:rPr>
        <w:t>20</w:t>
      </w:r>
      <w:r w:rsidR="00E540AB" w:rsidRPr="00041197">
        <w:rPr>
          <w:rFonts w:cstheme="minorHAnsi"/>
          <w:color w:val="7F7F7F" w:themeColor="text1" w:themeTint="80"/>
          <w:spacing w:val="-3"/>
          <w:sz w:val="20"/>
          <w:szCs w:val="24"/>
          <w:lang w:val="en-GB"/>
        </w:rPr>
        <w:t>/31.12.</w:t>
      </w:r>
      <w:r w:rsidR="00B81C8B" w:rsidRPr="00041197">
        <w:rPr>
          <w:rFonts w:cstheme="minorHAnsi"/>
          <w:color w:val="7F7F7F" w:themeColor="text1" w:themeTint="80"/>
          <w:spacing w:val="-3"/>
          <w:sz w:val="20"/>
          <w:szCs w:val="24"/>
          <w:lang w:val="en-GB"/>
        </w:rPr>
        <w:t>201</w:t>
      </w:r>
      <w:r w:rsidR="0056041B">
        <w:rPr>
          <w:rFonts w:cstheme="minorHAnsi"/>
          <w:color w:val="7F7F7F" w:themeColor="text1" w:themeTint="80"/>
          <w:spacing w:val="-3"/>
          <w:sz w:val="20"/>
          <w:szCs w:val="24"/>
          <w:lang w:val="en-GB"/>
        </w:rPr>
        <w:t>9</w:t>
      </w:r>
    </w:p>
    <w:p w14:paraId="1EFB1EBB" w14:textId="1946AF39" w:rsidR="00BF17D9" w:rsidRPr="00041197" w:rsidRDefault="00A72F02" w:rsidP="00BF17D9">
      <w:pPr>
        <w:tabs>
          <w:tab w:val="left" w:pos="-720"/>
          <w:tab w:val="left" w:pos="4820"/>
        </w:tabs>
        <w:suppressAutoHyphens/>
        <w:spacing w:after="0" w:line="240" w:lineRule="auto"/>
        <w:ind w:right="-426" w:hanging="426"/>
        <w:jc w:val="both"/>
        <w:rPr>
          <w:rFonts w:cstheme="minorHAnsi"/>
          <w:color w:val="7F7F7F" w:themeColor="text1" w:themeTint="80"/>
          <w:spacing w:val="-3"/>
          <w:sz w:val="20"/>
          <w:szCs w:val="24"/>
          <w:lang w:val="en-GB"/>
        </w:rPr>
      </w:pPr>
      <w:r w:rsidRPr="00041197">
        <w:rPr>
          <w:rFonts w:cstheme="minorHAnsi"/>
          <w:color w:val="7F7F7F" w:themeColor="text1" w:themeTint="80"/>
          <w:spacing w:val="-3"/>
          <w:sz w:val="20"/>
          <w:szCs w:val="24"/>
          <w:lang w:val="en-GB"/>
        </w:rPr>
        <w:t xml:space="preserve">         </w:t>
      </w:r>
      <w:r w:rsidR="00BF17D9" w:rsidRPr="00041197">
        <w:rPr>
          <w:rFonts w:cstheme="minorHAnsi"/>
          <w:color w:val="7F7F7F" w:themeColor="text1" w:themeTint="80"/>
          <w:spacing w:val="-3"/>
          <w:sz w:val="20"/>
          <w:szCs w:val="24"/>
          <w:lang w:val="en-GB"/>
        </w:rPr>
        <w:t xml:space="preserve">  </w:t>
      </w:r>
      <w:r w:rsidR="0056041B">
        <w:rPr>
          <w:rFonts w:cstheme="minorHAnsi"/>
          <w:color w:val="7F7F7F" w:themeColor="text1" w:themeTint="80"/>
          <w:spacing w:val="-3"/>
          <w:sz w:val="20"/>
          <w:szCs w:val="24"/>
          <w:lang w:val="en-GB"/>
        </w:rPr>
        <w:t>D</w:t>
      </w:r>
      <w:r w:rsidR="00BF17D9" w:rsidRPr="00041197">
        <w:rPr>
          <w:rFonts w:cstheme="minorHAnsi"/>
          <w:color w:val="7F7F7F" w:themeColor="text1" w:themeTint="80"/>
          <w:spacing w:val="-3"/>
          <w:sz w:val="20"/>
          <w:szCs w:val="24"/>
          <w:vertAlign w:val="subscript"/>
          <w:lang w:val="en-GB"/>
        </w:rPr>
        <w:t>2</w:t>
      </w:r>
      <w:r w:rsidR="00BF17D9" w:rsidRPr="00041197">
        <w:rPr>
          <w:rFonts w:cstheme="minorHAnsi"/>
          <w:color w:val="7F7F7F" w:themeColor="text1" w:themeTint="80"/>
          <w:spacing w:val="-3"/>
          <w:sz w:val="20"/>
          <w:szCs w:val="24"/>
          <w:lang w:val="en-GB"/>
        </w:rPr>
        <w:t xml:space="preserve"> = </w:t>
      </w:r>
      <w:r w:rsidR="00013CB8">
        <w:rPr>
          <w:rFonts w:cstheme="minorHAnsi"/>
          <w:color w:val="7F7F7F" w:themeColor="text1" w:themeTint="80"/>
          <w:spacing w:val="-3"/>
          <w:sz w:val="20"/>
          <w:szCs w:val="24"/>
          <w:lang w:val="en-GB"/>
        </w:rPr>
        <w:t xml:space="preserve">HRK </w:t>
      </w:r>
      <w:r w:rsidR="0056041B">
        <w:rPr>
          <w:rFonts w:cstheme="minorHAnsi"/>
          <w:color w:val="7F7F7F" w:themeColor="text1" w:themeTint="80"/>
          <w:spacing w:val="-3"/>
          <w:sz w:val="20"/>
          <w:szCs w:val="24"/>
          <w:lang w:val="en-GB"/>
        </w:rPr>
        <w:t>de</w:t>
      </w:r>
      <w:r w:rsidR="00013CB8">
        <w:rPr>
          <w:rFonts w:cstheme="minorHAnsi"/>
          <w:color w:val="7F7F7F" w:themeColor="text1" w:themeTint="80"/>
          <w:spacing w:val="-3"/>
          <w:sz w:val="20"/>
          <w:szCs w:val="24"/>
          <w:lang w:val="en-GB"/>
        </w:rPr>
        <w:t>preciation</w:t>
      </w:r>
      <w:r w:rsidR="00E540AB" w:rsidRPr="00041197">
        <w:rPr>
          <w:rFonts w:cstheme="minorHAnsi"/>
          <w:color w:val="7F7F7F" w:themeColor="text1" w:themeTint="80"/>
          <w:spacing w:val="-3"/>
          <w:sz w:val="20"/>
          <w:szCs w:val="24"/>
          <w:lang w:val="en-GB"/>
        </w:rPr>
        <w:t xml:space="preserve"> </w:t>
      </w:r>
      <w:r w:rsidR="00B81C8B" w:rsidRPr="00041197">
        <w:rPr>
          <w:rFonts w:cstheme="minorHAnsi"/>
          <w:color w:val="7F7F7F" w:themeColor="text1" w:themeTint="80"/>
          <w:spacing w:val="-3"/>
          <w:sz w:val="20"/>
          <w:szCs w:val="24"/>
          <w:lang w:val="en-GB"/>
        </w:rPr>
        <w:t>3</w:t>
      </w:r>
      <w:r w:rsidR="00AF4EE7" w:rsidRPr="00041197">
        <w:rPr>
          <w:rFonts w:cstheme="minorHAnsi"/>
          <w:color w:val="7F7F7F" w:themeColor="text1" w:themeTint="80"/>
          <w:spacing w:val="-3"/>
          <w:sz w:val="20"/>
          <w:szCs w:val="24"/>
          <w:lang w:val="en-GB"/>
        </w:rPr>
        <w:t>1</w:t>
      </w:r>
      <w:r w:rsidR="00B81C8B" w:rsidRPr="00041197">
        <w:rPr>
          <w:rFonts w:cstheme="minorHAnsi"/>
          <w:color w:val="7F7F7F" w:themeColor="text1" w:themeTint="80"/>
          <w:spacing w:val="-3"/>
          <w:sz w:val="20"/>
          <w:szCs w:val="24"/>
          <w:lang w:val="en-GB"/>
        </w:rPr>
        <w:t>.3.20</w:t>
      </w:r>
      <w:r w:rsidR="0056041B">
        <w:rPr>
          <w:rFonts w:cstheme="minorHAnsi"/>
          <w:color w:val="7F7F7F" w:themeColor="text1" w:themeTint="80"/>
          <w:spacing w:val="-3"/>
          <w:sz w:val="20"/>
          <w:szCs w:val="24"/>
          <w:lang w:val="en-GB"/>
        </w:rPr>
        <w:t>20</w:t>
      </w:r>
      <w:r w:rsidR="00B81C8B" w:rsidRPr="00041197">
        <w:rPr>
          <w:rFonts w:cstheme="minorHAnsi"/>
          <w:color w:val="7F7F7F" w:themeColor="text1" w:themeTint="80"/>
          <w:spacing w:val="-3"/>
          <w:sz w:val="20"/>
          <w:szCs w:val="24"/>
          <w:lang w:val="en-GB"/>
        </w:rPr>
        <w:t>/3</w:t>
      </w:r>
      <w:r w:rsidR="00304DC3">
        <w:rPr>
          <w:rFonts w:cstheme="minorHAnsi"/>
          <w:color w:val="7F7F7F" w:themeColor="text1" w:themeTint="80"/>
          <w:spacing w:val="-3"/>
          <w:sz w:val="20"/>
          <w:szCs w:val="24"/>
          <w:lang w:val="en-GB"/>
        </w:rPr>
        <w:t>1</w:t>
      </w:r>
      <w:r w:rsidR="00B81C8B" w:rsidRPr="00041197">
        <w:rPr>
          <w:rFonts w:cstheme="minorHAnsi"/>
          <w:color w:val="7F7F7F" w:themeColor="text1" w:themeTint="80"/>
          <w:spacing w:val="-3"/>
          <w:sz w:val="20"/>
          <w:szCs w:val="24"/>
          <w:lang w:val="en-GB"/>
        </w:rPr>
        <w:t>.3.201</w:t>
      </w:r>
      <w:r w:rsidR="0056041B">
        <w:rPr>
          <w:rFonts w:cstheme="minorHAnsi"/>
          <w:color w:val="7F7F7F" w:themeColor="text1" w:themeTint="80"/>
          <w:spacing w:val="-3"/>
          <w:sz w:val="20"/>
          <w:szCs w:val="24"/>
          <w:lang w:val="en-GB"/>
        </w:rPr>
        <w:t>9</w:t>
      </w:r>
      <w:r w:rsidR="00BF17D9" w:rsidRPr="00041197">
        <w:rPr>
          <w:rFonts w:cstheme="minorHAnsi"/>
          <w:color w:val="7F7F7F" w:themeColor="text1" w:themeTint="80"/>
          <w:spacing w:val="-3"/>
          <w:sz w:val="20"/>
          <w:szCs w:val="24"/>
          <w:lang w:val="en-GB"/>
        </w:rPr>
        <w:tab/>
      </w:r>
      <w:r w:rsidRPr="00041197">
        <w:rPr>
          <w:rFonts w:cstheme="minorHAnsi"/>
          <w:color w:val="7F7F7F" w:themeColor="text1" w:themeTint="80"/>
          <w:spacing w:val="-3"/>
          <w:sz w:val="20"/>
          <w:szCs w:val="24"/>
          <w:lang w:val="en-GB"/>
        </w:rPr>
        <w:t xml:space="preserve">     </w:t>
      </w:r>
      <w:r w:rsidR="00BF17D9" w:rsidRPr="00041197">
        <w:rPr>
          <w:rFonts w:cstheme="minorHAnsi"/>
          <w:color w:val="7F7F7F" w:themeColor="text1" w:themeTint="80"/>
          <w:spacing w:val="-3"/>
          <w:sz w:val="20"/>
          <w:szCs w:val="24"/>
          <w:lang w:val="en-GB"/>
        </w:rPr>
        <w:t xml:space="preserve"> </w:t>
      </w:r>
      <w:r w:rsidRPr="00041197">
        <w:rPr>
          <w:rFonts w:cstheme="minorHAnsi"/>
          <w:color w:val="7F7F7F" w:themeColor="text1" w:themeTint="80"/>
          <w:spacing w:val="-3"/>
          <w:sz w:val="20"/>
          <w:szCs w:val="24"/>
          <w:lang w:val="en-GB"/>
        </w:rPr>
        <w:t xml:space="preserve">  </w:t>
      </w:r>
      <w:r w:rsidR="00BF17D9" w:rsidRPr="00041197">
        <w:rPr>
          <w:rFonts w:cstheme="minorHAnsi"/>
          <w:color w:val="7F7F7F" w:themeColor="text1" w:themeTint="80"/>
          <w:spacing w:val="-3"/>
          <w:sz w:val="20"/>
          <w:szCs w:val="24"/>
          <w:lang w:val="en-GB"/>
        </w:rPr>
        <w:t xml:space="preserve">  </w:t>
      </w:r>
      <w:r w:rsidR="00C94693" w:rsidRPr="00041197">
        <w:rPr>
          <w:rFonts w:cstheme="minorHAnsi"/>
          <w:color w:val="7F7F7F" w:themeColor="text1" w:themeTint="80"/>
          <w:spacing w:val="-3"/>
          <w:sz w:val="20"/>
          <w:szCs w:val="24"/>
          <w:lang w:val="en-GB"/>
        </w:rPr>
        <w:t>D</w:t>
      </w:r>
      <w:r w:rsidR="00C94693" w:rsidRPr="00041197">
        <w:rPr>
          <w:rFonts w:cstheme="minorHAnsi"/>
          <w:color w:val="7F7F7F" w:themeColor="text1" w:themeTint="80"/>
          <w:spacing w:val="-3"/>
          <w:sz w:val="20"/>
          <w:szCs w:val="24"/>
          <w:vertAlign w:val="subscript"/>
          <w:lang w:val="en-GB"/>
        </w:rPr>
        <w:t>2</w:t>
      </w:r>
      <w:r w:rsidR="00C94693" w:rsidRPr="00041197">
        <w:rPr>
          <w:rFonts w:cstheme="minorHAnsi"/>
          <w:color w:val="7F7F7F" w:themeColor="text1" w:themeTint="80"/>
          <w:spacing w:val="-3"/>
          <w:sz w:val="20"/>
          <w:szCs w:val="24"/>
          <w:lang w:val="en-GB"/>
        </w:rPr>
        <w:t xml:space="preserve"> </w:t>
      </w:r>
      <w:r w:rsidR="00BF17D9" w:rsidRPr="00041197">
        <w:rPr>
          <w:rFonts w:cstheme="minorHAnsi"/>
          <w:color w:val="7F7F7F" w:themeColor="text1" w:themeTint="80"/>
          <w:spacing w:val="-3"/>
          <w:sz w:val="20"/>
          <w:szCs w:val="24"/>
          <w:lang w:val="en-GB"/>
        </w:rPr>
        <w:t xml:space="preserve">= </w:t>
      </w:r>
      <w:r w:rsidR="00013CB8">
        <w:rPr>
          <w:rFonts w:cstheme="minorHAnsi"/>
          <w:color w:val="7F7F7F" w:themeColor="text1" w:themeTint="80"/>
          <w:spacing w:val="-3"/>
          <w:sz w:val="20"/>
          <w:szCs w:val="24"/>
          <w:lang w:val="en-GB"/>
        </w:rPr>
        <w:t>HRK depreciation</w:t>
      </w:r>
      <w:r w:rsidR="00E540AB" w:rsidRPr="00041197">
        <w:rPr>
          <w:rFonts w:cstheme="minorHAnsi"/>
          <w:color w:val="7F7F7F" w:themeColor="text1" w:themeTint="80"/>
          <w:spacing w:val="-3"/>
          <w:sz w:val="20"/>
          <w:szCs w:val="24"/>
          <w:lang w:val="en-GB"/>
        </w:rPr>
        <w:t xml:space="preserve"> 3</w:t>
      </w:r>
      <w:r w:rsidR="00AF4EE7" w:rsidRPr="00041197">
        <w:rPr>
          <w:rFonts w:cstheme="minorHAnsi"/>
          <w:color w:val="7F7F7F" w:themeColor="text1" w:themeTint="80"/>
          <w:spacing w:val="-3"/>
          <w:sz w:val="20"/>
          <w:szCs w:val="24"/>
          <w:lang w:val="en-GB"/>
        </w:rPr>
        <w:t>1</w:t>
      </w:r>
      <w:r w:rsidR="00E540AB" w:rsidRPr="00041197">
        <w:rPr>
          <w:rFonts w:cstheme="minorHAnsi"/>
          <w:color w:val="7F7F7F" w:themeColor="text1" w:themeTint="80"/>
          <w:spacing w:val="-3"/>
          <w:sz w:val="20"/>
          <w:szCs w:val="24"/>
          <w:lang w:val="en-GB"/>
        </w:rPr>
        <w:t>.</w:t>
      </w:r>
      <w:r w:rsidR="00B81C8B" w:rsidRPr="00041197">
        <w:rPr>
          <w:rFonts w:cstheme="minorHAnsi"/>
          <w:color w:val="7F7F7F" w:themeColor="text1" w:themeTint="80"/>
          <w:spacing w:val="-3"/>
          <w:sz w:val="20"/>
          <w:szCs w:val="24"/>
          <w:lang w:val="en-GB"/>
        </w:rPr>
        <w:t>3</w:t>
      </w:r>
      <w:r w:rsidR="00E540AB" w:rsidRPr="00041197">
        <w:rPr>
          <w:rFonts w:cstheme="minorHAnsi"/>
          <w:color w:val="7F7F7F" w:themeColor="text1" w:themeTint="80"/>
          <w:spacing w:val="-3"/>
          <w:sz w:val="20"/>
          <w:szCs w:val="24"/>
          <w:lang w:val="en-GB"/>
        </w:rPr>
        <w:t>.</w:t>
      </w:r>
      <w:r w:rsidR="00B81C8B" w:rsidRPr="00041197">
        <w:rPr>
          <w:rFonts w:cstheme="minorHAnsi"/>
          <w:color w:val="7F7F7F" w:themeColor="text1" w:themeTint="80"/>
          <w:spacing w:val="-3"/>
          <w:sz w:val="20"/>
          <w:szCs w:val="24"/>
          <w:lang w:val="en-GB"/>
        </w:rPr>
        <w:t>20</w:t>
      </w:r>
      <w:r w:rsidR="0056041B">
        <w:rPr>
          <w:rFonts w:cstheme="minorHAnsi"/>
          <w:color w:val="7F7F7F" w:themeColor="text1" w:themeTint="80"/>
          <w:spacing w:val="-3"/>
          <w:sz w:val="20"/>
          <w:szCs w:val="24"/>
          <w:lang w:val="en-GB"/>
        </w:rPr>
        <w:t>20</w:t>
      </w:r>
      <w:r w:rsidR="00E540AB" w:rsidRPr="00041197">
        <w:rPr>
          <w:rFonts w:cstheme="minorHAnsi"/>
          <w:color w:val="7F7F7F" w:themeColor="text1" w:themeTint="80"/>
          <w:spacing w:val="-3"/>
          <w:sz w:val="20"/>
          <w:szCs w:val="24"/>
          <w:lang w:val="en-GB"/>
        </w:rPr>
        <w:t>/3</w:t>
      </w:r>
      <w:r w:rsidR="00AF4EE7" w:rsidRPr="00041197">
        <w:rPr>
          <w:rFonts w:cstheme="minorHAnsi"/>
          <w:color w:val="7F7F7F" w:themeColor="text1" w:themeTint="80"/>
          <w:spacing w:val="-3"/>
          <w:sz w:val="20"/>
          <w:szCs w:val="24"/>
          <w:lang w:val="en-GB"/>
        </w:rPr>
        <w:t>1</w:t>
      </w:r>
      <w:r w:rsidR="00E540AB" w:rsidRPr="00041197">
        <w:rPr>
          <w:rFonts w:cstheme="minorHAnsi"/>
          <w:color w:val="7F7F7F" w:themeColor="text1" w:themeTint="80"/>
          <w:spacing w:val="-3"/>
          <w:sz w:val="20"/>
          <w:szCs w:val="24"/>
          <w:lang w:val="en-GB"/>
        </w:rPr>
        <w:t>.</w:t>
      </w:r>
      <w:r w:rsidR="00B81C8B" w:rsidRPr="00041197">
        <w:rPr>
          <w:rFonts w:cstheme="minorHAnsi"/>
          <w:color w:val="7F7F7F" w:themeColor="text1" w:themeTint="80"/>
          <w:spacing w:val="-3"/>
          <w:sz w:val="20"/>
          <w:szCs w:val="24"/>
          <w:lang w:val="en-GB"/>
        </w:rPr>
        <w:t>3</w:t>
      </w:r>
      <w:r w:rsidR="00E540AB" w:rsidRPr="00041197">
        <w:rPr>
          <w:rFonts w:cstheme="minorHAnsi"/>
          <w:color w:val="7F7F7F" w:themeColor="text1" w:themeTint="80"/>
          <w:spacing w:val="-3"/>
          <w:sz w:val="20"/>
          <w:szCs w:val="24"/>
          <w:lang w:val="en-GB"/>
        </w:rPr>
        <w:t>.</w:t>
      </w:r>
      <w:r w:rsidR="00B81C8B" w:rsidRPr="00041197">
        <w:rPr>
          <w:rFonts w:cstheme="minorHAnsi"/>
          <w:color w:val="7F7F7F" w:themeColor="text1" w:themeTint="80"/>
          <w:spacing w:val="-3"/>
          <w:sz w:val="20"/>
          <w:szCs w:val="24"/>
          <w:lang w:val="en-GB"/>
        </w:rPr>
        <w:t>201</w:t>
      </w:r>
      <w:r w:rsidR="0056041B">
        <w:rPr>
          <w:rFonts w:cstheme="minorHAnsi"/>
          <w:color w:val="7F7F7F" w:themeColor="text1" w:themeTint="80"/>
          <w:spacing w:val="-3"/>
          <w:sz w:val="20"/>
          <w:szCs w:val="24"/>
          <w:lang w:val="en-GB"/>
        </w:rPr>
        <w:t>9</w:t>
      </w:r>
    </w:p>
    <w:p w14:paraId="22D6A388" w14:textId="77777777" w:rsidR="00BF17D9" w:rsidRPr="00041197" w:rsidRDefault="00BF17D9" w:rsidP="00BF17D9">
      <w:pPr>
        <w:tabs>
          <w:tab w:val="left" w:pos="-720"/>
        </w:tabs>
        <w:suppressAutoHyphens/>
        <w:spacing w:after="0" w:line="240" w:lineRule="auto"/>
        <w:jc w:val="both"/>
        <w:rPr>
          <w:rFonts w:cstheme="minorHAnsi"/>
          <w:spacing w:val="-3"/>
          <w:sz w:val="20"/>
          <w:szCs w:val="24"/>
          <w:lang w:val="en-GB"/>
        </w:rPr>
      </w:pPr>
    </w:p>
    <w:p w14:paraId="1F4C69B5" w14:textId="77777777" w:rsidR="00BF17D9" w:rsidRPr="00041197" w:rsidRDefault="00BF17D9" w:rsidP="00BF17D9">
      <w:pPr>
        <w:tabs>
          <w:tab w:val="left" w:pos="-720"/>
        </w:tabs>
        <w:suppressAutoHyphens/>
        <w:spacing w:after="0" w:line="240" w:lineRule="auto"/>
        <w:jc w:val="both"/>
        <w:rPr>
          <w:rFonts w:cstheme="minorHAnsi"/>
          <w:spacing w:val="-3"/>
          <w:sz w:val="24"/>
          <w:szCs w:val="24"/>
          <w:lang w:val="en-GB"/>
        </w:rPr>
      </w:pPr>
    </w:p>
    <w:p w14:paraId="517FFB4D" w14:textId="33DB3F65" w:rsidR="00BF17D9" w:rsidRPr="00041197" w:rsidRDefault="00013CB8" w:rsidP="00BF17D9">
      <w:pPr>
        <w:tabs>
          <w:tab w:val="left" w:pos="-720"/>
        </w:tabs>
        <w:suppressAutoHyphens/>
        <w:spacing w:after="0" w:line="240" w:lineRule="auto"/>
        <w:jc w:val="both"/>
        <w:rPr>
          <w:rFonts w:cstheme="minorHAnsi"/>
          <w:spacing w:val="-3"/>
          <w:sz w:val="24"/>
          <w:szCs w:val="24"/>
          <w:lang w:val="en-GB"/>
        </w:rPr>
      </w:pPr>
      <w:r w:rsidRPr="00395073">
        <w:rPr>
          <w:rFonts w:cstheme="minorHAnsi"/>
          <w:spacing w:val="-3"/>
          <w:sz w:val="24"/>
          <w:szCs w:val="24"/>
          <w:lang w:val="en-GB"/>
        </w:rPr>
        <w:t>Foreign currency and foreign currency indexed assets and sources of funds are converted by HBOR into HRK equivalent value by applying the exchange rate of the Croatian National Bank valid at the reporting date</w:t>
      </w:r>
      <w:r w:rsidR="00BF17D9" w:rsidRPr="00041197">
        <w:rPr>
          <w:rFonts w:cstheme="minorHAnsi"/>
          <w:spacing w:val="-3"/>
          <w:sz w:val="24"/>
          <w:szCs w:val="24"/>
          <w:lang w:val="en-GB"/>
        </w:rPr>
        <w:t xml:space="preserve">. </w:t>
      </w:r>
    </w:p>
    <w:p w14:paraId="35D89BCE" w14:textId="77777777" w:rsidR="00BF17D9" w:rsidRPr="00041197" w:rsidRDefault="00BF17D9" w:rsidP="00BF17D9">
      <w:pPr>
        <w:tabs>
          <w:tab w:val="left" w:pos="-720"/>
        </w:tabs>
        <w:suppressAutoHyphens/>
        <w:spacing w:after="0" w:line="240" w:lineRule="auto"/>
        <w:jc w:val="both"/>
        <w:rPr>
          <w:rFonts w:cstheme="minorHAnsi"/>
          <w:spacing w:val="-3"/>
          <w:sz w:val="24"/>
          <w:szCs w:val="24"/>
          <w:lang w:val="en-GB"/>
        </w:rPr>
      </w:pPr>
    </w:p>
    <w:p w14:paraId="51DDF7B7" w14:textId="77777777" w:rsidR="00BF17D9" w:rsidRPr="00041197" w:rsidRDefault="00013CB8" w:rsidP="00BF17D9">
      <w:pPr>
        <w:tabs>
          <w:tab w:val="left" w:pos="-720"/>
        </w:tabs>
        <w:suppressAutoHyphens/>
        <w:spacing w:after="0" w:line="240" w:lineRule="auto"/>
        <w:jc w:val="both"/>
        <w:rPr>
          <w:rFonts w:cstheme="minorHAnsi"/>
          <w:spacing w:val="-3"/>
          <w:sz w:val="24"/>
          <w:szCs w:val="24"/>
          <w:lang w:val="en-GB"/>
        </w:rPr>
      </w:pPr>
      <w:r w:rsidRPr="00395073">
        <w:rPr>
          <w:rFonts w:cstheme="minorHAnsi"/>
          <w:spacing w:val="-3"/>
          <w:sz w:val="24"/>
          <w:szCs w:val="24"/>
          <w:lang w:val="en-GB"/>
        </w:rPr>
        <w:t>Foreign currency revenues and expenditures are converted in accordance with the exchange rate at the transaction date</w:t>
      </w:r>
      <w:r w:rsidR="00BF17D9" w:rsidRPr="00041197">
        <w:rPr>
          <w:rFonts w:cstheme="minorHAnsi"/>
          <w:spacing w:val="-3"/>
          <w:sz w:val="24"/>
          <w:szCs w:val="24"/>
          <w:lang w:val="en-GB"/>
        </w:rPr>
        <w:t xml:space="preserve">. </w:t>
      </w:r>
      <w:r w:rsidRPr="00395073">
        <w:rPr>
          <w:rFonts w:cstheme="minorHAnsi"/>
          <w:spacing w:val="-3"/>
          <w:sz w:val="24"/>
          <w:szCs w:val="24"/>
          <w:lang w:val="en-GB"/>
        </w:rPr>
        <w:t xml:space="preserve">The resulting foreign exchange gains or losses are recorded in the </w:t>
      </w:r>
      <w:r>
        <w:rPr>
          <w:rFonts w:cstheme="minorHAnsi"/>
          <w:spacing w:val="-3"/>
          <w:sz w:val="24"/>
          <w:szCs w:val="24"/>
          <w:lang w:val="en-GB"/>
        </w:rPr>
        <w:t>Profit or Loss Account in net figures</w:t>
      </w:r>
      <w:r w:rsidR="00BF17D9" w:rsidRPr="00041197">
        <w:rPr>
          <w:rFonts w:cstheme="minorHAnsi"/>
          <w:spacing w:val="-3"/>
          <w:sz w:val="24"/>
          <w:szCs w:val="24"/>
          <w:lang w:val="en-GB"/>
        </w:rPr>
        <w:t>.</w:t>
      </w:r>
    </w:p>
    <w:p w14:paraId="635031FE" w14:textId="77777777" w:rsidR="00045721" w:rsidRPr="00041197" w:rsidRDefault="00045721" w:rsidP="00BF17D9">
      <w:pPr>
        <w:spacing w:after="0" w:line="240" w:lineRule="auto"/>
        <w:jc w:val="both"/>
        <w:rPr>
          <w:rFonts w:eastAsia="Times New Roman" w:cs="Calibri"/>
          <w:b/>
          <w:i/>
          <w:sz w:val="24"/>
          <w:szCs w:val="24"/>
          <w:lang w:val="en-GB" w:eastAsia="hr-HR"/>
        </w:rPr>
      </w:pPr>
    </w:p>
    <w:p w14:paraId="169ACECB" w14:textId="77777777" w:rsidR="00045721" w:rsidRPr="00041197" w:rsidRDefault="00045721" w:rsidP="00BF17D9">
      <w:pPr>
        <w:spacing w:after="0" w:line="240" w:lineRule="auto"/>
        <w:jc w:val="both"/>
        <w:rPr>
          <w:rFonts w:eastAsia="Times New Roman" w:cs="Calibri"/>
          <w:b/>
          <w:i/>
          <w:sz w:val="24"/>
          <w:szCs w:val="24"/>
          <w:lang w:val="en-GB" w:eastAsia="hr-HR"/>
        </w:rPr>
        <w:sectPr w:rsidR="00045721" w:rsidRPr="00041197">
          <w:footerReference w:type="default" r:id="rId32"/>
          <w:pgSz w:w="11906" w:h="16838"/>
          <w:pgMar w:top="1417" w:right="1417" w:bottom="1417" w:left="1417" w:header="708" w:footer="708" w:gutter="0"/>
          <w:cols w:space="708"/>
          <w:docGrid w:linePitch="360"/>
        </w:sectPr>
      </w:pPr>
    </w:p>
    <w:p w14:paraId="4BFBFC57" w14:textId="77777777" w:rsidR="00013CB8" w:rsidRPr="00395073" w:rsidRDefault="00013CB8" w:rsidP="00013CB8">
      <w:pPr>
        <w:spacing w:after="0" w:line="240" w:lineRule="auto"/>
        <w:jc w:val="both"/>
        <w:rPr>
          <w:rFonts w:eastAsia="Times New Roman" w:cs="Calibri"/>
          <w:b/>
          <w:i/>
          <w:sz w:val="24"/>
          <w:szCs w:val="24"/>
          <w:lang w:val="en-GB" w:eastAsia="hr-HR"/>
        </w:rPr>
      </w:pPr>
      <w:r w:rsidRPr="00395073">
        <w:rPr>
          <w:rFonts w:eastAsia="Times New Roman" w:cs="Calibri"/>
          <w:b/>
          <w:i/>
          <w:sz w:val="24"/>
          <w:szCs w:val="24"/>
          <w:lang w:val="en-GB" w:eastAsia="hr-HR"/>
        </w:rPr>
        <w:lastRenderedPageBreak/>
        <w:t>Operating expenses</w:t>
      </w:r>
    </w:p>
    <w:p w14:paraId="1D0C7118" w14:textId="77777777" w:rsidR="00BF17D9" w:rsidRPr="00041197" w:rsidRDefault="00BF17D9" w:rsidP="00BF17D9">
      <w:pPr>
        <w:spacing w:after="0" w:line="240" w:lineRule="auto"/>
        <w:jc w:val="both"/>
        <w:rPr>
          <w:rFonts w:eastAsia="Times New Roman" w:cs="Calibri"/>
          <w:b/>
          <w:sz w:val="24"/>
          <w:szCs w:val="24"/>
          <w:lang w:val="en-GB" w:eastAsia="hr-HR"/>
        </w:rPr>
      </w:pPr>
    </w:p>
    <w:p w14:paraId="015B773F" w14:textId="01E37405" w:rsidR="00BF17D9" w:rsidRPr="00B86B0B" w:rsidRDefault="00013CB8" w:rsidP="00BF17D9">
      <w:pPr>
        <w:tabs>
          <w:tab w:val="left" w:pos="-720"/>
        </w:tabs>
        <w:suppressAutoHyphens/>
        <w:spacing w:after="0" w:line="240" w:lineRule="auto"/>
        <w:jc w:val="both"/>
        <w:rPr>
          <w:rFonts w:cstheme="minorHAnsi"/>
          <w:spacing w:val="-3"/>
          <w:sz w:val="24"/>
          <w:szCs w:val="24"/>
          <w:lang w:val="en-GB"/>
        </w:rPr>
      </w:pPr>
      <w:r w:rsidRPr="00B86B0B">
        <w:rPr>
          <w:rFonts w:cstheme="minorHAnsi"/>
          <w:spacing w:val="-3"/>
          <w:sz w:val="24"/>
          <w:szCs w:val="24"/>
          <w:lang w:val="en-GB"/>
        </w:rPr>
        <w:t xml:space="preserve">Operating expenses that include general and administrative expenses and other operating expenses stood at HRK </w:t>
      </w:r>
      <w:r w:rsidR="00F81D85" w:rsidRPr="00B86B0B">
        <w:rPr>
          <w:rFonts w:cstheme="minorHAnsi"/>
          <w:spacing w:val="-3"/>
          <w:sz w:val="24"/>
          <w:szCs w:val="24"/>
          <w:lang w:val="en-GB"/>
        </w:rPr>
        <w:t>3</w:t>
      </w:r>
      <w:r w:rsidR="00B86B0B" w:rsidRPr="00B86B0B">
        <w:rPr>
          <w:rFonts w:cstheme="minorHAnsi"/>
          <w:spacing w:val="-3"/>
          <w:sz w:val="24"/>
          <w:szCs w:val="24"/>
          <w:lang w:val="en-GB"/>
        </w:rPr>
        <w:t>6</w:t>
      </w:r>
      <w:r w:rsidRPr="00B86B0B">
        <w:rPr>
          <w:rFonts w:cstheme="minorHAnsi"/>
          <w:spacing w:val="-3"/>
          <w:sz w:val="24"/>
          <w:szCs w:val="24"/>
          <w:lang w:val="en-GB"/>
        </w:rPr>
        <w:t>.</w:t>
      </w:r>
      <w:r w:rsidR="00B86B0B" w:rsidRPr="00B86B0B">
        <w:rPr>
          <w:rFonts w:cstheme="minorHAnsi"/>
          <w:spacing w:val="-3"/>
          <w:sz w:val="24"/>
          <w:szCs w:val="24"/>
          <w:lang w:val="en-GB"/>
        </w:rPr>
        <w:t>1</w:t>
      </w:r>
      <w:r w:rsidR="00AB02E4" w:rsidRPr="00B86B0B">
        <w:rPr>
          <w:rFonts w:cstheme="minorHAnsi"/>
          <w:spacing w:val="-3"/>
          <w:sz w:val="24"/>
          <w:szCs w:val="24"/>
          <w:lang w:val="en-GB"/>
        </w:rPr>
        <w:t xml:space="preserve"> </w:t>
      </w:r>
      <w:r w:rsidR="00BF17D9" w:rsidRPr="00B86B0B">
        <w:rPr>
          <w:rFonts w:cstheme="minorHAnsi"/>
          <w:spacing w:val="-3"/>
          <w:sz w:val="24"/>
          <w:szCs w:val="24"/>
          <w:lang w:val="en-GB"/>
        </w:rPr>
        <w:t>mil</w:t>
      </w:r>
      <w:r w:rsidRPr="00B86B0B">
        <w:rPr>
          <w:rFonts w:cstheme="minorHAnsi"/>
          <w:spacing w:val="-3"/>
          <w:sz w:val="24"/>
          <w:szCs w:val="24"/>
          <w:lang w:val="en-GB"/>
        </w:rPr>
        <w:t>lion, an increase of</w:t>
      </w:r>
      <w:r w:rsidR="00BF17D9" w:rsidRPr="00B86B0B">
        <w:rPr>
          <w:rFonts w:cstheme="minorHAnsi"/>
          <w:spacing w:val="-3"/>
          <w:sz w:val="24"/>
          <w:szCs w:val="24"/>
          <w:lang w:val="en-GB"/>
        </w:rPr>
        <w:t xml:space="preserve"> </w:t>
      </w:r>
      <w:r w:rsidR="00B86B0B" w:rsidRPr="00B86B0B">
        <w:rPr>
          <w:rFonts w:cstheme="minorHAnsi"/>
          <w:spacing w:val="-3"/>
          <w:sz w:val="24"/>
          <w:szCs w:val="24"/>
          <w:lang w:val="en-GB"/>
        </w:rPr>
        <w:t>2</w:t>
      </w:r>
      <w:r w:rsidRPr="00B86B0B">
        <w:rPr>
          <w:rFonts w:cstheme="minorHAnsi"/>
          <w:spacing w:val="-3"/>
          <w:sz w:val="24"/>
          <w:szCs w:val="24"/>
          <w:lang w:val="en-GB"/>
        </w:rPr>
        <w:t>.</w:t>
      </w:r>
      <w:r w:rsidR="00B86B0B" w:rsidRPr="00B86B0B">
        <w:rPr>
          <w:rFonts w:cstheme="minorHAnsi"/>
          <w:spacing w:val="-3"/>
          <w:sz w:val="24"/>
          <w:szCs w:val="24"/>
          <w:lang w:val="en-GB"/>
        </w:rPr>
        <w:t>3</w:t>
      </w:r>
      <w:r w:rsidR="00710AC0" w:rsidRPr="00B86B0B">
        <w:rPr>
          <w:rFonts w:cstheme="minorHAnsi"/>
          <w:spacing w:val="-3"/>
          <w:sz w:val="24"/>
          <w:szCs w:val="24"/>
          <w:lang w:val="en-GB"/>
        </w:rPr>
        <w:t xml:space="preserve"> </w:t>
      </w:r>
      <w:r w:rsidR="00A3128E" w:rsidRPr="00B86B0B">
        <w:rPr>
          <w:rFonts w:cstheme="minorHAnsi"/>
          <w:spacing w:val="-3"/>
          <w:sz w:val="24"/>
          <w:szCs w:val="24"/>
          <w:lang w:val="en-GB"/>
        </w:rPr>
        <w:t>p</w:t>
      </w:r>
      <w:r w:rsidRPr="00B86B0B">
        <w:rPr>
          <w:rFonts w:cstheme="minorHAnsi"/>
          <w:spacing w:val="-3"/>
          <w:sz w:val="24"/>
          <w:szCs w:val="24"/>
          <w:lang w:val="en-GB"/>
        </w:rPr>
        <w:t>ercent compared with the same reporting period last year</w:t>
      </w:r>
      <w:r w:rsidR="00B86B0B" w:rsidRPr="00B86B0B">
        <w:rPr>
          <w:rFonts w:cstheme="minorHAnsi"/>
          <w:spacing w:val="-3"/>
          <w:sz w:val="24"/>
          <w:szCs w:val="24"/>
          <w:lang w:val="en-GB"/>
        </w:rPr>
        <w:t>.</w:t>
      </w:r>
      <w:r w:rsidR="00B86B0B" w:rsidRPr="00B86B0B">
        <w:rPr>
          <w:rFonts w:ascii="Calibri" w:eastAsia="Calibri" w:hAnsi="Calibri" w:cs="Calibri"/>
          <w:spacing w:val="-3"/>
          <w:sz w:val="24"/>
          <w:szCs w:val="24"/>
          <w:lang w:val="en-GB"/>
        </w:rPr>
        <w:t xml:space="preserve"> This increase is the result of increase in recalculation and write-offs under financial instruments by 64.6 percent. </w:t>
      </w:r>
    </w:p>
    <w:p w14:paraId="2CFA50FA" w14:textId="77777777" w:rsidR="00BF17D9" w:rsidRPr="00041197" w:rsidRDefault="00BF17D9" w:rsidP="00BF17D9">
      <w:pPr>
        <w:tabs>
          <w:tab w:val="left" w:pos="-720"/>
        </w:tabs>
        <w:suppressAutoHyphens/>
        <w:spacing w:after="0" w:line="240" w:lineRule="auto"/>
        <w:jc w:val="both"/>
        <w:rPr>
          <w:rFonts w:cstheme="minorHAnsi"/>
          <w:spacing w:val="-3"/>
          <w:sz w:val="20"/>
          <w:szCs w:val="20"/>
          <w:lang w:val="en-GB"/>
        </w:rPr>
      </w:pPr>
    </w:p>
    <w:p w14:paraId="1A015D4B" w14:textId="7A476EB8" w:rsidR="00013CB8" w:rsidRPr="00DB5770" w:rsidRDefault="00013CB8" w:rsidP="00013CB8">
      <w:pPr>
        <w:jc w:val="both"/>
        <w:rPr>
          <w:sz w:val="24"/>
          <w:szCs w:val="24"/>
          <w:lang w:val="en-GB"/>
        </w:rPr>
      </w:pPr>
      <w:r w:rsidRPr="00DB5770">
        <w:rPr>
          <w:sz w:val="24"/>
          <w:szCs w:val="24"/>
          <w:lang w:val="en-GB"/>
        </w:rPr>
        <w:t>On 31 March 20</w:t>
      </w:r>
      <w:r w:rsidR="00B86B0B">
        <w:rPr>
          <w:sz w:val="24"/>
          <w:szCs w:val="24"/>
          <w:lang w:val="en-GB"/>
        </w:rPr>
        <w:t>20</w:t>
      </w:r>
      <w:r w:rsidRPr="00DB5770">
        <w:rPr>
          <w:sz w:val="24"/>
          <w:szCs w:val="24"/>
          <w:lang w:val="en-GB"/>
        </w:rPr>
        <w:t xml:space="preserve">, </w:t>
      </w:r>
      <w:r>
        <w:rPr>
          <w:sz w:val="24"/>
          <w:szCs w:val="24"/>
          <w:lang w:val="en-GB"/>
        </w:rPr>
        <w:t>HBOR</w:t>
      </w:r>
      <w:r w:rsidRPr="00DB5770">
        <w:rPr>
          <w:sz w:val="24"/>
          <w:szCs w:val="24"/>
          <w:lang w:val="en-GB"/>
        </w:rPr>
        <w:t xml:space="preserve"> had </w:t>
      </w:r>
      <w:r>
        <w:rPr>
          <w:sz w:val="24"/>
          <w:szCs w:val="24"/>
          <w:lang w:val="en-GB"/>
        </w:rPr>
        <w:t>3</w:t>
      </w:r>
      <w:r w:rsidR="00B86B0B">
        <w:rPr>
          <w:sz w:val="24"/>
          <w:szCs w:val="24"/>
          <w:lang w:val="en-GB"/>
        </w:rPr>
        <w:t>74</w:t>
      </w:r>
      <w:r w:rsidRPr="00DB5770">
        <w:rPr>
          <w:sz w:val="24"/>
          <w:szCs w:val="24"/>
          <w:lang w:val="en-GB"/>
        </w:rPr>
        <w:t xml:space="preserve"> employees (on 31 March 201</w:t>
      </w:r>
      <w:r w:rsidR="00B86B0B">
        <w:rPr>
          <w:sz w:val="24"/>
          <w:szCs w:val="24"/>
          <w:lang w:val="en-GB"/>
        </w:rPr>
        <w:t>9</w:t>
      </w:r>
      <w:r w:rsidRPr="00DB5770">
        <w:rPr>
          <w:sz w:val="24"/>
          <w:szCs w:val="24"/>
          <w:lang w:val="en-GB"/>
        </w:rPr>
        <w:t>: 3</w:t>
      </w:r>
      <w:r w:rsidR="00B86B0B">
        <w:rPr>
          <w:sz w:val="24"/>
          <w:szCs w:val="24"/>
          <w:lang w:val="en-GB"/>
        </w:rPr>
        <w:t>67</w:t>
      </w:r>
      <w:r w:rsidRPr="00DB5770">
        <w:rPr>
          <w:sz w:val="24"/>
          <w:szCs w:val="24"/>
          <w:lang w:val="en-GB"/>
        </w:rPr>
        <w:t xml:space="preserve"> employees</w:t>
      </w:r>
      <w:r w:rsidR="001C7CA1">
        <w:rPr>
          <w:sz w:val="24"/>
          <w:szCs w:val="24"/>
          <w:lang w:val="en-GB"/>
        </w:rPr>
        <w:t>)</w:t>
      </w:r>
      <w:r w:rsidRPr="00DB5770">
        <w:rPr>
          <w:sz w:val="24"/>
          <w:szCs w:val="24"/>
          <w:lang w:val="en-GB"/>
        </w:rPr>
        <w:t>.</w:t>
      </w:r>
    </w:p>
    <w:p w14:paraId="4164B663" w14:textId="77777777" w:rsidR="00013CB8" w:rsidRDefault="00013CB8" w:rsidP="00013CB8">
      <w:pPr>
        <w:spacing w:after="0" w:line="240" w:lineRule="auto"/>
        <w:jc w:val="both"/>
        <w:rPr>
          <w:rFonts w:cstheme="minorHAnsi"/>
          <w:sz w:val="24"/>
          <w:szCs w:val="24"/>
          <w:lang w:val="en-GB"/>
        </w:rPr>
      </w:pPr>
    </w:p>
    <w:p w14:paraId="0DD18BF6" w14:textId="77777777" w:rsidR="00615087" w:rsidRPr="00041197" w:rsidRDefault="00615087" w:rsidP="00BF17D9">
      <w:pPr>
        <w:spacing w:after="0" w:line="240" w:lineRule="auto"/>
        <w:jc w:val="both"/>
        <w:rPr>
          <w:rFonts w:eastAsia="Times New Roman" w:cs="Calibri"/>
          <w:b/>
          <w:i/>
          <w:spacing w:val="-3"/>
          <w:sz w:val="20"/>
          <w:szCs w:val="20"/>
          <w:lang w:val="en-GB" w:eastAsia="hr-HR"/>
        </w:rPr>
      </w:pPr>
    </w:p>
    <w:p w14:paraId="3AF30341" w14:textId="77777777" w:rsidR="00471ABD" w:rsidRPr="00395073" w:rsidRDefault="00471ABD" w:rsidP="00471ABD">
      <w:pPr>
        <w:spacing w:after="0" w:line="240" w:lineRule="auto"/>
        <w:jc w:val="both"/>
        <w:rPr>
          <w:rFonts w:eastAsia="Times New Roman" w:cs="Calibri"/>
          <w:b/>
          <w:i/>
          <w:sz w:val="24"/>
          <w:szCs w:val="24"/>
          <w:lang w:val="en-GB" w:eastAsia="hr-HR"/>
        </w:rPr>
      </w:pPr>
      <w:r w:rsidRPr="00395073">
        <w:rPr>
          <w:rFonts w:eastAsia="Times New Roman" w:cs="Calibri"/>
          <w:b/>
          <w:i/>
          <w:spacing w:val="-3"/>
          <w:sz w:val="24"/>
          <w:szCs w:val="24"/>
          <w:lang w:val="en-GB" w:eastAsia="hr-HR"/>
        </w:rPr>
        <w:t>Impairment gain/(loss) and provisions</w:t>
      </w:r>
      <w:r w:rsidRPr="00395073">
        <w:rPr>
          <w:rFonts w:eastAsia="Times New Roman" w:cs="Calibri"/>
          <w:b/>
          <w:i/>
          <w:sz w:val="24"/>
          <w:szCs w:val="24"/>
          <w:lang w:val="en-GB" w:eastAsia="hr-HR"/>
        </w:rPr>
        <w:t xml:space="preserve"> </w:t>
      </w:r>
    </w:p>
    <w:p w14:paraId="17D0B8DF" w14:textId="77777777" w:rsidR="00BF17D9" w:rsidRPr="00041197" w:rsidRDefault="00BF17D9" w:rsidP="00BF17D9">
      <w:pPr>
        <w:spacing w:after="0" w:line="240" w:lineRule="auto"/>
        <w:jc w:val="both"/>
        <w:rPr>
          <w:rFonts w:eastAsia="Times New Roman" w:cs="Calibri"/>
          <w:b/>
          <w:i/>
          <w:sz w:val="20"/>
          <w:szCs w:val="20"/>
          <w:lang w:val="en-GB" w:eastAsia="hr-HR"/>
        </w:rPr>
      </w:pPr>
    </w:p>
    <w:p w14:paraId="737AA70A" w14:textId="77777777" w:rsidR="00081940" w:rsidRPr="00041197" w:rsidRDefault="00081940" w:rsidP="007B069A">
      <w:pPr>
        <w:tabs>
          <w:tab w:val="left" w:pos="-720"/>
        </w:tabs>
        <w:spacing w:after="0" w:line="240" w:lineRule="auto"/>
        <w:jc w:val="both"/>
        <w:rPr>
          <w:rFonts w:cstheme="minorHAnsi"/>
          <w:spacing w:val="-3"/>
          <w:sz w:val="20"/>
          <w:szCs w:val="20"/>
          <w:lang w:val="en-GB"/>
        </w:rPr>
      </w:pPr>
    </w:p>
    <w:p w14:paraId="43672D3C" w14:textId="083625D5" w:rsidR="00C85D58" w:rsidRPr="00041197" w:rsidRDefault="004037B0" w:rsidP="007B069A">
      <w:pPr>
        <w:tabs>
          <w:tab w:val="left" w:pos="-720"/>
        </w:tabs>
        <w:spacing w:after="0" w:line="240" w:lineRule="auto"/>
        <w:jc w:val="both"/>
        <w:rPr>
          <w:rFonts w:cstheme="minorHAnsi"/>
          <w:sz w:val="24"/>
          <w:szCs w:val="24"/>
          <w:lang w:val="en-GB"/>
        </w:rPr>
      </w:pPr>
      <w:r w:rsidRPr="00395073">
        <w:rPr>
          <w:rFonts w:cstheme="minorHAnsi"/>
          <w:spacing w:val="-3"/>
          <w:sz w:val="24"/>
          <w:szCs w:val="24"/>
          <w:lang w:val="en-GB"/>
        </w:rPr>
        <w:t xml:space="preserve">In the reporting period, net expenses from the impairment of placements stood at HRK </w:t>
      </w:r>
      <w:r w:rsidR="004F726B">
        <w:rPr>
          <w:rFonts w:cstheme="minorHAnsi"/>
          <w:spacing w:val="-3"/>
          <w:sz w:val="24"/>
          <w:szCs w:val="24"/>
          <w:lang w:val="en-GB"/>
        </w:rPr>
        <w:t>17</w:t>
      </w:r>
      <w:r>
        <w:rPr>
          <w:rFonts w:cstheme="minorHAnsi"/>
          <w:spacing w:val="-3"/>
          <w:sz w:val="24"/>
          <w:szCs w:val="24"/>
          <w:lang w:val="en-GB"/>
        </w:rPr>
        <w:t>.</w:t>
      </w:r>
      <w:r w:rsidR="004F726B">
        <w:rPr>
          <w:rFonts w:cstheme="minorHAnsi"/>
          <w:spacing w:val="-3"/>
          <w:sz w:val="24"/>
          <w:szCs w:val="24"/>
          <w:lang w:val="en-GB"/>
        </w:rPr>
        <w:t>6</w:t>
      </w:r>
      <w:r w:rsidR="00C85D58" w:rsidRPr="00041197">
        <w:rPr>
          <w:rFonts w:cstheme="minorHAnsi"/>
          <w:spacing w:val="-3"/>
          <w:sz w:val="24"/>
          <w:szCs w:val="24"/>
          <w:lang w:val="en-GB"/>
        </w:rPr>
        <w:t xml:space="preserve"> </w:t>
      </w:r>
      <w:r>
        <w:rPr>
          <w:rFonts w:cstheme="minorHAnsi"/>
          <w:spacing w:val="-3"/>
          <w:sz w:val="24"/>
          <w:szCs w:val="24"/>
          <w:lang w:val="en-GB"/>
        </w:rPr>
        <w:t>million</w:t>
      </w:r>
      <w:r w:rsidR="00C85D58" w:rsidRPr="00041197">
        <w:rPr>
          <w:rFonts w:cstheme="minorHAnsi"/>
          <w:spacing w:val="-3"/>
          <w:sz w:val="24"/>
          <w:szCs w:val="24"/>
          <w:lang w:val="en-GB"/>
        </w:rPr>
        <w:t>.</w:t>
      </w:r>
    </w:p>
    <w:p w14:paraId="683F2EFC" w14:textId="77777777" w:rsidR="00C85D58" w:rsidRPr="00041197" w:rsidRDefault="00C85D58" w:rsidP="00BF17D9">
      <w:pPr>
        <w:tabs>
          <w:tab w:val="left" w:pos="-720"/>
        </w:tabs>
        <w:spacing w:after="0" w:line="240" w:lineRule="auto"/>
        <w:jc w:val="both"/>
        <w:rPr>
          <w:rFonts w:cstheme="minorHAnsi"/>
          <w:spacing w:val="-3"/>
          <w:sz w:val="20"/>
          <w:szCs w:val="20"/>
          <w:lang w:val="en-GB"/>
        </w:rPr>
      </w:pPr>
    </w:p>
    <w:p w14:paraId="5AFA71BB" w14:textId="77777777" w:rsidR="00BF17D9" w:rsidRPr="00041197" w:rsidRDefault="004037B0" w:rsidP="00BF17D9">
      <w:pPr>
        <w:tabs>
          <w:tab w:val="left" w:pos="-720"/>
        </w:tabs>
        <w:spacing w:after="0" w:line="240" w:lineRule="auto"/>
        <w:jc w:val="both"/>
        <w:rPr>
          <w:rFonts w:cstheme="minorHAnsi"/>
          <w:spacing w:val="-3"/>
          <w:sz w:val="24"/>
          <w:szCs w:val="24"/>
          <w:lang w:val="en-GB"/>
        </w:rPr>
      </w:pPr>
      <w:r w:rsidRPr="00395073">
        <w:rPr>
          <w:rFonts w:cstheme="minorHAnsi"/>
          <w:spacing w:val="-3"/>
          <w:sz w:val="24"/>
          <w:szCs w:val="24"/>
          <w:lang w:val="en-GB"/>
        </w:rPr>
        <w:t>The text to follow contains a breakdown of portfolio quality</w:t>
      </w:r>
      <w:r w:rsidR="00BF17D9" w:rsidRPr="00041197">
        <w:rPr>
          <w:rFonts w:cstheme="minorHAnsi"/>
          <w:spacing w:val="-3"/>
          <w:sz w:val="24"/>
          <w:szCs w:val="24"/>
          <w:lang w:val="en-GB"/>
        </w:rPr>
        <w:t>:</w:t>
      </w:r>
      <w:r w:rsidR="008C05EC" w:rsidRPr="00041197">
        <w:rPr>
          <w:lang w:val="en-GB" w:eastAsia="hr-HR"/>
        </w:rPr>
        <w:t xml:space="preserve"> </w:t>
      </w:r>
    </w:p>
    <w:p w14:paraId="54E9FA42" w14:textId="77777777" w:rsidR="005B58C5" w:rsidRPr="00041197" w:rsidRDefault="005B58C5" w:rsidP="00BF17D9">
      <w:pPr>
        <w:tabs>
          <w:tab w:val="left" w:pos="-720"/>
        </w:tabs>
        <w:suppressAutoHyphens/>
        <w:spacing w:after="0" w:line="240" w:lineRule="auto"/>
        <w:jc w:val="both"/>
        <w:rPr>
          <w:lang w:val="en-GB"/>
        </w:rPr>
      </w:pPr>
    </w:p>
    <w:p w14:paraId="2F32A253" w14:textId="77777777" w:rsidR="00A60DAD" w:rsidRPr="00041197" w:rsidRDefault="00A60DAD" w:rsidP="00BF17D9">
      <w:pPr>
        <w:tabs>
          <w:tab w:val="left" w:pos="-720"/>
        </w:tabs>
        <w:suppressAutoHyphens/>
        <w:spacing w:after="0" w:line="240" w:lineRule="auto"/>
        <w:jc w:val="both"/>
        <w:rPr>
          <w:lang w:val="en-GB"/>
        </w:rPr>
      </w:pPr>
    </w:p>
    <w:p w14:paraId="448A16A7" w14:textId="19E6BEA1" w:rsidR="001564EC" w:rsidRPr="00041197" w:rsidRDefault="00BF17D9" w:rsidP="00BF17D9">
      <w:pPr>
        <w:tabs>
          <w:tab w:val="left" w:pos="4536"/>
        </w:tabs>
        <w:spacing w:after="0" w:line="240" w:lineRule="auto"/>
        <w:ind w:right="-285" w:hanging="284"/>
        <w:jc w:val="both"/>
        <w:rPr>
          <w:rFonts w:eastAsia="Times New Roman" w:cs="Calibri"/>
          <w:b/>
          <w:spacing w:val="-3"/>
          <w:sz w:val="24"/>
          <w:szCs w:val="24"/>
          <w:lang w:val="en-GB" w:eastAsia="hr-HR"/>
        </w:rPr>
      </w:pPr>
      <w:r w:rsidRPr="00041197">
        <w:rPr>
          <w:rFonts w:eastAsia="Times New Roman" w:cs="Calibri"/>
          <w:b/>
          <w:spacing w:val="-3"/>
          <w:sz w:val="24"/>
          <w:szCs w:val="24"/>
          <w:lang w:val="en-GB" w:eastAsia="hr-HR"/>
        </w:rPr>
        <w:t xml:space="preserve"> </w:t>
      </w:r>
      <w:r w:rsidR="00DB6E3A">
        <w:rPr>
          <w:rFonts w:eastAsia="Times New Roman" w:cs="Calibri"/>
          <w:b/>
          <w:noProof/>
          <w:spacing w:val="-3"/>
          <w:sz w:val="24"/>
          <w:szCs w:val="24"/>
          <w:lang w:val="en-GB" w:eastAsia="hr-HR"/>
        </w:rPr>
        <w:drawing>
          <wp:inline distT="0" distB="0" distL="0" distR="0" wp14:anchorId="54BFFCD0" wp14:editId="207101D0">
            <wp:extent cx="3016748" cy="2772000"/>
            <wp:effectExtent l="0" t="0" r="0" b="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016748" cy="2772000"/>
                    </a:xfrm>
                    <a:prstGeom prst="rect">
                      <a:avLst/>
                    </a:prstGeom>
                    <a:noFill/>
                  </pic:spPr>
                </pic:pic>
              </a:graphicData>
            </a:graphic>
          </wp:inline>
        </w:drawing>
      </w:r>
      <w:r w:rsidR="0056041B" w:rsidRPr="00041197">
        <w:rPr>
          <w:rFonts w:eastAsia="Times New Roman" w:cs="Calibri"/>
          <w:b/>
          <w:spacing w:val="-3"/>
          <w:sz w:val="24"/>
          <w:szCs w:val="24"/>
          <w:lang w:val="en-GB" w:eastAsia="hr-HR"/>
        </w:rPr>
        <w:t xml:space="preserve">  </w:t>
      </w:r>
      <w:r w:rsidR="00DB6E3A">
        <w:rPr>
          <w:rFonts w:eastAsia="Times New Roman" w:cs="Calibri"/>
          <w:b/>
          <w:noProof/>
          <w:spacing w:val="-3"/>
          <w:sz w:val="24"/>
          <w:szCs w:val="24"/>
          <w:lang w:val="en-GB" w:eastAsia="hr-HR"/>
        </w:rPr>
        <w:drawing>
          <wp:inline distT="0" distB="0" distL="0" distR="0" wp14:anchorId="37BC9DA3" wp14:editId="07361677">
            <wp:extent cx="3011442" cy="2772000"/>
            <wp:effectExtent l="0" t="0" r="0" b="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011442" cy="2772000"/>
                    </a:xfrm>
                    <a:prstGeom prst="rect">
                      <a:avLst/>
                    </a:prstGeom>
                    <a:noFill/>
                  </pic:spPr>
                </pic:pic>
              </a:graphicData>
            </a:graphic>
          </wp:inline>
        </w:drawing>
      </w:r>
      <w:r w:rsidRPr="00041197">
        <w:rPr>
          <w:rFonts w:eastAsia="Times New Roman" w:cs="Calibri"/>
          <w:b/>
          <w:spacing w:val="-3"/>
          <w:sz w:val="24"/>
          <w:szCs w:val="24"/>
          <w:lang w:val="en-GB" w:eastAsia="hr-HR"/>
        </w:rPr>
        <w:t xml:space="preserve"> </w:t>
      </w:r>
    </w:p>
    <w:p w14:paraId="4669B4C4" w14:textId="6922DC48" w:rsidR="00223DA7" w:rsidRPr="00041197" w:rsidRDefault="00A60DAD" w:rsidP="00BF17D9">
      <w:pPr>
        <w:tabs>
          <w:tab w:val="left" w:pos="4536"/>
        </w:tabs>
        <w:spacing w:after="0" w:line="240" w:lineRule="auto"/>
        <w:ind w:right="-285" w:hanging="284"/>
        <w:jc w:val="both"/>
        <w:rPr>
          <w:rFonts w:eastAsia="Times New Roman" w:cs="Calibri"/>
          <w:b/>
          <w:spacing w:val="-3"/>
          <w:sz w:val="24"/>
          <w:szCs w:val="24"/>
          <w:lang w:val="en-GB" w:eastAsia="hr-HR"/>
        </w:rPr>
      </w:pPr>
      <w:r w:rsidRPr="00041197">
        <w:rPr>
          <w:rFonts w:eastAsia="Times New Roman" w:cs="Calibri"/>
          <w:spacing w:val="-3"/>
          <w:sz w:val="18"/>
          <w:szCs w:val="18"/>
          <w:lang w:val="en-GB" w:eastAsia="hr-HR"/>
        </w:rPr>
        <w:t xml:space="preserve"> </w:t>
      </w:r>
    </w:p>
    <w:p w14:paraId="60489B78" w14:textId="7969B3CF" w:rsidR="00F13DAE" w:rsidRPr="00041197" w:rsidRDefault="00F13DAE" w:rsidP="00F13DAE">
      <w:pPr>
        <w:tabs>
          <w:tab w:val="left" w:pos="4536"/>
        </w:tabs>
        <w:spacing w:after="0" w:line="240" w:lineRule="auto"/>
        <w:ind w:right="-285"/>
        <w:jc w:val="both"/>
        <w:rPr>
          <w:rFonts w:eastAsia="Times New Roman" w:cs="Calibri"/>
          <w:spacing w:val="-3"/>
          <w:sz w:val="18"/>
          <w:szCs w:val="18"/>
          <w:lang w:val="en-GB" w:eastAsia="hr-HR"/>
        </w:rPr>
        <w:sectPr w:rsidR="00F13DAE" w:rsidRPr="00041197">
          <w:footerReference w:type="default" r:id="rId35"/>
          <w:pgSz w:w="11906" w:h="16838"/>
          <w:pgMar w:top="1417" w:right="1417" w:bottom="1417" w:left="1417" w:header="708" w:footer="708" w:gutter="0"/>
          <w:cols w:space="708"/>
          <w:docGrid w:linePitch="360"/>
        </w:sectPr>
      </w:pPr>
      <w:r w:rsidRPr="00041197">
        <w:rPr>
          <w:rFonts w:eastAsia="Times New Roman" w:cs="Calibri"/>
          <w:spacing w:val="-3"/>
          <w:sz w:val="18"/>
          <w:szCs w:val="18"/>
          <w:lang w:val="en-GB" w:eastAsia="hr-HR"/>
        </w:rPr>
        <w:t>.</w:t>
      </w:r>
    </w:p>
    <w:p w14:paraId="5C812ED9" w14:textId="77777777" w:rsidR="00BF17D9" w:rsidRPr="00041197" w:rsidRDefault="00BF17D9" w:rsidP="00BF17D9">
      <w:pPr>
        <w:spacing w:after="0" w:line="240" w:lineRule="auto"/>
        <w:rPr>
          <w:rFonts w:eastAsia="Times New Roman" w:cs="Calibri"/>
          <w:b/>
          <w:i/>
          <w:spacing w:val="-3"/>
          <w:sz w:val="24"/>
          <w:szCs w:val="24"/>
          <w:lang w:val="en-GB" w:eastAsia="hr-HR"/>
        </w:rPr>
      </w:pPr>
    </w:p>
    <w:tbl>
      <w:tblPr>
        <w:tblW w:w="9923" w:type="dxa"/>
        <w:tblInd w:w="-176" w:type="dxa"/>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ayout w:type="fixed"/>
        <w:tblLook w:val="04A0" w:firstRow="1" w:lastRow="0" w:firstColumn="1" w:lastColumn="0" w:noHBand="0" w:noVBand="1"/>
      </w:tblPr>
      <w:tblGrid>
        <w:gridCol w:w="2834"/>
        <w:gridCol w:w="2009"/>
        <w:gridCol w:w="1512"/>
        <w:gridCol w:w="1898"/>
        <w:gridCol w:w="1670"/>
      </w:tblGrid>
      <w:tr w:rsidR="00BF17D9" w:rsidRPr="00041197" w14:paraId="6220A69C" w14:textId="77777777" w:rsidTr="007B069A">
        <w:trPr>
          <w:trHeight w:val="420"/>
        </w:trPr>
        <w:tc>
          <w:tcPr>
            <w:tcW w:w="2834" w:type="dxa"/>
            <w:shd w:val="clear" w:color="auto" w:fill="auto"/>
            <w:vAlign w:val="center"/>
            <w:hideMark/>
          </w:tcPr>
          <w:p w14:paraId="62EF1605" w14:textId="77777777" w:rsidR="00BF17D9" w:rsidRPr="00041197" w:rsidRDefault="00BF17D9" w:rsidP="00417B56">
            <w:pPr>
              <w:spacing w:after="0" w:line="240" w:lineRule="auto"/>
              <w:rPr>
                <w:rFonts w:ascii="Times New Roman" w:eastAsia="Times New Roman" w:hAnsi="Times New Roman" w:cs="Times New Roman"/>
                <w:sz w:val="24"/>
                <w:szCs w:val="24"/>
                <w:lang w:val="en-GB" w:eastAsia="hr-HR"/>
              </w:rPr>
            </w:pPr>
          </w:p>
        </w:tc>
        <w:tc>
          <w:tcPr>
            <w:tcW w:w="3521" w:type="dxa"/>
            <w:gridSpan w:val="2"/>
            <w:shd w:val="clear" w:color="auto" w:fill="auto"/>
            <w:vAlign w:val="center"/>
            <w:hideMark/>
          </w:tcPr>
          <w:p w14:paraId="092C99D5" w14:textId="4C3C8963" w:rsidR="00BF17D9" w:rsidRPr="00041197" w:rsidRDefault="00BF17D9" w:rsidP="00417B56">
            <w:pPr>
              <w:spacing w:after="0" w:line="240" w:lineRule="auto"/>
              <w:jc w:val="center"/>
              <w:rPr>
                <w:rFonts w:ascii="Calibri" w:eastAsia="Times New Roman" w:hAnsi="Calibri" w:cs="Times New Roman"/>
                <w:b/>
                <w:bCs/>
                <w:color w:val="000000"/>
                <w:lang w:val="en-GB" w:eastAsia="hr-HR"/>
              </w:rPr>
            </w:pPr>
            <w:r w:rsidRPr="00041197">
              <w:rPr>
                <w:rFonts w:ascii="Calibri" w:eastAsia="Times New Roman" w:hAnsi="Calibri" w:cs="Times New Roman"/>
                <w:b/>
                <w:bCs/>
                <w:color w:val="000000"/>
                <w:lang w:val="en-GB" w:eastAsia="hr-HR"/>
              </w:rPr>
              <w:t>31</w:t>
            </w:r>
            <w:r w:rsidR="004037B0">
              <w:rPr>
                <w:rFonts w:ascii="Calibri" w:eastAsia="Times New Roman" w:hAnsi="Calibri" w:cs="Times New Roman"/>
                <w:b/>
                <w:bCs/>
                <w:color w:val="000000"/>
                <w:lang w:val="en-GB" w:eastAsia="hr-HR"/>
              </w:rPr>
              <w:t xml:space="preserve"> December </w:t>
            </w:r>
            <w:r w:rsidR="00FC3544" w:rsidRPr="00041197">
              <w:rPr>
                <w:rFonts w:ascii="Calibri" w:eastAsia="Times New Roman" w:hAnsi="Calibri" w:cs="Times New Roman"/>
                <w:b/>
                <w:bCs/>
                <w:color w:val="000000"/>
                <w:lang w:val="en-GB" w:eastAsia="hr-HR"/>
              </w:rPr>
              <w:t>201</w:t>
            </w:r>
            <w:r w:rsidR="00B62D78">
              <w:rPr>
                <w:rFonts w:ascii="Calibri" w:eastAsia="Times New Roman" w:hAnsi="Calibri" w:cs="Times New Roman"/>
                <w:b/>
                <w:bCs/>
                <w:color w:val="000000"/>
                <w:lang w:val="en-GB" w:eastAsia="hr-HR"/>
              </w:rPr>
              <w:t>9</w:t>
            </w:r>
          </w:p>
        </w:tc>
        <w:tc>
          <w:tcPr>
            <w:tcW w:w="3568" w:type="dxa"/>
            <w:gridSpan w:val="2"/>
            <w:shd w:val="clear" w:color="auto" w:fill="auto"/>
            <w:vAlign w:val="center"/>
            <w:hideMark/>
          </w:tcPr>
          <w:p w14:paraId="0F1635F5" w14:textId="71458642" w:rsidR="00BF17D9" w:rsidRPr="00041197" w:rsidRDefault="00FC3544">
            <w:pPr>
              <w:spacing w:after="0" w:line="240" w:lineRule="auto"/>
              <w:jc w:val="center"/>
              <w:rPr>
                <w:rFonts w:ascii="Calibri" w:eastAsia="Times New Roman" w:hAnsi="Calibri" w:cs="Times New Roman"/>
                <w:b/>
                <w:bCs/>
                <w:color w:val="000000"/>
                <w:lang w:val="en-GB" w:eastAsia="hr-HR"/>
              </w:rPr>
            </w:pPr>
            <w:r w:rsidRPr="00041197">
              <w:rPr>
                <w:rFonts w:ascii="Calibri" w:eastAsia="Times New Roman" w:hAnsi="Calibri" w:cs="Times New Roman"/>
                <w:b/>
                <w:bCs/>
                <w:color w:val="000000"/>
                <w:lang w:val="en-GB" w:eastAsia="hr-HR"/>
              </w:rPr>
              <w:t>3</w:t>
            </w:r>
            <w:r w:rsidRPr="002A10E9">
              <w:rPr>
                <w:rFonts w:ascii="Calibri" w:eastAsia="Times New Roman" w:hAnsi="Calibri" w:cs="Times New Roman"/>
                <w:b/>
                <w:bCs/>
                <w:color w:val="000000"/>
                <w:lang w:val="en-GB" w:eastAsia="hr-HR"/>
              </w:rPr>
              <w:t>1</w:t>
            </w:r>
            <w:r w:rsidR="004037B0">
              <w:rPr>
                <w:rFonts w:ascii="Calibri" w:eastAsia="Times New Roman" w:hAnsi="Calibri" w:cs="Times New Roman"/>
                <w:b/>
                <w:bCs/>
                <w:color w:val="000000"/>
                <w:lang w:val="en-GB" w:eastAsia="hr-HR"/>
              </w:rPr>
              <w:t xml:space="preserve"> March </w:t>
            </w:r>
            <w:r w:rsidRPr="00041197">
              <w:rPr>
                <w:rFonts w:ascii="Calibri" w:eastAsia="Times New Roman" w:hAnsi="Calibri" w:cs="Times New Roman"/>
                <w:b/>
                <w:bCs/>
                <w:color w:val="000000"/>
                <w:lang w:val="en-GB" w:eastAsia="hr-HR"/>
              </w:rPr>
              <w:t>20</w:t>
            </w:r>
            <w:r w:rsidR="00B62D78">
              <w:rPr>
                <w:rFonts w:ascii="Calibri" w:eastAsia="Times New Roman" w:hAnsi="Calibri" w:cs="Times New Roman"/>
                <w:b/>
                <w:bCs/>
                <w:color w:val="000000"/>
                <w:lang w:val="en-GB" w:eastAsia="hr-HR"/>
              </w:rPr>
              <w:t>20</w:t>
            </w:r>
          </w:p>
        </w:tc>
      </w:tr>
      <w:tr w:rsidR="00BF17D9" w:rsidRPr="00041197" w14:paraId="26F9ED38" w14:textId="77777777" w:rsidTr="007B069A">
        <w:trPr>
          <w:trHeight w:val="873"/>
        </w:trPr>
        <w:tc>
          <w:tcPr>
            <w:tcW w:w="2834" w:type="dxa"/>
            <w:shd w:val="clear" w:color="auto" w:fill="auto"/>
            <w:vAlign w:val="center"/>
            <w:hideMark/>
          </w:tcPr>
          <w:p w14:paraId="19A487C4" w14:textId="77777777" w:rsidR="00BF17D9" w:rsidRPr="00041197" w:rsidRDefault="00BF17D9" w:rsidP="00417B56">
            <w:pPr>
              <w:spacing w:after="0" w:line="240" w:lineRule="auto"/>
              <w:jc w:val="center"/>
              <w:rPr>
                <w:rFonts w:ascii="Calibri" w:eastAsia="Times New Roman" w:hAnsi="Calibri" w:cs="Times New Roman"/>
                <w:b/>
                <w:bCs/>
                <w:color w:val="000000"/>
                <w:lang w:val="en-GB" w:eastAsia="hr-HR"/>
              </w:rPr>
            </w:pPr>
          </w:p>
        </w:tc>
        <w:tc>
          <w:tcPr>
            <w:tcW w:w="2009" w:type="dxa"/>
            <w:shd w:val="clear" w:color="auto" w:fill="auto"/>
            <w:vAlign w:val="center"/>
            <w:hideMark/>
          </w:tcPr>
          <w:p w14:paraId="57F91C8E" w14:textId="77777777" w:rsidR="00BF17D9" w:rsidRPr="00041197" w:rsidRDefault="004037B0" w:rsidP="00417B56">
            <w:pPr>
              <w:spacing w:after="0" w:line="240" w:lineRule="auto"/>
              <w:jc w:val="center"/>
              <w:rPr>
                <w:rFonts w:ascii="Calibri" w:eastAsia="Times New Roman" w:hAnsi="Calibri" w:cs="Times New Roman"/>
                <w:b/>
                <w:bCs/>
                <w:color w:val="000000"/>
                <w:lang w:val="en-GB" w:eastAsia="hr-HR"/>
              </w:rPr>
            </w:pPr>
            <w:r w:rsidRPr="00395073">
              <w:rPr>
                <w:rFonts w:ascii="Calibri" w:eastAsia="Times New Roman" w:hAnsi="Calibri" w:cs="Times New Roman"/>
                <w:b/>
                <w:bCs/>
                <w:color w:val="000000"/>
                <w:lang w:val="en-GB" w:eastAsia="hr-HR"/>
              </w:rPr>
              <w:t>In HRK millions</w:t>
            </w:r>
          </w:p>
        </w:tc>
        <w:tc>
          <w:tcPr>
            <w:tcW w:w="1512" w:type="dxa"/>
            <w:shd w:val="clear" w:color="auto" w:fill="auto"/>
            <w:vAlign w:val="center"/>
            <w:hideMark/>
          </w:tcPr>
          <w:p w14:paraId="0AC94FD4" w14:textId="77777777" w:rsidR="00BF17D9" w:rsidRPr="00041197" w:rsidRDefault="004037B0" w:rsidP="00417B56">
            <w:pPr>
              <w:spacing w:after="0" w:line="240" w:lineRule="auto"/>
              <w:jc w:val="center"/>
              <w:rPr>
                <w:rFonts w:ascii="Calibri" w:eastAsia="Times New Roman" w:hAnsi="Calibri" w:cs="Times New Roman"/>
                <w:b/>
                <w:bCs/>
                <w:color w:val="000000"/>
                <w:lang w:val="en-GB" w:eastAsia="hr-HR"/>
              </w:rPr>
            </w:pPr>
            <w:r w:rsidRPr="00395073">
              <w:rPr>
                <w:rFonts w:ascii="Calibri" w:eastAsia="Times New Roman" w:hAnsi="Calibri" w:cs="Times New Roman"/>
                <w:b/>
                <w:bCs/>
                <w:color w:val="000000"/>
                <w:lang w:val="en-GB" w:eastAsia="hr-HR"/>
              </w:rPr>
              <w:t>Breakdown (percent)</w:t>
            </w:r>
          </w:p>
        </w:tc>
        <w:tc>
          <w:tcPr>
            <w:tcW w:w="1898" w:type="dxa"/>
            <w:shd w:val="clear" w:color="auto" w:fill="auto"/>
            <w:vAlign w:val="center"/>
            <w:hideMark/>
          </w:tcPr>
          <w:p w14:paraId="68081C21" w14:textId="77777777" w:rsidR="00BF17D9" w:rsidRPr="00041197" w:rsidRDefault="004037B0" w:rsidP="00417B56">
            <w:pPr>
              <w:spacing w:after="0" w:line="240" w:lineRule="auto"/>
              <w:jc w:val="center"/>
              <w:rPr>
                <w:rFonts w:ascii="Calibri" w:eastAsia="Times New Roman" w:hAnsi="Calibri" w:cs="Times New Roman"/>
                <w:b/>
                <w:bCs/>
                <w:color w:val="000000"/>
                <w:lang w:val="en-GB" w:eastAsia="hr-HR"/>
              </w:rPr>
            </w:pPr>
            <w:r w:rsidRPr="00395073">
              <w:rPr>
                <w:rFonts w:ascii="Calibri" w:eastAsia="Times New Roman" w:hAnsi="Calibri" w:cs="Times New Roman"/>
                <w:b/>
                <w:bCs/>
                <w:color w:val="000000"/>
                <w:lang w:val="en-GB" w:eastAsia="hr-HR"/>
              </w:rPr>
              <w:t>In HRK millions</w:t>
            </w:r>
          </w:p>
        </w:tc>
        <w:tc>
          <w:tcPr>
            <w:tcW w:w="1670" w:type="dxa"/>
            <w:shd w:val="clear" w:color="auto" w:fill="auto"/>
            <w:vAlign w:val="center"/>
            <w:hideMark/>
          </w:tcPr>
          <w:p w14:paraId="1A2C0CF6" w14:textId="77777777" w:rsidR="00BF17D9" w:rsidRPr="00041197" w:rsidRDefault="004037B0" w:rsidP="00417B56">
            <w:pPr>
              <w:spacing w:after="0" w:line="240" w:lineRule="auto"/>
              <w:jc w:val="center"/>
              <w:rPr>
                <w:rFonts w:ascii="Calibri" w:eastAsia="Times New Roman" w:hAnsi="Calibri" w:cs="Times New Roman"/>
                <w:b/>
                <w:bCs/>
                <w:color w:val="000000"/>
                <w:lang w:val="en-GB" w:eastAsia="hr-HR"/>
              </w:rPr>
            </w:pPr>
            <w:r w:rsidRPr="00395073">
              <w:rPr>
                <w:rFonts w:ascii="Calibri" w:eastAsia="Times New Roman" w:hAnsi="Calibri" w:cs="Times New Roman"/>
                <w:b/>
                <w:bCs/>
                <w:color w:val="000000"/>
                <w:lang w:val="en-GB" w:eastAsia="hr-HR"/>
              </w:rPr>
              <w:t>Breakdown (percent)</w:t>
            </w:r>
          </w:p>
        </w:tc>
      </w:tr>
      <w:tr w:rsidR="00B62D78" w:rsidRPr="00041197" w14:paraId="1E4A6A1D" w14:textId="77777777" w:rsidTr="00B62D78">
        <w:trPr>
          <w:trHeight w:val="411"/>
        </w:trPr>
        <w:tc>
          <w:tcPr>
            <w:tcW w:w="2834" w:type="dxa"/>
            <w:shd w:val="clear" w:color="auto" w:fill="auto"/>
            <w:vAlign w:val="bottom"/>
            <w:hideMark/>
          </w:tcPr>
          <w:p w14:paraId="5D0E4B7E" w14:textId="77777777" w:rsidR="00B62D78" w:rsidRPr="00041197" w:rsidRDefault="00B62D78" w:rsidP="00B62D78">
            <w:pPr>
              <w:spacing w:after="0" w:line="240" w:lineRule="auto"/>
              <w:rPr>
                <w:rFonts w:ascii="Calibri" w:eastAsia="Times New Roman" w:hAnsi="Calibri" w:cs="Times New Roman"/>
                <w:b/>
                <w:bCs/>
                <w:color w:val="000000"/>
                <w:lang w:val="en-GB" w:eastAsia="hr-HR"/>
              </w:rPr>
            </w:pPr>
            <w:r w:rsidRPr="00395073">
              <w:rPr>
                <w:rFonts w:ascii="Calibri" w:eastAsia="Times New Roman" w:hAnsi="Calibri" w:cs="Times New Roman"/>
                <w:b/>
                <w:bCs/>
                <w:color w:val="000000"/>
                <w:lang w:val="en-GB" w:eastAsia="hr-HR"/>
              </w:rPr>
              <w:t>Total gross portfolio</w:t>
            </w:r>
          </w:p>
        </w:tc>
        <w:tc>
          <w:tcPr>
            <w:tcW w:w="2009" w:type="dxa"/>
            <w:tcBorders>
              <w:top w:val="single" w:sz="2" w:space="0" w:color="A6A6A6"/>
              <w:left w:val="single" w:sz="2" w:space="0" w:color="A6A6A6"/>
              <w:bottom w:val="single" w:sz="2" w:space="0" w:color="A6A6A6"/>
              <w:right w:val="single" w:sz="2" w:space="0" w:color="A6A6A6"/>
            </w:tcBorders>
            <w:shd w:val="clear" w:color="auto" w:fill="auto"/>
            <w:vAlign w:val="bottom"/>
          </w:tcPr>
          <w:p w14:paraId="08730BED" w14:textId="19673D78" w:rsidR="00B62D78" w:rsidRPr="00B62D78" w:rsidRDefault="00B62D78" w:rsidP="00B62D78">
            <w:pPr>
              <w:spacing w:after="0" w:line="240" w:lineRule="auto"/>
              <w:jc w:val="center"/>
              <w:rPr>
                <w:rFonts w:ascii="Calibri" w:eastAsia="Times New Roman" w:hAnsi="Calibri" w:cs="Times New Roman"/>
                <w:b/>
                <w:bCs/>
                <w:color w:val="000000"/>
                <w:lang w:val="en-GB" w:eastAsia="hr-HR"/>
              </w:rPr>
            </w:pPr>
            <w:r w:rsidRPr="00B62D78">
              <w:rPr>
                <w:b/>
                <w:bCs/>
              </w:rPr>
              <w:t>34</w:t>
            </w:r>
            <w:r w:rsidR="003D010A">
              <w:rPr>
                <w:b/>
                <w:bCs/>
              </w:rPr>
              <w:t>,</w:t>
            </w:r>
            <w:r w:rsidRPr="00B62D78">
              <w:rPr>
                <w:b/>
                <w:bCs/>
              </w:rPr>
              <w:t>024</w:t>
            </w:r>
            <w:r w:rsidR="003D010A">
              <w:rPr>
                <w:b/>
                <w:bCs/>
              </w:rPr>
              <w:t>.</w:t>
            </w:r>
            <w:r w:rsidRPr="00B62D78">
              <w:rPr>
                <w:b/>
                <w:bCs/>
              </w:rPr>
              <w:t>8</w:t>
            </w:r>
          </w:p>
        </w:tc>
        <w:tc>
          <w:tcPr>
            <w:tcW w:w="1512" w:type="dxa"/>
            <w:tcBorders>
              <w:top w:val="single" w:sz="2" w:space="0" w:color="A6A6A6"/>
              <w:left w:val="single" w:sz="2" w:space="0" w:color="A6A6A6"/>
              <w:bottom w:val="single" w:sz="2" w:space="0" w:color="A6A6A6"/>
              <w:right w:val="single" w:sz="2" w:space="0" w:color="A6A6A6"/>
            </w:tcBorders>
            <w:shd w:val="clear" w:color="auto" w:fill="auto"/>
            <w:vAlign w:val="bottom"/>
          </w:tcPr>
          <w:p w14:paraId="409D2CD5" w14:textId="32BF5FC3" w:rsidR="00B62D78" w:rsidRPr="00B62D78" w:rsidRDefault="00B62D78" w:rsidP="00B62D78">
            <w:pPr>
              <w:spacing w:after="0" w:line="240" w:lineRule="auto"/>
              <w:jc w:val="center"/>
              <w:rPr>
                <w:rFonts w:ascii="Calibri" w:eastAsia="Times New Roman" w:hAnsi="Calibri" w:cs="Times New Roman"/>
                <w:b/>
                <w:bCs/>
                <w:color w:val="000000"/>
                <w:lang w:val="en-GB" w:eastAsia="hr-HR"/>
              </w:rPr>
            </w:pPr>
            <w:r w:rsidRPr="00B62D78">
              <w:rPr>
                <w:b/>
                <w:bCs/>
              </w:rPr>
              <w:t>100</w:t>
            </w:r>
            <w:r w:rsidR="003D010A">
              <w:rPr>
                <w:b/>
                <w:bCs/>
              </w:rPr>
              <w:t>.</w:t>
            </w:r>
            <w:r w:rsidRPr="00B62D78">
              <w:rPr>
                <w:b/>
                <w:bCs/>
              </w:rPr>
              <w:t>00</w:t>
            </w:r>
          </w:p>
        </w:tc>
        <w:tc>
          <w:tcPr>
            <w:tcW w:w="1898" w:type="dxa"/>
            <w:shd w:val="clear" w:color="auto" w:fill="auto"/>
            <w:vAlign w:val="bottom"/>
          </w:tcPr>
          <w:p w14:paraId="68CDC7E2" w14:textId="5717B516" w:rsidR="00B62D78" w:rsidRPr="00B62D78" w:rsidRDefault="00B62D78" w:rsidP="00B62D78">
            <w:pPr>
              <w:spacing w:after="0" w:line="240" w:lineRule="auto"/>
              <w:jc w:val="center"/>
              <w:rPr>
                <w:b/>
                <w:bCs/>
                <w:color w:val="000000"/>
                <w:lang w:val="en-GB"/>
              </w:rPr>
            </w:pPr>
            <w:r w:rsidRPr="00B62D78">
              <w:rPr>
                <w:b/>
                <w:bCs/>
              </w:rPr>
              <w:t>34</w:t>
            </w:r>
            <w:r w:rsidR="003D010A">
              <w:rPr>
                <w:b/>
                <w:bCs/>
              </w:rPr>
              <w:t>,</w:t>
            </w:r>
            <w:r w:rsidRPr="00B62D78">
              <w:rPr>
                <w:b/>
                <w:bCs/>
              </w:rPr>
              <w:t>294</w:t>
            </w:r>
            <w:r w:rsidR="003D010A">
              <w:rPr>
                <w:b/>
                <w:bCs/>
              </w:rPr>
              <w:t>.</w:t>
            </w:r>
            <w:r w:rsidRPr="00B62D78">
              <w:rPr>
                <w:b/>
                <w:bCs/>
              </w:rPr>
              <w:t>2</w:t>
            </w:r>
          </w:p>
        </w:tc>
        <w:tc>
          <w:tcPr>
            <w:tcW w:w="1670" w:type="dxa"/>
            <w:shd w:val="clear" w:color="auto" w:fill="auto"/>
            <w:vAlign w:val="bottom"/>
          </w:tcPr>
          <w:p w14:paraId="397A2782" w14:textId="42590FF7" w:rsidR="00B62D78" w:rsidRPr="00B62D78" w:rsidRDefault="00B62D78" w:rsidP="00B62D78">
            <w:pPr>
              <w:spacing w:after="0" w:line="240" w:lineRule="auto"/>
              <w:jc w:val="center"/>
              <w:rPr>
                <w:b/>
                <w:bCs/>
                <w:color w:val="000000"/>
                <w:lang w:val="en-GB"/>
              </w:rPr>
            </w:pPr>
            <w:r w:rsidRPr="00B62D78">
              <w:rPr>
                <w:b/>
                <w:bCs/>
              </w:rPr>
              <w:t>100</w:t>
            </w:r>
            <w:r w:rsidR="003D010A">
              <w:rPr>
                <w:b/>
                <w:bCs/>
              </w:rPr>
              <w:t>.</w:t>
            </w:r>
            <w:r w:rsidRPr="00B62D78">
              <w:rPr>
                <w:b/>
                <w:bCs/>
              </w:rPr>
              <w:t>00</w:t>
            </w:r>
          </w:p>
        </w:tc>
      </w:tr>
      <w:tr w:rsidR="007F60A8" w:rsidRPr="00041197" w14:paraId="5F3C6CA6" w14:textId="77777777" w:rsidTr="00B62D78">
        <w:trPr>
          <w:trHeight w:val="246"/>
        </w:trPr>
        <w:tc>
          <w:tcPr>
            <w:tcW w:w="2834" w:type="dxa"/>
            <w:shd w:val="clear" w:color="auto" w:fill="auto"/>
            <w:vAlign w:val="bottom"/>
            <w:hideMark/>
          </w:tcPr>
          <w:p w14:paraId="27D5A3BE" w14:textId="77777777" w:rsidR="007F60A8" w:rsidRPr="00041197" w:rsidRDefault="007F60A8" w:rsidP="007F60A8">
            <w:pPr>
              <w:spacing w:after="0" w:line="240" w:lineRule="auto"/>
              <w:rPr>
                <w:rFonts w:ascii="Calibri" w:eastAsia="Times New Roman" w:hAnsi="Calibri" w:cs="Times New Roman"/>
                <w:color w:val="000000"/>
                <w:lang w:val="en-GB" w:eastAsia="hr-HR"/>
              </w:rPr>
            </w:pPr>
            <w:r w:rsidRPr="00041197">
              <w:rPr>
                <w:rFonts w:ascii="Calibri" w:eastAsia="Times New Roman" w:hAnsi="Calibri" w:cs="Times New Roman"/>
                <w:color w:val="000000"/>
                <w:lang w:val="en-GB" w:eastAsia="hr-HR"/>
              </w:rPr>
              <w:t xml:space="preserve"> </w:t>
            </w:r>
            <w:r w:rsidR="004037B0" w:rsidRPr="00395073">
              <w:rPr>
                <w:rFonts w:ascii="Calibri" w:eastAsia="Times New Roman" w:hAnsi="Calibri" w:cs="Times New Roman"/>
                <w:color w:val="000000"/>
                <w:lang w:val="en-GB" w:eastAsia="hr-HR"/>
              </w:rPr>
              <w:t>Of which:</w:t>
            </w:r>
          </w:p>
        </w:tc>
        <w:tc>
          <w:tcPr>
            <w:tcW w:w="2009" w:type="dxa"/>
            <w:tcBorders>
              <w:top w:val="single" w:sz="2" w:space="0" w:color="A6A6A6"/>
              <w:left w:val="single" w:sz="2" w:space="0" w:color="A6A6A6"/>
              <w:bottom w:val="single" w:sz="2" w:space="0" w:color="A6A6A6"/>
              <w:right w:val="single" w:sz="2" w:space="0" w:color="A6A6A6"/>
            </w:tcBorders>
            <w:shd w:val="clear" w:color="auto" w:fill="auto"/>
            <w:vAlign w:val="bottom"/>
          </w:tcPr>
          <w:p w14:paraId="49F77542" w14:textId="77777777" w:rsidR="007F60A8" w:rsidRPr="00041197" w:rsidRDefault="007F60A8" w:rsidP="007F60A8">
            <w:pPr>
              <w:spacing w:after="0" w:line="240" w:lineRule="auto"/>
              <w:jc w:val="center"/>
              <w:rPr>
                <w:rFonts w:ascii="Calibri" w:eastAsia="Times New Roman" w:hAnsi="Calibri" w:cs="Times New Roman"/>
                <w:color w:val="000000"/>
                <w:lang w:val="en-GB" w:eastAsia="hr-HR"/>
              </w:rPr>
            </w:pPr>
          </w:p>
        </w:tc>
        <w:tc>
          <w:tcPr>
            <w:tcW w:w="1512" w:type="dxa"/>
            <w:tcBorders>
              <w:top w:val="single" w:sz="2" w:space="0" w:color="A6A6A6"/>
              <w:left w:val="single" w:sz="2" w:space="0" w:color="A6A6A6"/>
              <w:bottom w:val="single" w:sz="2" w:space="0" w:color="A6A6A6"/>
              <w:right w:val="single" w:sz="2" w:space="0" w:color="A6A6A6"/>
            </w:tcBorders>
            <w:shd w:val="clear" w:color="auto" w:fill="auto"/>
            <w:vAlign w:val="bottom"/>
          </w:tcPr>
          <w:p w14:paraId="355A3886" w14:textId="77777777" w:rsidR="007F60A8" w:rsidRPr="00041197" w:rsidRDefault="007F60A8" w:rsidP="007F60A8">
            <w:pPr>
              <w:spacing w:after="0" w:line="240" w:lineRule="auto"/>
              <w:jc w:val="center"/>
              <w:rPr>
                <w:rFonts w:ascii="Times New Roman" w:eastAsia="Times New Roman" w:hAnsi="Times New Roman" w:cs="Times New Roman"/>
                <w:sz w:val="20"/>
                <w:szCs w:val="20"/>
                <w:lang w:val="en-GB" w:eastAsia="hr-HR"/>
              </w:rPr>
            </w:pPr>
          </w:p>
        </w:tc>
        <w:tc>
          <w:tcPr>
            <w:tcW w:w="1898" w:type="dxa"/>
            <w:shd w:val="clear" w:color="auto" w:fill="auto"/>
            <w:vAlign w:val="bottom"/>
          </w:tcPr>
          <w:p w14:paraId="61373476" w14:textId="77777777" w:rsidR="007F60A8" w:rsidRPr="00041197" w:rsidRDefault="007F60A8" w:rsidP="007F60A8">
            <w:pPr>
              <w:spacing w:after="0" w:line="240" w:lineRule="auto"/>
              <w:jc w:val="center"/>
              <w:rPr>
                <w:b/>
                <w:bCs/>
                <w:color w:val="000000"/>
                <w:lang w:val="en-GB"/>
              </w:rPr>
            </w:pPr>
          </w:p>
        </w:tc>
        <w:tc>
          <w:tcPr>
            <w:tcW w:w="1670" w:type="dxa"/>
            <w:shd w:val="clear" w:color="auto" w:fill="auto"/>
            <w:vAlign w:val="bottom"/>
          </w:tcPr>
          <w:p w14:paraId="1DE46D28" w14:textId="77777777" w:rsidR="007F60A8" w:rsidRPr="00041197" w:rsidRDefault="007F60A8" w:rsidP="007F60A8">
            <w:pPr>
              <w:spacing w:after="0" w:line="240" w:lineRule="auto"/>
              <w:jc w:val="center"/>
              <w:rPr>
                <w:b/>
                <w:bCs/>
                <w:color w:val="000000"/>
                <w:lang w:val="en-GB"/>
              </w:rPr>
            </w:pPr>
          </w:p>
        </w:tc>
      </w:tr>
      <w:tr w:rsidR="00B62D78" w:rsidRPr="00041197" w14:paraId="65170C41" w14:textId="77777777" w:rsidTr="00B62D78">
        <w:trPr>
          <w:trHeight w:val="246"/>
        </w:trPr>
        <w:tc>
          <w:tcPr>
            <w:tcW w:w="2834" w:type="dxa"/>
            <w:shd w:val="clear" w:color="auto" w:fill="auto"/>
            <w:vAlign w:val="bottom"/>
            <w:hideMark/>
          </w:tcPr>
          <w:p w14:paraId="2C210355" w14:textId="77777777" w:rsidR="00B62D78" w:rsidRPr="00041197" w:rsidRDefault="00B62D78" w:rsidP="00B62D78">
            <w:pPr>
              <w:spacing w:after="0" w:line="240" w:lineRule="auto"/>
              <w:rPr>
                <w:rFonts w:ascii="Calibri" w:eastAsia="Times New Roman" w:hAnsi="Calibri" w:cs="Times New Roman"/>
                <w:color w:val="000000"/>
                <w:lang w:val="en-GB" w:eastAsia="hr-HR"/>
              </w:rPr>
            </w:pPr>
            <w:r w:rsidRPr="00041197">
              <w:rPr>
                <w:rFonts w:ascii="Calibri" w:eastAsia="Times New Roman" w:hAnsi="Calibri" w:cs="Times New Roman"/>
                <w:color w:val="000000"/>
                <w:lang w:val="en-GB" w:eastAsia="hr-HR"/>
              </w:rPr>
              <w:t xml:space="preserve">    - financi</w:t>
            </w:r>
            <w:r>
              <w:rPr>
                <w:rFonts w:ascii="Calibri" w:eastAsia="Times New Roman" w:hAnsi="Calibri" w:cs="Times New Roman"/>
                <w:color w:val="000000"/>
                <w:lang w:val="en-GB" w:eastAsia="hr-HR"/>
              </w:rPr>
              <w:t>al institutions</w:t>
            </w:r>
          </w:p>
        </w:tc>
        <w:tc>
          <w:tcPr>
            <w:tcW w:w="2009" w:type="dxa"/>
            <w:tcBorders>
              <w:top w:val="single" w:sz="2" w:space="0" w:color="A6A6A6"/>
              <w:left w:val="single" w:sz="2" w:space="0" w:color="A6A6A6"/>
              <w:bottom w:val="single" w:sz="2" w:space="0" w:color="A6A6A6"/>
              <w:right w:val="single" w:sz="2" w:space="0" w:color="A6A6A6"/>
            </w:tcBorders>
            <w:shd w:val="clear" w:color="auto" w:fill="auto"/>
            <w:vAlign w:val="bottom"/>
          </w:tcPr>
          <w:p w14:paraId="0989A45B" w14:textId="2115E592" w:rsidR="00B62D78" w:rsidRPr="00041197" w:rsidRDefault="00B62D78" w:rsidP="00B62D78">
            <w:pPr>
              <w:spacing w:after="0" w:line="240" w:lineRule="auto"/>
              <w:jc w:val="center"/>
              <w:rPr>
                <w:rFonts w:ascii="Calibri" w:eastAsia="Times New Roman" w:hAnsi="Calibri" w:cs="Times New Roman"/>
                <w:color w:val="000000"/>
                <w:lang w:val="en-GB" w:eastAsia="hr-HR"/>
              </w:rPr>
            </w:pPr>
            <w:r w:rsidRPr="00456CCD">
              <w:t>13</w:t>
            </w:r>
            <w:r w:rsidR="003D010A">
              <w:t>,</w:t>
            </w:r>
            <w:r w:rsidRPr="00456CCD">
              <w:t>186</w:t>
            </w:r>
            <w:r w:rsidR="003D010A">
              <w:t>.</w:t>
            </w:r>
            <w:r w:rsidRPr="00456CCD">
              <w:t>7</w:t>
            </w:r>
          </w:p>
        </w:tc>
        <w:tc>
          <w:tcPr>
            <w:tcW w:w="1512" w:type="dxa"/>
            <w:tcBorders>
              <w:top w:val="single" w:sz="2" w:space="0" w:color="A6A6A6"/>
              <w:left w:val="single" w:sz="2" w:space="0" w:color="A6A6A6"/>
              <w:bottom w:val="single" w:sz="2" w:space="0" w:color="A6A6A6"/>
              <w:right w:val="single" w:sz="2" w:space="0" w:color="A6A6A6"/>
            </w:tcBorders>
            <w:shd w:val="clear" w:color="auto" w:fill="auto"/>
            <w:vAlign w:val="bottom"/>
          </w:tcPr>
          <w:p w14:paraId="0072EDAF" w14:textId="5EB385CB" w:rsidR="00B62D78" w:rsidRPr="00041197" w:rsidRDefault="00B62D78" w:rsidP="00B62D78">
            <w:pPr>
              <w:spacing w:after="0" w:line="240" w:lineRule="auto"/>
              <w:jc w:val="center"/>
              <w:rPr>
                <w:rFonts w:ascii="Calibri" w:eastAsia="Times New Roman" w:hAnsi="Calibri" w:cs="Times New Roman"/>
                <w:color w:val="000000"/>
                <w:lang w:val="en-GB" w:eastAsia="hr-HR"/>
              </w:rPr>
            </w:pPr>
            <w:r w:rsidRPr="00456CCD">
              <w:t>38</w:t>
            </w:r>
            <w:r w:rsidR="003D010A">
              <w:t>.</w:t>
            </w:r>
            <w:r w:rsidRPr="00456CCD">
              <w:t>8</w:t>
            </w:r>
          </w:p>
        </w:tc>
        <w:tc>
          <w:tcPr>
            <w:tcW w:w="1898" w:type="dxa"/>
            <w:shd w:val="clear" w:color="auto" w:fill="auto"/>
            <w:vAlign w:val="bottom"/>
          </w:tcPr>
          <w:p w14:paraId="54151602" w14:textId="17A9ACC2" w:rsidR="00B62D78" w:rsidRPr="00041197" w:rsidRDefault="00B62D78" w:rsidP="00B62D78">
            <w:pPr>
              <w:spacing w:after="0" w:line="240" w:lineRule="auto"/>
              <w:jc w:val="center"/>
              <w:rPr>
                <w:bCs/>
                <w:color w:val="000000"/>
                <w:lang w:val="en-GB"/>
              </w:rPr>
            </w:pPr>
            <w:r w:rsidRPr="00456CCD">
              <w:t>13</w:t>
            </w:r>
            <w:r w:rsidR="00277B1C">
              <w:t>,</w:t>
            </w:r>
            <w:r w:rsidRPr="00456CCD">
              <w:t>368</w:t>
            </w:r>
            <w:r w:rsidR="003D010A">
              <w:t>.</w:t>
            </w:r>
            <w:r w:rsidRPr="00456CCD">
              <w:t>2</w:t>
            </w:r>
          </w:p>
        </w:tc>
        <w:tc>
          <w:tcPr>
            <w:tcW w:w="1670" w:type="dxa"/>
            <w:shd w:val="clear" w:color="auto" w:fill="auto"/>
            <w:vAlign w:val="bottom"/>
          </w:tcPr>
          <w:p w14:paraId="47FA36D9" w14:textId="1A215BE1" w:rsidR="00B62D78" w:rsidRPr="00041197" w:rsidRDefault="00B62D78" w:rsidP="00B62D78">
            <w:pPr>
              <w:spacing w:after="0" w:line="240" w:lineRule="auto"/>
              <w:jc w:val="center"/>
              <w:rPr>
                <w:color w:val="000000"/>
                <w:lang w:val="en-GB"/>
              </w:rPr>
            </w:pPr>
            <w:r w:rsidRPr="00456CCD">
              <w:t>39</w:t>
            </w:r>
            <w:r w:rsidR="003D010A">
              <w:t>.</w:t>
            </w:r>
            <w:r w:rsidRPr="00456CCD">
              <w:t>0</w:t>
            </w:r>
          </w:p>
        </w:tc>
      </w:tr>
      <w:tr w:rsidR="00B62D78" w:rsidRPr="00041197" w14:paraId="0E95952C" w14:textId="77777777" w:rsidTr="00B62D78">
        <w:trPr>
          <w:trHeight w:val="205"/>
        </w:trPr>
        <w:tc>
          <w:tcPr>
            <w:tcW w:w="2834" w:type="dxa"/>
            <w:shd w:val="clear" w:color="auto" w:fill="auto"/>
            <w:vAlign w:val="bottom"/>
            <w:hideMark/>
          </w:tcPr>
          <w:p w14:paraId="403E0942" w14:textId="77777777" w:rsidR="00B62D78" w:rsidRPr="00041197" w:rsidRDefault="00B62D78" w:rsidP="00B62D78">
            <w:pPr>
              <w:spacing w:after="0" w:line="240" w:lineRule="auto"/>
              <w:rPr>
                <w:rFonts w:ascii="Calibri" w:eastAsia="Times New Roman" w:hAnsi="Calibri" w:cs="Times New Roman"/>
                <w:color w:val="000000"/>
                <w:lang w:val="en-GB" w:eastAsia="hr-HR"/>
              </w:rPr>
            </w:pPr>
            <w:r w:rsidRPr="00041197">
              <w:rPr>
                <w:rFonts w:ascii="Calibri" w:eastAsia="Times New Roman" w:hAnsi="Calibri" w:cs="Times New Roman"/>
                <w:color w:val="000000"/>
                <w:lang w:val="en-GB" w:eastAsia="hr-HR"/>
              </w:rPr>
              <w:t xml:space="preserve">    - dire</w:t>
            </w:r>
            <w:r>
              <w:rPr>
                <w:rFonts w:ascii="Calibri" w:eastAsia="Times New Roman" w:hAnsi="Calibri" w:cs="Times New Roman"/>
                <w:color w:val="000000"/>
                <w:lang w:val="en-GB" w:eastAsia="hr-HR"/>
              </w:rPr>
              <w:t>ct</w:t>
            </w:r>
          </w:p>
        </w:tc>
        <w:tc>
          <w:tcPr>
            <w:tcW w:w="2009" w:type="dxa"/>
            <w:tcBorders>
              <w:top w:val="single" w:sz="2" w:space="0" w:color="A6A6A6"/>
              <w:left w:val="single" w:sz="2" w:space="0" w:color="A6A6A6"/>
              <w:bottom w:val="single" w:sz="2" w:space="0" w:color="A6A6A6"/>
              <w:right w:val="single" w:sz="2" w:space="0" w:color="A6A6A6"/>
            </w:tcBorders>
            <w:shd w:val="clear" w:color="auto" w:fill="auto"/>
            <w:vAlign w:val="bottom"/>
          </w:tcPr>
          <w:p w14:paraId="26F5F52E" w14:textId="3F94AD89" w:rsidR="00B62D78" w:rsidRPr="00041197" w:rsidRDefault="00B62D78" w:rsidP="00B62D78">
            <w:pPr>
              <w:spacing w:after="0" w:line="240" w:lineRule="auto"/>
              <w:jc w:val="center"/>
              <w:rPr>
                <w:rFonts w:ascii="Calibri" w:eastAsia="Times New Roman" w:hAnsi="Calibri" w:cs="Times New Roman"/>
                <w:color w:val="000000"/>
                <w:lang w:val="en-GB" w:eastAsia="hr-HR"/>
              </w:rPr>
            </w:pPr>
            <w:r w:rsidRPr="00456CCD">
              <w:t>20</w:t>
            </w:r>
            <w:r w:rsidR="003D010A">
              <w:t>,</w:t>
            </w:r>
            <w:r w:rsidRPr="00456CCD">
              <w:t>838</w:t>
            </w:r>
            <w:r w:rsidR="003D010A">
              <w:t>.</w:t>
            </w:r>
            <w:r w:rsidRPr="00456CCD">
              <w:t>1</w:t>
            </w:r>
          </w:p>
        </w:tc>
        <w:tc>
          <w:tcPr>
            <w:tcW w:w="1512" w:type="dxa"/>
            <w:tcBorders>
              <w:top w:val="single" w:sz="2" w:space="0" w:color="A6A6A6"/>
              <w:left w:val="single" w:sz="2" w:space="0" w:color="A6A6A6"/>
              <w:bottom w:val="single" w:sz="2" w:space="0" w:color="A6A6A6"/>
              <w:right w:val="single" w:sz="2" w:space="0" w:color="A6A6A6"/>
            </w:tcBorders>
            <w:shd w:val="clear" w:color="auto" w:fill="auto"/>
            <w:vAlign w:val="bottom"/>
          </w:tcPr>
          <w:p w14:paraId="44CBB523" w14:textId="09AD3715" w:rsidR="00B62D78" w:rsidRPr="00041197" w:rsidRDefault="00B62D78" w:rsidP="00B62D78">
            <w:pPr>
              <w:spacing w:after="0" w:line="240" w:lineRule="auto"/>
              <w:jc w:val="center"/>
              <w:rPr>
                <w:rFonts w:ascii="Calibri" w:eastAsia="Times New Roman" w:hAnsi="Calibri" w:cs="Times New Roman"/>
                <w:color w:val="000000"/>
                <w:lang w:val="en-GB" w:eastAsia="hr-HR"/>
              </w:rPr>
            </w:pPr>
            <w:r w:rsidRPr="00456CCD">
              <w:t>61</w:t>
            </w:r>
            <w:r w:rsidR="003D010A">
              <w:t>.</w:t>
            </w:r>
            <w:r w:rsidRPr="00456CCD">
              <w:t>2</w:t>
            </w:r>
          </w:p>
        </w:tc>
        <w:tc>
          <w:tcPr>
            <w:tcW w:w="1898" w:type="dxa"/>
            <w:shd w:val="clear" w:color="auto" w:fill="auto"/>
            <w:vAlign w:val="bottom"/>
          </w:tcPr>
          <w:p w14:paraId="55F0C7DF" w14:textId="1C4E66F7" w:rsidR="00B62D78" w:rsidRPr="00041197" w:rsidRDefault="00B62D78" w:rsidP="00B62D78">
            <w:pPr>
              <w:spacing w:after="0" w:line="240" w:lineRule="auto"/>
              <w:jc w:val="center"/>
              <w:rPr>
                <w:bCs/>
                <w:color w:val="000000"/>
                <w:lang w:val="en-GB"/>
              </w:rPr>
            </w:pPr>
            <w:r w:rsidRPr="00456CCD">
              <w:t>20</w:t>
            </w:r>
            <w:r w:rsidR="003D010A">
              <w:t>,</w:t>
            </w:r>
            <w:r w:rsidRPr="00456CCD">
              <w:t>926</w:t>
            </w:r>
            <w:r w:rsidR="003D010A">
              <w:t>.</w:t>
            </w:r>
            <w:r w:rsidRPr="00456CCD">
              <w:t>0</w:t>
            </w:r>
          </w:p>
        </w:tc>
        <w:tc>
          <w:tcPr>
            <w:tcW w:w="1670" w:type="dxa"/>
            <w:shd w:val="clear" w:color="auto" w:fill="auto"/>
            <w:vAlign w:val="bottom"/>
          </w:tcPr>
          <w:p w14:paraId="11308CC8" w14:textId="68D73A47" w:rsidR="00B62D78" w:rsidRPr="00041197" w:rsidRDefault="00B62D78" w:rsidP="00B62D78">
            <w:pPr>
              <w:spacing w:after="0" w:line="240" w:lineRule="auto"/>
              <w:jc w:val="center"/>
              <w:rPr>
                <w:color w:val="000000"/>
                <w:lang w:val="en-GB"/>
              </w:rPr>
            </w:pPr>
            <w:r w:rsidRPr="00456CCD">
              <w:t>61</w:t>
            </w:r>
            <w:r w:rsidR="003D010A">
              <w:t>.</w:t>
            </w:r>
            <w:r w:rsidRPr="00456CCD">
              <w:t>0</w:t>
            </w:r>
          </w:p>
        </w:tc>
      </w:tr>
      <w:tr w:rsidR="007F60A8" w:rsidRPr="00041197" w14:paraId="10D06E64" w14:textId="77777777" w:rsidTr="00B62D78">
        <w:trPr>
          <w:trHeight w:val="205"/>
        </w:trPr>
        <w:tc>
          <w:tcPr>
            <w:tcW w:w="2834" w:type="dxa"/>
            <w:shd w:val="clear" w:color="auto" w:fill="auto"/>
            <w:vAlign w:val="bottom"/>
            <w:hideMark/>
          </w:tcPr>
          <w:p w14:paraId="1B887B86" w14:textId="77777777" w:rsidR="007F60A8" w:rsidRPr="00041197" w:rsidRDefault="007F60A8" w:rsidP="007F60A8">
            <w:pPr>
              <w:spacing w:after="0" w:line="240" w:lineRule="auto"/>
              <w:rPr>
                <w:rFonts w:ascii="Calibri" w:eastAsia="Times New Roman" w:hAnsi="Calibri" w:cs="Times New Roman"/>
                <w:color w:val="000000"/>
                <w:lang w:val="en-GB" w:eastAsia="hr-HR"/>
              </w:rPr>
            </w:pPr>
          </w:p>
        </w:tc>
        <w:tc>
          <w:tcPr>
            <w:tcW w:w="2009" w:type="dxa"/>
            <w:tcBorders>
              <w:top w:val="single" w:sz="2" w:space="0" w:color="A6A6A6"/>
              <w:left w:val="single" w:sz="2" w:space="0" w:color="A6A6A6"/>
              <w:bottom w:val="single" w:sz="2" w:space="0" w:color="A6A6A6"/>
              <w:right w:val="single" w:sz="2" w:space="0" w:color="A6A6A6"/>
            </w:tcBorders>
            <w:shd w:val="clear" w:color="auto" w:fill="auto"/>
            <w:vAlign w:val="bottom"/>
          </w:tcPr>
          <w:p w14:paraId="5DF7828B" w14:textId="77777777" w:rsidR="007F60A8" w:rsidRPr="00041197" w:rsidRDefault="007F60A8" w:rsidP="007F60A8">
            <w:pPr>
              <w:spacing w:after="0" w:line="240" w:lineRule="auto"/>
              <w:jc w:val="center"/>
              <w:rPr>
                <w:rFonts w:ascii="Times New Roman" w:eastAsia="Times New Roman" w:hAnsi="Times New Roman" w:cs="Times New Roman"/>
                <w:sz w:val="20"/>
                <w:szCs w:val="20"/>
                <w:lang w:val="en-GB" w:eastAsia="hr-HR"/>
              </w:rPr>
            </w:pPr>
          </w:p>
        </w:tc>
        <w:tc>
          <w:tcPr>
            <w:tcW w:w="1512" w:type="dxa"/>
            <w:tcBorders>
              <w:top w:val="single" w:sz="2" w:space="0" w:color="A6A6A6"/>
              <w:left w:val="single" w:sz="2" w:space="0" w:color="A6A6A6"/>
              <w:bottom w:val="single" w:sz="2" w:space="0" w:color="A6A6A6"/>
              <w:right w:val="single" w:sz="2" w:space="0" w:color="A6A6A6"/>
            </w:tcBorders>
            <w:shd w:val="clear" w:color="auto" w:fill="auto"/>
            <w:vAlign w:val="bottom"/>
          </w:tcPr>
          <w:p w14:paraId="7B57F78B" w14:textId="77777777" w:rsidR="007F60A8" w:rsidRPr="00041197" w:rsidRDefault="007F60A8" w:rsidP="007F60A8">
            <w:pPr>
              <w:spacing w:after="0" w:line="240" w:lineRule="auto"/>
              <w:jc w:val="center"/>
              <w:rPr>
                <w:rFonts w:ascii="Times New Roman" w:eastAsia="Times New Roman" w:hAnsi="Times New Roman" w:cs="Times New Roman"/>
                <w:sz w:val="20"/>
                <w:szCs w:val="20"/>
                <w:lang w:val="en-GB" w:eastAsia="hr-HR"/>
              </w:rPr>
            </w:pPr>
          </w:p>
        </w:tc>
        <w:tc>
          <w:tcPr>
            <w:tcW w:w="1898" w:type="dxa"/>
            <w:shd w:val="clear" w:color="auto" w:fill="auto"/>
            <w:vAlign w:val="bottom"/>
          </w:tcPr>
          <w:p w14:paraId="78C082A8" w14:textId="77777777" w:rsidR="007F60A8" w:rsidRPr="00041197" w:rsidRDefault="007F60A8" w:rsidP="007F60A8">
            <w:pPr>
              <w:spacing w:after="0" w:line="240" w:lineRule="auto"/>
              <w:jc w:val="center"/>
              <w:rPr>
                <w:b/>
                <w:bCs/>
                <w:color w:val="000000"/>
                <w:lang w:val="en-GB"/>
              </w:rPr>
            </w:pPr>
          </w:p>
        </w:tc>
        <w:tc>
          <w:tcPr>
            <w:tcW w:w="1670" w:type="dxa"/>
            <w:shd w:val="clear" w:color="auto" w:fill="auto"/>
            <w:vAlign w:val="bottom"/>
          </w:tcPr>
          <w:p w14:paraId="0C616E48" w14:textId="77777777" w:rsidR="007F60A8" w:rsidRPr="00041197" w:rsidRDefault="007F60A8" w:rsidP="007F60A8">
            <w:pPr>
              <w:spacing w:after="0" w:line="240" w:lineRule="auto"/>
              <w:jc w:val="center"/>
              <w:rPr>
                <w:color w:val="000000"/>
                <w:lang w:val="en-GB"/>
              </w:rPr>
            </w:pPr>
          </w:p>
        </w:tc>
      </w:tr>
      <w:tr w:rsidR="00B62D78" w:rsidRPr="00041197" w14:paraId="319F6841" w14:textId="77777777" w:rsidTr="00B62D78">
        <w:trPr>
          <w:trHeight w:val="375"/>
        </w:trPr>
        <w:tc>
          <w:tcPr>
            <w:tcW w:w="2834" w:type="dxa"/>
            <w:shd w:val="clear" w:color="auto" w:fill="auto"/>
            <w:vAlign w:val="bottom"/>
            <w:hideMark/>
          </w:tcPr>
          <w:p w14:paraId="2727A894" w14:textId="77777777" w:rsidR="00B62D78" w:rsidRPr="00041197" w:rsidRDefault="00B62D78" w:rsidP="00B62D78">
            <w:pPr>
              <w:spacing w:after="0" w:line="240" w:lineRule="auto"/>
              <w:rPr>
                <w:rFonts w:ascii="Calibri" w:eastAsia="Times New Roman" w:hAnsi="Calibri" w:cs="Times New Roman"/>
                <w:b/>
                <w:bCs/>
                <w:color w:val="000000"/>
                <w:lang w:val="en-GB" w:eastAsia="hr-HR"/>
              </w:rPr>
            </w:pPr>
            <w:r w:rsidRPr="00395073">
              <w:rPr>
                <w:rFonts w:ascii="Calibri" w:eastAsia="Times New Roman" w:hAnsi="Calibri" w:cs="Times New Roman"/>
                <w:b/>
                <w:bCs/>
                <w:color w:val="000000"/>
                <w:lang w:val="en-GB" w:eastAsia="hr-HR"/>
              </w:rPr>
              <w:t>Total provisions</w:t>
            </w:r>
          </w:p>
        </w:tc>
        <w:tc>
          <w:tcPr>
            <w:tcW w:w="2009" w:type="dxa"/>
            <w:tcBorders>
              <w:top w:val="single" w:sz="2" w:space="0" w:color="A6A6A6"/>
              <w:left w:val="single" w:sz="2" w:space="0" w:color="A6A6A6"/>
              <w:bottom w:val="single" w:sz="2" w:space="0" w:color="A6A6A6"/>
              <w:right w:val="single" w:sz="2" w:space="0" w:color="A6A6A6"/>
            </w:tcBorders>
            <w:shd w:val="clear" w:color="auto" w:fill="auto"/>
            <w:vAlign w:val="bottom"/>
          </w:tcPr>
          <w:p w14:paraId="377AFCB9" w14:textId="570B3994" w:rsidR="00B62D78" w:rsidRPr="00B62D78" w:rsidRDefault="00B62D78" w:rsidP="00B62D78">
            <w:pPr>
              <w:spacing w:after="0" w:line="240" w:lineRule="auto"/>
              <w:jc w:val="center"/>
              <w:rPr>
                <w:rFonts w:ascii="Calibri" w:eastAsia="Times New Roman" w:hAnsi="Calibri" w:cs="Times New Roman"/>
                <w:b/>
                <w:bCs/>
                <w:color w:val="000000"/>
                <w:lang w:val="en-GB" w:eastAsia="hr-HR"/>
              </w:rPr>
            </w:pPr>
            <w:r w:rsidRPr="00B62D78">
              <w:rPr>
                <w:b/>
                <w:bCs/>
              </w:rPr>
              <w:t>3</w:t>
            </w:r>
            <w:r w:rsidR="003D010A">
              <w:rPr>
                <w:b/>
                <w:bCs/>
              </w:rPr>
              <w:t>,</w:t>
            </w:r>
            <w:r w:rsidRPr="00B62D78">
              <w:rPr>
                <w:b/>
                <w:bCs/>
              </w:rPr>
              <w:t>518</w:t>
            </w:r>
            <w:r w:rsidR="003D010A">
              <w:rPr>
                <w:b/>
                <w:bCs/>
              </w:rPr>
              <w:t>.</w:t>
            </w:r>
            <w:r w:rsidRPr="00B62D78">
              <w:rPr>
                <w:b/>
                <w:bCs/>
              </w:rPr>
              <w:t>7</w:t>
            </w:r>
          </w:p>
        </w:tc>
        <w:tc>
          <w:tcPr>
            <w:tcW w:w="1512" w:type="dxa"/>
            <w:tcBorders>
              <w:top w:val="single" w:sz="2" w:space="0" w:color="A6A6A6"/>
              <w:left w:val="single" w:sz="2" w:space="0" w:color="A6A6A6"/>
              <w:bottom w:val="single" w:sz="2" w:space="0" w:color="A6A6A6"/>
              <w:right w:val="single" w:sz="2" w:space="0" w:color="A6A6A6"/>
            </w:tcBorders>
            <w:shd w:val="clear" w:color="auto" w:fill="auto"/>
            <w:noWrap/>
            <w:vAlign w:val="bottom"/>
          </w:tcPr>
          <w:p w14:paraId="043E1F93" w14:textId="547E38F1" w:rsidR="00B62D78" w:rsidRPr="00B62D78" w:rsidRDefault="00B62D78" w:rsidP="00B62D78">
            <w:pPr>
              <w:spacing w:after="0" w:line="240" w:lineRule="auto"/>
              <w:jc w:val="center"/>
              <w:rPr>
                <w:rFonts w:ascii="Calibri" w:eastAsia="Times New Roman" w:hAnsi="Calibri" w:cs="Times New Roman"/>
                <w:b/>
                <w:bCs/>
                <w:color w:val="000000"/>
                <w:lang w:val="en-GB" w:eastAsia="hr-HR"/>
              </w:rPr>
            </w:pPr>
            <w:r w:rsidRPr="00B62D78">
              <w:rPr>
                <w:b/>
                <w:bCs/>
              </w:rPr>
              <w:t>100</w:t>
            </w:r>
            <w:r w:rsidR="003D010A">
              <w:rPr>
                <w:b/>
                <w:bCs/>
              </w:rPr>
              <w:t>.</w:t>
            </w:r>
            <w:r w:rsidRPr="00B62D78">
              <w:rPr>
                <w:b/>
                <w:bCs/>
              </w:rPr>
              <w:t>00</w:t>
            </w:r>
          </w:p>
        </w:tc>
        <w:tc>
          <w:tcPr>
            <w:tcW w:w="1898" w:type="dxa"/>
            <w:shd w:val="clear" w:color="auto" w:fill="auto"/>
            <w:vAlign w:val="bottom"/>
          </w:tcPr>
          <w:p w14:paraId="5E4E0020" w14:textId="58011E0C" w:rsidR="00B62D78" w:rsidRPr="00B62D78" w:rsidRDefault="00B62D78" w:rsidP="00B62D78">
            <w:pPr>
              <w:spacing w:after="0" w:line="240" w:lineRule="auto"/>
              <w:jc w:val="center"/>
              <w:rPr>
                <w:b/>
                <w:bCs/>
                <w:color w:val="000000"/>
                <w:lang w:val="en-GB"/>
              </w:rPr>
            </w:pPr>
            <w:r w:rsidRPr="00B62D78">
              <w:rPr>
                <w:b/>
                <w:bCs/>
              </w:rPr>
              <w:t>3</w:t>
            </w:r>
            <w:r w:rsidR="003D010A">
              <w:rPr>
                <w:b/>
                <w:bCs/>
              </w:rPr>
              <w:t>,</w:t>
            </w:r>
            <w:r w:rsidRPr="00B62D78">
              <w:rPr>
                <w:b/>
                <w:bCs/>
              </w:rPr>
              <w:t>544</w:t>
            </w:r>
            <w:r w:rsidR="003D010A">
              <w:rPr>
                <w:b/>
                <w:bCs/>
              </w:rPr>
              <w:t>.</w:t>
            </w:r>
            <w:r w:rsidRPr="00B62D78">
              <w:rPr>
                <w:b/>
                <w:bCs/>
              </w:rPr>
              <w:t>1</w:t>
            </w:r>
          </w:p>
        </w:tc>
        <w:tc>
          <w:tcPr>
            <w:tcW w:w="1670" w:type="dxa"/>
            <w:shd w:val="clear" w:color="auto" w:fill="auto"/>
            <w:noWrap/>
            <w:vAlign w:val="bottom"/>
          </w:tcPr>
          <w:p w14:paraId="7167AE87" w14:textId="69875868" w:rsidR="00B62D78" w:rsidRPr="00B62D78" w:rsidRDefault="00B62D78" w:rsidP="00B62D78">
            <w:pPr>
              <w:spacing w:after="0" w:line="240" w:lineRule="auto"/>
              <w:jc w:val="center"/>
              <w:rPr>
                <w:b/>
                <w:bCs/>
                <w:color w:val="000000"/>
                <w:lang w:val="en-GB"/>
              </w:rPr>
            </w:pPr>
            <w:r w:rsidRPr="00B62D78">
              <w:rPr>
                <w:b/>
                <w:bCs/>
              </w:rPr>
              <w:t>100</w:t>
            </w:r>
            <w:r w:rsidR="003D010A">
              <w:rPr>
                <w:b/>
                <w:bCs/>
              </w:rPr>
              <w:t>.</w:t>
            </w:r>
            <w:r w:rsidRPr="00B62D78">
              <w:rPr>
                <w:b/>
                <w:bCs/>
              </w:rPr>
              <w:t>00</w:t>
            </w:r>
          </w:p>
        </w:tc>
      </w:tr>
      <w:tr w:rsidR="007F60A8" w:rsidRPr="00041197" w14:paraId="30CF77C5" w14:textId="77777777" w:rsidTr="00B62D78">
        <w:trPr>
          <w:trHeight w:val="235"/>
        </w:trPr>
        <w:tc>
          <w:tcPr>
            <w:tcW w:w="2834" w:type="dxa"/>
            <w:shd w:val="clear" w:color="auto" w:fill="auto"/>
            <w:vAlign w:val="bottom"/>
            <w:hideMark/>
          </w:tcPr>
          <w:p w14:paraId="4B6F5F27" w14:textId="77777777" w:rsidR="007F60A8" w:rsidRPr="00041197" w:rsidRDefault="004037B0" w:rsidP="007F60A8">
            <w:pPr>
              <w:spacing w:after="0" w:line="240" w:lineRule="auto"/>
              <w:rPr>
                <w:rFonts w:ascii="Calibri" w:eastAsia="Times New Roman" w:hAnsi="Calibri" w:cs="Times New Roman"/>
                <w:color w:val="000000"/>
                <w:lang w:val="en-GB" w:eastAsia="hr-HR"/>
              </w:rPr>
            </w:pPr>
            <w:r w:rsidRPr="00395073">
              <w:rPr>
                <w:rFonts w:ascii="Calibri" w:eastAsia="Times New Roman" w:hAnsi="Calibri" w:cs="Times New Roman"/>
                <w:color w:val="000000"/>
                <w:lang w:val="en-GB" w:eastAsia="hr-HR"/>
              </w:rPr>
              <w:t>Of which</w:t>
            </w:r>
            <w:r w:rsidR="007F60A8" w:rsidRPr="00041197">
              <w:rPr>
                <w:rFonts w:ascii="Calibri" w:eastAsia="Times New Roman" w:hAnsi="Calibri" w:cs="Times New Roman"/>
                <w:color w:val="000000"/>
                <w:lang w:val="en-GB" w:eastAsia="hr-HR"/>
              </w:rPr>
              <w:t>:</w:t>
            </w:r>
          </w:p>
        </w:tc>
        <w:tc>
          <w:tcPr>
            <w:tcW w:w="2009" w:type="dxa"/>
            <w:tcBorders>
              <w:top w:val="single" w:sz="2" w:space="0" w:color="A6A6A6"/>
              <w:left w:val="single" w:sz="2" w:space="0" w:color="A6A6A6"/>
              <w:bottom w:val="single" w:sz="2" w:space="0" w:color="A6A6A6"/>
              <w:right w:val="single" w:sz="2" w:space="0" w:color="A6A6A6"/>
            </w:tcBorders>
            <w:shd w:val="clear" w:color="auto" w:fill="auto"/>
            <w:vAlign w:val="bottom"/>
          </w:tcPr>
          <w:p w14:paraId="0AA23755" w14:textId="77777777" w:rsidR="007F60A8" w:rsidRPr="00041197" w:rsidRDefault="007F60A8" w:rsidP="007F60A8">
            <w:pPr>
              <w:spacing w:after="0" w:line="240" w:lineRule="auto"/>
              <w:jc w:val="center"/>
              <w:rPr>
                <w:rFonts w:ascii="Calibri" w:eastAsia="Times New Roman" w:hAnsi="Calibri" w:cs="Times New Roman"/>
                <w:color w:val="000000"/>
                <w:lang w:val="en-GB" w:eastAsia="hr-HR"/>
              </w:rPr>
            </w:pPr>
          </w:p>
        </w:tc>
        <w:tc>
          <w:tcPr>
            <w:tcW w:w="1512" w:type="dxa"/>
            <w:tcBorders>
              <w:top w:val="single" w:sz="2" w:space="0" w:color="A6A6A6"/>
              <w:left w:val="single" w:sz="2" w:space="0" w:color="A6A6A6"/>
              <w:bottom w:val="single" w:sz="2" w:space="0" w:color="A6A6A6"/>
              <w:right w:val="single" w:sz="2" w:space="0" w:color="A6A6A6"/>
            </w:tcBorders>
            <w:shd w:val="clear" w:color="auto" w:fill="auto"/>
            <w:noWrap/>
            <w:vAlign w:val="bottom"/>
          </w:tcPr>
          <w:p w14:paraId="0C317B65" w14:textId="77777777" w:rsidR="007F60A8" w:rsidRPr="00041197" w:rsidRDefault="007F60A8" w:rsidP="007F60A8">
            <w:pPr>
              <w:spacing w:after="0" w:line="240" w:lineRule="auto"/>
              <w:jc w:val="center"/>
              <w:rPr>
                <w:rFonts w:ascii="Times New Roman" w:eastAsia="Times New Roman" w:hAnsi="Times New Roman" w:cs="Times New Roman"/>
                <w:sz w:val="20"/>
                <w:szCs w:val="20"/>
                <w:lang w:val="en-GB" w:eastAsia="hr-HR"/>
              </w:rPr>
            </w:pPr>
          </w:p>
        </w:tc>
        <w:tc>
          <w:tcPr>
            <w:tcW w:w="1898" w:type="dxa"/>
            <w:shd w:val="clear" w:color="auto" w:fill="auto"/>
            <w:vAlign w:val="bottom"/>
          </w:tcPr>
          <w:p w14:paraId="6157780E" w14:textId="77777777" w:rsidR="007F60A8" w:rsidRPr="00041197" w:rsidRDefault="007F60A8" w:rsidP="007F60A8">
            <w:pPr>
              <w:spacing w:after="0" w:line="240" w:lineRule="auto"/>
              <w:jc w:val="center"/>
              <w:rPr>
                <w:b/>
                <w:bCs/>
                <w:color w:val="000000"/>
                <w:lang w:val="en-GB"/>
              </w:rPr>
            </w:pPr>
          </w:p>
        </w:tc>
        <w:tc>
          <w:tcPr>
            <w:tcW w:w="1670" w:type="dxa"/>
            <w:shd w:val="clear" w:color="auto" w:fill="auto"/>
            <w:noWrap/>
            <w:vAlign w:val="bottom"/>
          </w:tcPr>
          <w:p w14:paraId="73A58AEC" w14:textId="77777777" w:rsidR="007F60A8" w:rsidRPr="00041197" w:rsidRDefault="007F60A8" w:rsidP="007F60A8">
            <w:pPr>
              <w:spacing w:after="0" w:line="240" w:lineRule="auto"/>
              <w:jc w:val="center"/>
              <w:rPr>
                <w:b/>
                <w:bCs/>
                <w:color w:val="000000"/>
                <w:lang w:val="en-GB"/>
              </w:rPr>
            </w:pPr>
          </w:p>
        </w:tc>
      </w:tr>
      <w:tr w:rsidR="00B62D78" w:rsidRPr="00041197" w14:paraId="68B03BA8" w14:textId="77777777" w:rsidTr="00B62D78">
        <w:trPr>
          <w:trHeight w:val="267"/>
        </w:trPr>
        <w:tc>
          <w:tcPr>
            <w:tcW w:w="2834" w:type="dxa"/>
            <w:shd w:val="clear" w:color="auto" w:fill="auto"/>
            <w:vAlign w:val="bottom"/>
            <w:hideMark/>
          </w:tcPr>
          <w:p w14:paraId="22329A1C" w14:textId="77777777" w:rsidR="00B62D78" w:rsidRPr="00041197" w:rsidRDefault="00B62D78" w:rsidP="00B62D78">
            <w:pPr>
              <w:spacing w:after="0" w:line="240" w:lineRule="auto"/>
              <w:ind w:firstLineChars="100" w:firstLine="220"/>
              <w:rPr>
                <w:rFonts w:ascii="Calibri" w:eastAsia="Times New Roman" w:hAnsi="Calibri" w:cs="Times New Roman"/>
                <w:color w:val="000000"/>
                <w:lang w:val="en-GB" w:eastAsia="hr-HR"/>
              </w:rPr>
            </w:pPr>
            <w:r w:rsidRPr="00041197">
              <w:rPr>
                <w:rFonts w:ascii="Calibri" w:eastAsia="Times New Roman" w:hAnsi="Calibri" w:cs="Times New Roman"/>
                <w:color w:val="000000"/>
                <w:lang w:val="en-GB" w:eastAsia="hr-HR"/>
              </w:rPr>
              <w:t>- financi</w:t>
            </w:r>
            <w:r>
              <w:rPr>
                <w:rFonts w:ascii="Calibri" w:eastAsia="Times New Roman" w:hAnsi="Calibri" w:cs="Times New Roman"/>
                <w:color w:val="000000"/>
                <w:lang w:val="en-GB" w:eastAsia="hr-HR"/>
              </w:rPr>
              <w:t>al institutions</w:t>
            </w:r>
          </w:p>
        </w:tc>
        <w:tc>
          <w:tcPr>
            <w:tcW w:w="2009" w:type="dxa"/>
            <w:tcBorders>
              <w:top w:val="single" w:sz="2" w:space="0" w:color="A6A6A6"/>
              <w:left w:val="single" w:sz="2" w:space="0" w:color="A6A6A6"/>
              <w:bottom w:val="single" w:sz="2" w:space="0" w:color="A6A6A6"/>
              <w:right w:val="single" w:sz="2" w:space="0" w:color="A6A6A6"/>
            </w:tcBorders>
            <w:shd w:val="clear" w:color="auto" w:fill="auto"/>
            <w:vAlign w:val="bottom"/>
          </w:tcPr>
          <w:p w14:paraId="0A4ED9F9" w14:textId="50D71C9F" w:rsidR="00B62D78" w:rsidRPr="00041197" w:rsidRDefault="00B62D78" w:rsidP="00B62D78">
            <w:pPr>
              <w:spacing w:after="0" w:line="240" w:lineRule="auto"/>
              <w:jc w:val="center"/>
              <w:rPr>
                <w:rFonts w:ascii="Calibri" w:eastAsia="Times New Roman" w:hAnsi="Calibri" w:cs="Times New Roman"/>
                <w:color w:val="000000"/>
                <w:lang w:val="en-GB" w:eastAsia="hr-HR"/>
              </w:rPr>
            </w:pPr>
            <w:r w:rsidRPr="00E11EEA">
              <w:t>65</w:t>
            </w:r>
            <w:r w:rsidR="003D010A">
              <w:t>.</w:t>
            </w:r>
            <w:r w:rsidRPr="00E11EEA">
              <w:t>9</w:t>
            </w:r>
          </w:p>
        </w:tc>
        <w:tc>
          <w:tcPr>
            <w:tcW w:w="1512" w:type="dxa"/>
            <w:tcBorders>
              <w:top w:val="single" w:sz="2" w:space="0" w:color="A6A6A6"/>
              <w:left w:val="single" w:sz="2" w:space="0" w:color="A6A6A6"/>
              <w:bottom w:val="single" w:sz="2" w:space="0" w:color="A6A6A6"/>
              <w:right w:val="single" w:sz="2" w:space="0" w:color="A6A6A6"/>
            </w:tcBorders>
            <w:shd w:val="clear" w:color="auto" w:fill="auto"/>
            <w:vAlign w:val="bottom"/>
          </w:tcPr>
          <w:p w14:paraId="0E0CE8F9" w14:textId="42876BB5" w:rsidR="00B62D78" w:rsidRPr="00041197" w:rsidRDefault="00B62D78" w:rsidP="00B62D78">
            <w:pPr>
              <w:spacing w:after="0" w:line="240" w:lineRule="auto"/>
              <w:jc w:val="center"/>
              <w:rPr>
                <w:rFonts w:ascii="Calibri" w:eastAsia="Times New Roman" w:hAnsi="Calibri" w:cs="Times New Roman"/>
                <w:color w:val="000000"/>
                <w:lang w:val="en-GB" w:eastAsia="hr-HR"/>
              </w:rPr>
            </w:pPr>
            <w:r w:rsidRPr="00E11EEA">
              <w:t>1</w:t>
            </w:r>
            <w:r w:rsidR="003D010A">
              <w:t>.</w:t>
            </w:r>
            <w:r w:rsidRPr="00E11EEA">
              <w:t>9</w:t>
            </w:r>
          </w:p>
        </w:tc>
        <w:tc>
          <w:tcPr>
            <w:tcW w:w="1898" w:type="dxa"/>
            <w:shd w:val="clear" w:color="auto" w:fill="auto"/>
            <w:vAlign w:val="bottom"/>
          </w:tcPr>
          <w:p w14:paraId="20523ED3" w14:textId="701F9159" w:rsidR="00B62D78" w:rsidRPr="00041197" w:rsidRDefault="00B62D78" w:rsidP="00B62D78">
            <w:pPr>
              <w:spacing w:after="0" w:line="240" w:lineRule="auto"/>
              <w:jc w:val="center"/>
              <w:rPr>
                <w:bCs/>
                <w:color w:val="000000"/>
                <w:lang w:val="en-GB"/>
              </w:rPr>
            </w:pPr>
            <w:r w:rsidRPr="00E11EEA">
              <w:t>64</w:t>
            </w:r>
            <w:r w:rsidR="003D010A">
              <w:t>.</w:t>
            </w:r>
            <w:r w:rsidRPr="00E11EEA">
              <w:t>2</w:t>
            </w:r>
          </w:p>
        </w:tc>
        <w:tc>
          <w:tcPr>
            <w:tcW w:w="1670" w:type="dxa"/>
            <w:shd w:val="clear" w:color="auto" w:fill="auto"/>
            <w:noWrap/>
            <w:vAlign w:val="bottom"/>
          </w:tcPr>
          <w:p w14:paraId="0E40D822" w14:textId="4F92FCEA" w:rsidR="00B62D78" w:rsidRPr="00041197" w:rsidRDefault="00B62D78" w:rsidP="00B62D78">
            <w:pPr>
              <w:spacing w:after="0" w:line="240" w:lineRule="auto"/>
              <w:jc w:val="center"/>
              <w:rPr>
                <w:bCs/>
                <w:color w:val="000000"/>
                <w:lang w:val="en-GB"/>
              </w:rPr>
            </w:pPr>
            <w:r w:rsidRPr="00E11EEA">
              <w:t>1</w:t>
            </w:r>
            <w:r w:rsidR="003D010A">
              <w:t>.</w:t>
            </w:r>
            <w:r w:rsidRPr="00E11EEA">
              <w:t>8</w:t>
            </w:r>
          </w:p>
        </w:tc>
      </w:tr>
      <w:tr w:rsidR="00B62D78" w:rsidRPr="00041197" w14:paraId="4FBA8127" w14:textId="77777777" w:rsidTr="00B62D78">
        <w:trPr>
          <w:trHeight w:val="205"/>
        </w:trPr>
        <w:tc>
          <w:tcPr>
            <w:tcW w:w="2834" w:type="dxa"/>
            <w:shd w:val="clear" w:color="auto" w:fill="auto"/>
            <w:vAlign w:val="bottom"/>
            <w:hideMark/>
          </w:tcPr>
          <w:p w14:paraId="4BED9BC9" w14:textId="77777777" w:rsidR="00B62D78" w:rsidRPr="00041197" w:rsidRDefault="00B62D78" w:rsidP="00B62D78">
            <w:pPr>
              <w:spacing w:after="0" w:line="240" w:lineRule="auto"/>
              <w:ind w:firstLineChars="100" w:firstLine="220"/>
              <w:rPr>
                <w:rFonts w:ascii="Calibri" w:eastAsia="Times New Roman" w:hAnsi="Calibri" w:cs="Times New Roman"/>
                <w:color w:val="000000"/>
                <w:lang w:val="en-GB" w:eastAsia="hr-HR"/>
              </w:rPr>
            </w:pPr>
            <w:r w:rsidRPr="00041197">
              <w:rPr>
                <w:rFonts w:ascii="Calibri" w:eastAsia="Times New Roman" w:hAnsi="Calibri" w:cs="Times New Roman"/>
                <w:color w:val="000000"/>
                <w:lang w:val="en-GB" w:eastAsia="hr-HR"/>
              </w:rPr>
              <w:t>- dire</w:t>
            </w:r>
            <w:r>
              <w:rPr>
                <w:rFonts w:ascii="Calibri" w:eastAsia="Times New Roman" w:hAnsi="Calibri" w:cs="Times New Roman"/>
                <w:color w:val="000000"/>
                <w:lang w:val="en-GB" w:eastAsia="hr-HR"/>
              </w:rPr>
              <w:t>ct</w:t>
            </w:r>
          </w:p>
        </w:tc>
        <w:tc>
          <w:tcPr>
            <w:tcW w:w="2009" w:type="dxa"/>
            <w:tcBorders>
              <w:top w:val="single" w:sz="2" w:space="0" w:color="A6A6A6"/>
              <w:left w:val="single" w:sz="2" w:space="0" w:color="A6A6A6"/>
              <w:bottom w:val="single" w:sz="2" w:space="0" w:color="A6A6A6"/>
              <w:right w:val="single" w:sz="2" w:space="0" w:color="A6A6A6"/>
            </w:tcBorders>
            <w:shd w:val="clear" w:color="auto" w:fill="auto"/>
            <w:vAlign w:val="bottom"/>
          </w:tcPr>
          <w:p w14:paraId="757E3C3E" w14:textId="1D03C6DE" w:rsidR="00B62D78" w:rsidRPr="00041197" w:rsidRDefault="00B62D78" w:rsidP="00B62D78">
            <w:pPr>
              <w:spacing w:after="0" w:line="240" w:lineRule="auto"/>
              <w:jc w:val="center"/>
              <w:rPr>
                <w:rFonts w:ascii="Calibri" w:eastAsia="Times New Roman" w:hAnsi="Calibri" w:cs="Times New Roman"/>
                <w:color w:val="000000"/>
                <w:lang w:val="en-GB" w:eastAsia="hr-HR"/>
              </w:rPr>
            </w:pPr>
            <w:r w:rsidRPr="00E11EEA">
              <w:t>3</w:t>
            </w:r>
            <w:r w:rsidR="003D010A">
              <w:t>,</w:t>
            </w:r>
            <w:r w:rsidRPr="00E11EEA">
              <w:t>452</w:t>
            </w:r>
            <w:r w:rsidR="003D010A">
              <w:t>.</w:t>
            </w:r>
            <w:r w:rsidRPr="00E11EEA">
              <w:t>8</w:t>
            </w:r>
          </w:p>
        </w:tc>
        <w:tc>
          <w:tcPr>
            <w:tcW w:w="1512" w:type="dxa"/>
            <w:tcBorders>
              <w:top w:val="single" w:sz="2" w:space="0" w:color="A6A6A6"/>
              <w:left w:val="single" w:sz="2" w:space="0" w:color="A6A6A6"/>
              <w:bottom w:val="single" w:sz="2" w:space="0" w:color="A6A6A6"/>
              <w:right w:val="single" w:sz="2" w:space="0" w:color="A6A6A6"/>
            </w:tcBorders>
            <w:shd w:val="clear" w:color="auto" w:fill="auto"/>
            <w:vAlign w:val="bottom"/>
          </w:tcPr>
          <w:p w14:paraId="06DA08A5" w14:textId="5544A256" w:rsidR="00B62D78" w:rsidRPr="00041197" w:rsidRDefault="00B62D78" w:rsidP="00B62D78">
            <w:pPr>
              <w:spacing w:after="0" w:line="240" w:lineRule="auto"/>
              <w:jc w:val="center"/>
              <w:rPr>
                <w:rFonts w:ascii="Calibri" w:eastAsia="Times New Roman" w:hAnsi="Calibri" w:cs="Times New Roman"/>
                <w:color w:val="000000"/>
                <w:lang w:val="en-GB" w:eastAsia="hr-HR"/>
              </w:rPr>
            </w:pPr>
            <w:r w:rsidRPr="00E11EEA">
              <w:t>98</w:t>
            </w:r>
            <w:r w:rsidR="003D010A">
              <w:t>.</w:t>
            </w:r>
            <w:r w:rsidRPr="00E11EEA">
              <w:t>1</w:t>
            </w:r>
          </w:p>
        </w:tc>
        <w:tc>
          <w:tcPr>
            <w:tcW w:w="1898" w:type="dxa"/>
            <w:shd w:val="clear" w:color="auto" w:fill="auto"/>
            <w:vAlign w:val="bottom"/>
          </w:tcPr>
          <w:p w14:paraId="758A47A1" w14:textId="18F2A8B7" w:rsidR="00B62D78" w:rsidRPr="00041197" w:rsidRDefault="00B62D78" w:rsidP="00B62D78">
            <w:pPr>
              <w:spacing w:after="0" w:line="240" w:lineRule="auto"/>
              <w:jc w:val="center"/>
              <w:rPr>
                <w:bCs/>
                <w:color w:val="000000"/>
                <w:lang w:val="en-GB"/>
              </w:rPr>
            </w:pPr>
            <w:r w:rsidRPr="00E11EEA">
              <w:t>3</w:t>
            </w:r>
            <w:r w:rsidR="003D010A">
              <w:t>,</w:t>
            </w:r>
            <w:r w:rsidRPr="00E11EEA">
              <w:t>479</w:t>
            </w:r>
            <w:r w:rsidR="003D010A">
              <w:t>.</w:t>
            </w:r>
            <w:r w:rsidRPr="00E11EEA">
              <w:t>9</w:t>
            </w:r>
          </w:p>
        </w:tc>
        <w:tc>
          <w:tcPr>
            <w:tcW w:w="1670" w:type="dxa"/>
            <w:shd w:val="clear" w:color="auto" w:fill="auto"/>
            <w:noWrap/>
            <w:vAlign w:val="bottom"/>
          </w:tcPr>
          <w:p w14:paraId="54EAD357" w14:textId="176C53FE" w:rsidR="00B62D78" w:rsidRPr="00041197" w:rsidRDefault="00B62D78" w:rsidP="00B62D78">
            <w:pPr>
              <w:spacing w:after="0" w:line="240" w:lineRule="auto"/>
              <w:jc w:val="center"/>
              <w:rPr>
                <w:bCs/>
                <w:color w:val="000000"/>
                <w:lang w:val="en-GB"/>
              </w:rPr>
            </w:pPr>
            <w:r w:rsidRPr="00E11EEA">
              <w:t>98</w:t>
            </w:r>
            <w:r w:rsidR="003D010A">
              <w:t>.</w:t>
            </w:r>
            <w:r w:rsidRPr="00E11EEA">
              <w:t>2</w:t>
            </w:r>
          </w:p>
        </w:tc>
      </w:tr>
      <w:tr w:rsidR="007F60A8" w:rsidRPr="00041197" w14:paraId="2CB6FA19" w14:textId="77777777" w:rsidTr="007B069A">
        <w:trPr>
          <w:trHeight w:val="205"/>
        </w:trPr>
        <w:tc>
          <w:tcPr>
            <w:tcW w:w="2834" w:type="dxa"/>
            <w:shd w:val="clear" w:color="auto" w:fill="auto"/>
            <w:vAlign w:val="bottom"/>
            <w:hideMark/>
          </w:tcPr>
          <w:p w14:paraId="40F9991F" w14:textId="77777777" w:rsidR="007F60A8" w:rsidRPr="00041197" w:rsidRDefault="007F60A8" w:rsidP="007F60A8">
            <w:pPr>
              <w:spacing w:after="0" w:line="240" w:lineRule="auto"/>
              <w:rPr>
                <w:rFonts w:ascii="Calibri" w:eastAsia="Times New Roman" w:hAnsi="Calibri" w:cs="Times New Roman"/>
                <w:color w:val="000000"/>
                <w:lang w:val="en-GB" w:eastAsia="hr-HR"/>
              </w:rPr>
            </w:pPr>
          </w:p>
        </w:tc>
        <w:tc>
          <w:tcPr>
            <w:tcW w:w="2009" w:type="dxa"/>
            <w:tcBorders>
              <w:top w:val="single" w:sz="2" w:space="0" w:color="A6A6A6"/>
              <w:left w:val="single" w:sz="2" w:space="0" w:color="A6A6A6"/>
              <w:bottom w:val="single" w:sz="2" w:space="0" w:color="A6A6A6"/>
              <w:right w:val="single" w:sz="2" w:space="0" w:color="A6A6A6"/>
            </w:tcBorders>
            <w:shd w:val="clear" w:color="auto" w:fill="auto"/>
            <w:vAlign w:val="center"/>
          </w:tcPr>
          <w:p w14:paraId="42741FF1" w14:textId="77777777" w:rsidR="007F60A8" w:rsidRPr="00041197" w:rsidRDefault="007F60A8" w:rsidP="007F60A8">
            <w:pPr>
              <w:spacing w:after="0" w:line="240" w:lineRule="auto"/>
              <w:ind w:firstLineChars="100" w:firstLine="200"/>
              <w:jc w:val="center"/>
              <w:rPr>
                <w:rFonts w:ascii="Times New Roman" w:eastAsia="Times New Roman" w:hAnsi="Times New Roman" w:cs="Times New Roman"/>
                <w:sz w:val="20"/>
                <w:szCs w:val="20"/>
                <w:lang w:val="en-GB" w:eastAsia="hr-HR"/>
              </w:rPr>
            </w:pPr>
          </w:p>
        </w:tc>
        <w:tc>
          <w:tcPr>
            <w:tcW w:w="1512" w:type="dxa"/>
            <w:tcBorders>
              <w:top w:val="single" w:sz="2" w:space="0" w:color="A6A6A6"/>
              <w:left w:val="single" w:sz="2" w:space="0" w:color="A6A6A6"/>
              <w:bottom w:val="single" w:sz="2" w:space="0" w:color="A6A6A6"/>
              <w:right w:val="single" w:sz="2" w:space="0" w:color="A6A6A6"/>
            </w:tcBorders>
            <w:shd w:val="clear" w:color="auto" w:fill="auto"/>
            <w:noWrap/>
            <w:vAlign w:val="center"/>
          </w:tcPr>
          <w:p w14:paraId="7BFA26AE" w14:textId="77777777" w:rsidR="007F60A8" w:rsidRPr="00041197" w:rsidRDefault="007F60A8" w:rsidP="007F60A8">
            <w:pPr>
              <w:spacing w:after="0" w:line="240" w:lineRule="auto"/>
              <w:jc w:val="center"/>
              <w:rPr>
                <w:rFonts w:ascii="Times New Roman" w:eastAsia="Times New Roman" w:hAnsi="Times New Roman" w:cs="Times New Roman"/>
                <w:sz w:val="20"/>
                <w:szCs w:val="20"/>
                <w:lang w:val="en-GB" w:eastAsia="hr-HR"/>
              </w:rPr>
            </w:pPr>
          </w:p>
        </w:tc>
        <w:tc>
          <w:tcPr>
            <w:tcW w:w="1898" w:type="dxa"/>
            <w:shd w:val="clear" w:color="auto" w:fill="auto"/>
            <w:vAlign w:val="bottom"/>
          </w:tcPr>
          <w:p w14:paraId="46AAE203" w14:textId="77777777" w:rsidR="007F60A8" w:rsidRPr="00041197" w:rsidRDefault="007F60A8" w:rsidP="007F60A8">
            <w:pPr>
              <w:spacing w:after="0" w:line="240" w:lineRule="auto"/>
              <w:jc w:val="center"/>
              <w:rPr>
                <w:b/>
                <w:bCs/>
                <w:color w:val="000000"/>
                <w:lang w:val="en-GB"/>
              </w:rPr>
            </w:pPr>
          </w:p>
        </w:tc>
        <w:tc>
          <w:tcPr>
            <w:tcW w:w="1670" w:type="dxa"/>
            <w:shd w:val="clear" w:color="auto" w:fill="auto"/>
            <w:noWrap/>
            <w:vAlign w:val="bottom"/>
          </w:tcPr>
          <w:p w14:paraId="24AD7039" w14:textId="77777777" w:rsidR="007F60A8" w:rsidRPr="00041197" w:rsidRDefault="007F60A8" w:rsidP="007F60A8">
            <w:pPr>
              <w:spacing w:after="0" w:line="240" w:lineRule="auto"/>
              <w:jc w:val="center"/>
              <w:rPr>
                <w:b/>
                <w:bCs/>
                <w:color w:val="000000"/>
                <w:lang w:val="en-GB"/>
              </w:rPr>
            </w:pPr>
          </w:p>
        </w:tc>
      </w:tr>
      <w:tr w:rsidR="007F60A8" w:rsidRPr="00041197" w14:paraId="0DF5CFD5" w14:textId="77777777" w:rsidTr="00B305E7">
        <w:trPr>
          <w:trHeight w:val="410"/>
        </w:trPr>
        <w:tc>
          <w:tcPr>
            <w:tcW w:w="2834" w:type="dxa"/>
            <w:shd w:val="clear" w:color="auto" w:fill="auto"/>
            <w:vAlign w:val="bottom"/>
            <w:hideMark/>
          </w:tcPr>
          <w:p w14:paraId="02A55E30" w14:textId="77777777" w:rsidR="007F60A8" w:rsidRPr="00041197" w:rsidRDefault="004037B0" w:rsidP="000E4ABB">
            <w:pPr>
              <w:spacing w:after="0" w:line="240" w:lineRule="auto"/>
              <w:rPr>
                <w:rFonts w:ascii="Calibri" w:eastAsia="Times New Roman" w:hAnsi="Calibri" w:cs="Times New Roman"/>
                <w:b/>
                <w:bCs/>
                <w:color w:val="000000"/>
                <w:lang w:val="en-GB" w:eastAsia="hr-HR"/>
              </w:rPr>
            </w:pPr>
            <w:r w:rsidRPr="00395073">
              <w:rPr>
                <w:rFonts w:ascii="Calibri" w:eastAsia="Times New Roman" w:hAnsi="Calibri" w:cs="Times New Roman"/>
                <w:b/>
                <w:bCs/>
                <w:color w:val="000000"/>
                <w:lang w:val="en-GB" w:eastAsia="hr-HR"/>
              </w:rPr>
              <w:t>Provisions/gross portfolio</w:t>
            </w:r>
          </w:p>
        </w:tc>
        <w:tc>
          <w:tcPr>
            <w:tcW w:w="2009" w:type="dxa"/>
            <w:tcBorders>
              <w:top w:val="single" w:sz="2" w:space="0" w:color="A6A6A6"/>
              <w:left w:val="single" w:sz="2" w:space="0" w:color="A6A6A6"/>
              <w:bottom w:val="single" w:sz="2" w:space="0" w:color="A6A6A6"/>
              <w:right w:val="single" w:sz="2" w:space="0" w:color="A6A6A6"/>
            </w:tcBorders>
            <w:shd w:val="clear" w:color="auto" w:fill="auto"/>
            <w:vAlign w:val="bottom"/>
          </w:tcPr>
          <w:p w14:paraId="1D1B0765" w14:textId="4806495C" w:rsidR="007F60A8" w:rsidRPr="00041197" w:rsidRDefault="00FC3544" w:rsidP="005014DC">
            <w:pPr>
              <w:spacing w:after="0" w:line="240" w:lineRule="auto"/>
              <w:jc w:val="center"/>
              <w:rPr>
                <w:rFonts w:ascii="Calibri" w:eastAsia="Times New Roman" w:hAnsi="Calibri" w:cs="Times New Roman"/>
                <w:b/>
                <w:bCs/>
                <w:color w:val="000000"/>
                <w:lang w:val="en-GB" w:eastAsia="hr-HR"/>
              </w:rPr>
            </w:pPr>
            <w:r w:rsidRPr="002A10E9">
              <w:rPr>
                <w:b/>
                <w:bCs/>
                <w:color w:val="000000"/>
                <w:lang w:val="en-GB"/>
              </w:rPr>
              <w:t>10</w:t>
            </w:r>
            <w:r w:rsidR="004037B0">
              <w:rPr>
                <w:b/>
                <w:bCs/>
                <w:color w:val="000000"/>
                <w:lang w:val="en-GB"/>
              </w:rPr>
              <w:t>.</w:t>
            </w:r>
            <w:r w:rsidR="00B62D78">
              <w:rPr>
                <w:b/>
                <w:bCs/>
                <w:color w:val="000000"/>
                <w:lang w:val="en-GB"/>
              </w:rPr>
              <w:t>3</w:t>
            </w:r>
            <w:r w:rsidR="007F60A8" w:rsidRPr="00041197">
              <w:rPr>
                <w:b/>
                <w:bCs/>
                <w:color w:val="000000"/>
                <w:lang w:val="en-GB"/>
              </w:rPr>
              <w:t xml:space="preserve"> p</w:t>
            </w:r>
            <w:r w:rsidR="004037B0">
              <w:rPr>
                <w:b/>
                <w:bCs/>
                <w:color w:val="000000"/>
                <w:lang w:val="en-GB"/>
              </w:rPr>
              <w:t>ercent</w:t>
            </w:r>
            <w:r w:rsidR="00310F96" w:rsidRPr="00041197">
              <w:rPr>
                <w:b/>
                <w:bCs/>
                <w:color w:val="000000"/>
                <w:lang w:val="en-GB"/>
              </w:rPr>
              <w:t xml:space="preserve"> </w:t>
            </w:r>
          </w:p>
        </w:tc>
        <w:tc>
          <w:tcPr>
            <w:tcW w:w="1512" w:type="dxa"/>
            <w:tcBorders>
              <w:top w:val="single" w:sz="2" w:space="0" w:color="A6A6A6"/>
              <w:left w:val="single" w:sz="2" w:space="0" w:color="A6A6A6"/>
              <w:bottom w:val="single" w:sz="2" w:space="0" w:color="A6A6A6"/>
              <w:right w:val="single" w:sz="2" w:space="0" w:color="A6A6A6"/>
            </w:tcBorders>
            <w:shd w:val="clear" w:color="auto" w:fill="auto"/>
            <w:noWrap/>
            <w:vAlign w:val="bottom"/>
          </w:tcPr>
          <w:p w14:paraId="30F76AC3" w14:textId="77777777" w:rsidR="007F60A8" w:rsidRPr="00041197" w:rsidRDefault="007F60A8" w:rsidP="007F60A8">
            <w:pPr>
              <w:spacing w:after="0" w:line="240" w:lineRule="auto"/>
              <w:jc w:val="center"/>
              <w:rPr>
                <w:rFonts w:ascii="Calibri" w:eastAsia="Times New Roman" w:hAnsi="Calibri" w:cs="Times New Roman"/>
                <w:b/>
                <w:bCs/>
                <w:color w:val="000000"/>
                <w:lang w:val="en-GB" w:eastAsia="hr-HR"/>
              </w:rPr>
            </w:pPr>
            <w:r w:rsidRPr="00041197">
              <w:rPr>
                <w:b/>
                <w:bCs/>
                <w:color w:val="000000"/>
                <w:lang w:val="en-GB"/>
              </w:rPr>
              <w:t>-</w:t>
            </w:r>
          </w:p>
        </w:tc>
        <w:tc>
          <w:tcPr>
            <w:tcW w:w="1898" w:type="dxa"/>
            <w:shd w:val="clear" w:color="auto" w:fill="auto"/>
            <w:vAlign w:val="bottom"/>
          </w:tcPr>
          <w:p w14:paraId="1EC786BF" w14:textId="1245A76F" w:rsidR="007F60A8" w:rsidRPr="00041197" w:rsidRDefault="00FC3544" w:rsidP="005014DC">
            <w:pPr>
              <w:spacing w:after="0" w:line="240" w:lineRule="auto"/>
              <w:jc w:val="center"/>
              <w:rPr>
                <w:b/>
                <w:bCs/>
                <w:color w:val="000000"/>
                <w:lang w:val="en-GB"/>
              </w:rPr>
            </w:pPr>
            <w:r w:rsidRPr="002A10E9">
              <w:rPr>
                <w:b/>
                <w:bCs/>
                <w:color w:val="000000"/>
                <w:lang w:val="en-GB"/>
              </w:rPr>
              <w:t>10</w:t>
            </w:r>
            <w:r w:rsidR="004037B0">
              <w:rPr>
                <w:b/>
                <w:bCs/>
                <w:color w:val="000000"/>
                <w:lang w:val="en-GB"/>
              </w:rPr>
              <w:t>.</w:t>
            </w:r>
            <w:r w:rsidR="00B62D78">
              <w:rPr>
                <w:b/>
                <w:bCs/>
                <w:color w:val="000000"/>
                <w:lang w:val="en-GB"/>
              </w:rPr>
              <w:t>3</w:t>
            </w:r>
            <w:r w:rsidR="008374B8" w:rsidRPr="00041197">
              <w:rPr>
                <w:b/>
                <w:bCs/>
                <w:color w:val="000000"/>
                <w:lang w:val="en-GB"/>
              </w:rPr>
              <w:t xml:space="preserve"> </w:t>
            </w:r>
            <w:r w:rsidR="004E588A" w:rsidRPr="00041197">
              <w:rPr>
                <w:b/>
                <w:bCs/>
                <w:color w:val="000000"/>
                <w:lang w:val="en-GB"/>
              </w:rPr>
              <w:t>p</w:t>
            </w:r>
            <w:r w:rsidR="004037B0">
              <w:rPr>
                <w:b/>
                <w:bCs/>
                <w:color w:val="000000"/>
                <w:lang w:val="en-GB"/>
              </w:rPr>
              <w:t>ercent</w:t>
            </w:r>
          </w:p>
        </w:tc>
        <w:tc>
          <w:tcPr>
            <w:tcW w:w="1670" w:type="dxa"/>
            <w:shd w:val="clear" w:color="auto" w:fill="auto"/>
            <w:noWrap/>
            <w:vAlign w:val="bottom"/>
          </w:tcPr>
          <w:p w14:paraId="678900EF" w14:textId="77777777" w:rsidR="007F60A8" w:rsidRPr="00041197" w:rsidRDefault="004E588A" w:rsidP="000E4ABB">
            <w:pPr>
              <w:spacing w:after="0" w:line="240" w:lineRule="auto"/>
              <w:jc w:val="center"/>
              <w:rPr>
                <w:b/>
                <w:bCs/>
                <w:color w:val="000000"/>
                <w:lang w:val="en-GB"/>
              </w:rPr>
            </w:pPr>
            <w:r w:rsidRPr="00041197">
              <w:rPr>
                <w:b/>
                <w:bCs/>
                <w:color w:val="000000"/>
                <w:lang w:val="en-GB"/>
              </w:rPr>
              <w:t>-</w:t>
            </w:r>
          </w:p>
        </w:tc>
      </w:tr>
    </w:tbl>
    <w:p w14:paraId="2A32CD49" w14:textId="77777777" w:rsidR="00BF17D9" w:rsidRPr="00041197" w:rsidRDefault="00BF17D9" w:rsidP="00BF17D9">
      <w:pPr>
        <w:spacing w:after="0" w:line="240" w:lineRule="auto"/>
        <w:rPr>
          <w:rFonts w:eastAsia="Times New Roman" w:cs="Calibri"/>
          <w:b/>
          <w:i/>
          <w:spacing w:val="-3"/>
          <w:sz w:val="24"/>
          <w:szCs w:val="24"/>
          <w:lang w:val="en-GB" w:eastAsia="hr-HR"/>
        </w:rPr>
      </w:pPr>
    </w:p>
    <w:p w14:paraId="79FA381E" w14:textId="77777777" w:rsidR="007E222A" w:rsidRPr="00041197" w:rsidRDefault="007E222A" w:rsidP="007667DB">
      <w:pPr>
        <w:spacing w:after="0" w:line="240" w:lineRule="auto"/>
        <w:rPr>
          <w:rFonts w:eastAsia="Times New Roman" w:cs="Calibri"/>
          <w:spacing w:val="-3"/>
          <w:sz w:val="24"/>
          <w:szCs w:val="24"/>
          <w:lang w:val="en-GB" w:eastAsia="hr-HR"/>
        </w:rPr>
      </w:pPr>
    </w:p>
    <w:p w14:paraId="0F47C57F" w14:textId="77777777" w:rsidR="00BF17D9" w:rsidRPr="00041197" w:rsidRDefault="00BF17D9" w:rsidP="007667DB">
      <w:pPr>
        <w:spacing w:after="0" w:line="240" w:lineRule="auto"/>
        <w:jc w:val="both"/>
        <w:rPr>
          <w:rFonts w:eastAsia="Times New Roman" w:cs="Calibri"/>
          <w:spacing w:val="-3"/>
          <w:sz w:val="24"/>
          <w:szCs w:val="24"/>
          <w:lang w:val="en-GB" w:eastAsia="hr-HR"/>
        </w:rPr>
        <w:sectPr w:rsidR="00BF17D9" w:rsidRPr="00041197">
          <w:footerReference w:type="default" r:id="rId36"/>
          <w:pgSz w:w="11906" w:h="16838"/>
          <w:pgMar w:top="1417" w:right="1417" w:bottom="1417" w:left="1417" w:header="708" w:footer="708" w:gutter="0"/>
          <w:cols w:space="708"/>
          <w:docGrid w:linePitch="360"/>
        </w:sectPr>
      </w:pPr>
    </w:p>
    <w:p w14:paraId="4F705082" w14:textId="77777777" w:rsidR="004037B0" w:rsidRPr="00395073" w:rsidRDefault="004037B0" w:rsidP="004037B0">
      <w:pPr>
        <w:tabs>
          <w:tab w:val="left" w:pos="-720"/>
        </w:tabs>
        <w:spacing w:after="0" w:line="240" w:lineRule="auto"/>
        <w:jc w:val="both"/>
        <w:rPr>
          <w:rFonts w:ascii="Calibri" w:hAnsi="Calibri" w:cs="Calibri"/>
          <w:b/>
          <w:spacing w:val="-3"/>
          <w:sz w:val="24"/>
          <w:szCs w:val="24"/>
          <w:lang w:val="en-GB"/>
        </w:rPr>
      </w:pPr>
      <w:r w:rsidRPr="00395073">
        <w:rPr>
          <w:rFonts w:ascii="Calibri" w:hAnsi="Calibri" w:cs="Calibri"/>
          <w:b/>
          <w:spacing w:val="-3"/>
          <w:sz w:val="24"/>
          <w:szCs w:val="24"/>
          <w:lang w:val="en-GB"/>
        </w:rPr>
        <w:lastRenderedPageBreak/>
        <w:t>Significant changes in financial position</w:t>
      </w:r>
    </w:p>
    <w:p w14:paraId="22CD6DFC" w14:textId="77777777" w:rsidR="00422588" w:rsidRPr="002A10E9" w:rsidRDefault="00422588">
      <w:pPr>
        <w:spacing w:after="0" w:line="240" w:lineRule="auto"/>
        <w:jc w:val="both"/>
        <w:rPr>
          <w:rFonts w:eastAsia="Times New Roman" w:cs="Calibri"/>
          <w:spacing w:val="-3"/>
          <w:sz w:val="18"/>
          <w:szCs w:val="24"/>
          <w:lang w:val="en-GB" w:eastAsia="hr-HR"/>
        </w:rPr>
      </w:pPr>
    </w:p>
    <w:p w14:paraId="4C20AD36" w14:textId="487B1860" w:rsidR="0080046D" w:rsidRPr="00041197" w:rsidRDefault="004037B0" w:rsidP="002A10E9">
      <w:pPr>
        <w:tabs>
          <w:tab w:val="left" w:pos="-720"/>
        </w:tabs>
        <w:suppressAutoHyphens/>
        <w:spacing w:after="0" w:line="240" w:lineRule="auto"/>
        <w:jc w:val="both"/>
        <w:rPr>
          <w:rFonts w:eastAsia="Times New Roman" w:cstheme="minorHAnsi"/>
          <w:b/>
          <w:bCs/>
          <w:i/>
          <w:sz w:val="24"/>
          <w:szCs w:val="20"/>
          <w:lang w:val="en-GB" w:eastAsia="hr-HR"/>
        </w:rPr>
      </w:pPr>
      <w:r w:rsidRPr="00395073">
        <w:rPr>
          <w:rFonts w:cstheme="minorHAnsi"/>
          <w:spacing w:val="-3"/>
          <w:sz w:val="24"/>
          <w:szCs w:val="24"/>
          <w:lang w:val="en-GB"/>
        </w:rPr>
        <w:t xml:space="preserve">Total assets of HBOR as at </w:t>
      </w:r>
      <w:r w:rsidR="00C5425F" w:rsidRPr="00041197">
        <w:rPr>
          <w:rFonts w:cstheme="minorHAnsi"/>
          <w:spacing w:val="-3"/>
          <w:sz w:val="24"/>
          <w:szCs w:val="24"/>
          <w:lang w:val="en-GB"/>
        </w:rPr>
        <w:t>3</w:t>
      </w:r>
      <w:r w:rsidR="00062A07" w:rsidRPr="00041197">
        <w:rPr>
          <w:rFonts w:cstheme="minorHAnsi"/>
          <w:spacing w:val="-3"/>
          <w:sz w:val="24"/>
          <w:szCs w:val="24"/>
          <w:lang w:val="en-GB"/>
        </w:rPr>
        <w:t>1</w:t>
      </w:r>
      <w:r>
        <w:rPr>
          <w:rFonts w:cstheme="minorHAnsi"/>
          <w:spacing w:val="-3"/>
          <w:sz w:val="24"/>
          <w:szCs w:val="24"/>
          <w:lang w:val="en-GB"/>
        </w:rPr>
        <w:t xml:space="preserve"> March 20</w:t>
      </w:r>
      <w:r w:rsidR="004F726B">
        <w:rPr>
          <w:rFonts w:cstheme="minorHAnsi"/>
          <w:spacing w:val="-3"/>
          <w:sz w:val="24"/>
          <w:szCs w:val="24"/>
          <w:lang w:val="en-GB"/>
        </w:rPr>
        <w:t>20</w:t>
      </w:r>
      <w:r>
        <w:rPr>
          <w:rFonts w:cstheme="minorHAnsi"/>
          <w:spacing w:val="-3"/>
          <w:sz w:val="24"/>
          <w:szCs w:val="24"/>
          <w:lang w:val="en-GB"/>
        </w:rPr>
        <w:t xml:space="preserve"> amounted to HRK</w:t>
      </w:r>
      <w:r w:rsidR="00810A4B" w:rsidRPr="00041197">
        <w:rPr>
          <w:rFonts w:cstheme="minorHAnsi"/>
          <w:spacing w:val="-3"/>
          <w:sz w:val="24"/>
          <w:szCs w:val="24"/>
          <w:lang w:val="en-GB"/>
        </w:rPr>
        <w:t xml:space="preserve"> </w:t>
      </w:r>
      <w:r w:rsidR="00C5425F" w:rsidRPr="00041197">
        <w:rPr>
          <w:rFonts w:cstheme="minorHAnsi"/>
          <w:spacing w:val="-3"/>
          <w:sz w:val="24"/>
          <w:szCs w:val="24"/>
          <w:lang w:val="en-GB"/>
        </w:rPr>
        <w:t>2</w:t>
      </w:r>
      <w:r w:rsidR="00062A07" w:rsidRPr="00041197">
        <w:rPr>
          <w:rFonts w:cstheme="minorHAnsi"/>
          <w:spacing w:val="-3"/>
          <w:sz w:val="24"/>
          <w:szCs w:val="24"/>
          <w:lang w:val="en-GB"/>
        </w:rPr>
        <w:t>6</w:t>
      </w:r>
      <w:r>
        <w:rPr>
          <w:rFonts w:cstheme="minorHAnsi"/>
          <w:spacing w:val="-3"/>
          <w:sz w:val="24"/>
          <w:szCs w:val="24"/>
          <w:lang w:val="en-GB"/>
        </w:rPr>
        <w:t>,</w:t>
      </w:r>
      <w:r w:rsidR="00062A07" w:rsidRPr="00041197">
        <w:rPr>
          <w:rFonts w:cstheme="minorHAnsi"/>
          <w:spacing w:val="-3"/>
          <w:sz w:val="24"/>
          <w:szCs w:val="24"/>
          <w:lang w:val="en-GB"/>
        </w:rPr>
        <w:t>6</w:t>
      </w:r>
      <w:r w:rsidR="004F726B">
        <w:rPr>
          <w:rFonts w:cstheme="minorHAnsi"/>
          <w:spacing w:val="-3"/>
          <w:sz w:val="24"/>
          <w:szCs w:val="24"/>
          <w:lang w:val="en-GB"/>
        </w:rPr>
        <w:t>39</w:t>
      </w:r>
      <w:r>
        <w:rPr>
          <w:rFonts w:cstheme="minorHAnsi"/>
          <w:spacing w:val="-3"/>
          <w:sz w:val="24"/>
          <w:szCs w:val="24"/>
          <w:lang w:val="en-GB"/>
        </w:rPr>
        <w:t>.</w:t>
      </w:r>
      <w:r w:rsidR="00062A07" w:rsidRPr="00041197">
        <w:rPr>
          <w:rFonts w:cstheme="minorHAnsi"/>
          <w:spacing w:val="-3"/>
          <w:sz w:val="24"/>
          <w:szCs w:val="24"/>
          <w:lang w:val="en-GB"/>
        </w:rPr>
        <w:t>6</w:t>
      </w:r>
      <w:r w:rsidR="00810A4B" w:rsidRPr="00041197">
        <w:rPr>
          <w:rFonts w:cstheme="minorHAnsi"/>
          <w:spacing w:val="-3"/>
          <w:sz w:val="24"/>
          <w:szCs w:val="24"/>
          <w:lang w:val="en-GB"/>
        </w:rPr>
        <w:t xml:space="preserve"> mil</w:t>
      </w:r>
      <w:r>
        <w:rPr>
          <w:rFonts w:cstheme="minorHAnsi"/>
          <w:spacing w:val="-3"/>
          <w:sz w:val="24"/>
          <w:szCs w:val="24"/>
          <w:lang w:val="en-GB"/>
        </w:rPr>
        <w:t>lion, a</w:t>
      </w:r>
      <w:r w:rsidR="004F726B">
        <w:rPr>
          <w:rFonts w:cstheme="minorHAnsi"/>
          <w:spacing w:val="-3"/>
          <w:sz w:val="24"/>
          <w:szCs w:val="24"/>
          <w:lang w:val="en-GB"/>
        </w:rPr>
        <w:t>n</w:t>
      </w:r>
      <w:r>
        <w:rPr>
          <w:rFonts w:cstheme="minorHAnsi"/>
          <w:spacing w:val="-3"/>
          <w:sz w:val="24"/>
          <w:szCs w:val="24"/>
          <w:lang w:val="en-GB"/>
        </w:rPr>
        <w:t xml:space="preserve"> </w:t>
      </w:r>
      <w:r w:rsidR="004F726B">
        <w:rPr>
          <w:rFonts w:cstheme="minorHAnsi"/>
          <w:spacing w:val="-3"/>
          <w:sz w:val="24"/>
          <w:szCs w:val="24"/>
          <w:lang w:val="en-GB"/>
        </w:rPr>
        <w:t>in</w:t>
      </w:r>
      <w:r>
        <w:rPr>
          <w:rFonts w:cstheme="minorHAnsi"/>
          <w:spacing w:val="-3"/>
          <w:sz w:val="24"/>
          <w:szCs w:val="24"/>
          <w:lang w:val="en-GB"/>
        </w:rPr>
        <w:t xml:space="preserve">crease of </w:t>
      </w:r>
      <w:r w:rsidR="004F726B">
        <w:rPr>
          <w:rFonts w:cstheme="minorHAnsi"/>
          <w:spacing w:val="-3"/>
          <w:sz w:val="24"/>
          <w:szCs w:val="24"/>
          <w:lang w:val="en-GB"/>
        </w:rPr>
        <w:t>0</w:t>
      </w:r>
      <w:r w:rsidR="00C802B6">
        <w:rPr>
          <w:rFonts w:cstheme="minorHAnsi"/>
          <w:spacing w:val="-3"/>
          <w:sz w:val="24"/>
          <w:szCs w:val="24"/>
          <w:lang w:val="en-GB"/>
        </w:rPr>
        <w:t>.</w:t>
      </w:r>
      <w:r w:rsidR="004F726B">
        <w:rPr>
          <w:rFonts w:cstheme="minorHAnsi"/>
          <w:spacing w:val="-3"/>
          <w:sz w:val="24"/>
          <w:szCs w:val="24"/>
          <w:lang w:val="en-GB"/>
        </w:rPr>
        <w:t>7</w:t>
      </w:r>
      <w:r w:rsidR="00C802B6">
        <w:rPr>
          <w:rFonts w:cstheme="minorHAnsi"/>
          <w:spacing w:val="-3"/>
          <w:sz w:val="24"/>
          <w:szCs w:val="24"/>
          <w:lang w:val="en-GB"/>
        </w:rPr>
        <w:t xml:space="preserve"> percent compared with</w:t>
      </w:r>
      <w:r w:rsidR="00810A4B" w:rsidRPr="00041197">
        <w:rPr>
          <w:rFonts w:cstheme="minorHAnsi"/>
          <w:spacing w:val="-3"/>
          <w:sz w:val="24"/>
          <w:szCs w:val="24"/>
          <w:lang w:val="en-GB"/>
        </w:rPr>
        <w:t xml:space="preserve"> </w:t>
      </w:r>
      <w:r w:rsidR="00154A76" w:rsidRPr="00041197">
        <w:rPr>
          <w:rFonts w:cstheme="minorHAnsi"/>
          <w:spacing w:val="-3"/>
          <w:sz w:val="24"/>
          <w:szCs w:val="24"/>
          <w:lang w:val="en-GB"/>
        </w:rPr>
        <w:t>31</w:t>
      </w:r>
      <w:r w:rsidR="00C802B6">
        <w:rPr>
          <w:rFonts w:cstheme="minorHAnsi"/>
          <w:spacing w:val="-3"/>
          <w:sz w:val="24"/>
          <w:szCs w:val="24"/>
          <w:lang w:val="en-GB"/>
        </w:rPr>
        <w:t xml:space="preserve"> December </w:t>
      </w:r>
      <w:r w:rsidR="00154A76" w:rsidRPr="00041197">
        <w:rPr>
          <w:rFonts w:cstheme="minorHAnsi"/>
          <w:spacing w:val="-3"/>
          <w:sz w:val="24"/>
          <w:szCs w:val="24"/>
          <w:lang w:val="en-GB"/>
        </w:rPr>
        <w:t>201</w:t>
      </w:r>
      <w:r w:rsidR="004F726B">
        <w:rPr>
          <w:rFonts w:cstheme="minorHAnsi"/>
          <w:spacing w:val="-3"/>
          <w:sz w:val="24"/>
          <w:szCs w:val="24"/>
          <w:lang w:val="en-GB"/>
        </w:rPr>
        <w:t>9</w:t>
      </w:r>
      <w:r w:rsidR="00011681" w:rsidRPr="00041197">
        <w:rPr>
          <w:rFonts w:cstheme="minorHAnsi"/>
          <w:spacing w:val="-3"/>
          <w:sz w:val="24"/>
          <w:szCs w:val="24"/>
          <w:lang w:val="en-GB"/>
        </w:rPr>
        <w:t xml:space="preserve">. </w:t>
      </w:r>
    </w:p>
    <w:p w14:paraId="17FDE3C2" w14:textId="77777777" w:rsidR="00306D3A" w:rsidRPr="002A10E9" w:rsidRDefault="00306D3A" w:rsidP="002A10E9">
      <w:pPr>
        <w:keepNext/>
        <w:tabs>
          <w:tab w:val="left" w:pos="993"/>
        </w:tabs>
        <w:spacing w:after="0" w:line="240" w:lineRule="auto"/>
        <w:jc w:val="both"/>
        <w:rPr>
          <w:rFonts w:cs="Arial"/>
          <w:bCs/>
          <w:sz w:val="18"/>
          <w:szCs w:val="24"/>
          <w:lang w:val="en-GB"/>
        </w:rPr>
      </w:pPr>
    </w:p>
    <w:p w14:paraId="02174B58" w14:textId="77777777" w:rsidR="00C802B6" w:rsidRPr="00395073" w:rsidRDefault="00C802B6" w:rsidP="00C802B6">
      <w:pPr>
        <w:spacing w:after="0" w:line="240" w:lineRule="auto"/>
        <w:jc w:val="both"/>
        <w:rPr>
          <w:rFonts w:eastAsia="Times New Roman" w:cs="Calibri"/>
          <w:b/>
          <w:i/>
          <w:sz w:val="24"/>
          <w:szCs w:val="24"/>
          <w:lang w:val="en-GB" w:eastAsia="hr-HR"/>
        </w:rPr>
      </w:pPr>
      <w:r w:rsidRPr="00395073">
        <w:rPr>
          <w:rFonts w:eastAsia="Times New Roman" w:cs="Calibri"/>
          <w:b/>
          <w:i/>
          <w:sz w:val="24"/>
          <w:szCs w:val="24"/>
          <w:lang w:val="en-GB" w:eastAsia="hr-HR"/>
        </w:rPr>
        <w:t xml:space="preserve">Cash on hand and deposits with other banks </w:t>
      </w:r>
    </w:p>
    <w:p w14:paraId="52B2157B" w14:textId="77777777" w:rsidR="007667DB" w:rsidRPr="002A10E9" w:rsidRDefault="007667DB" w:rsidP="00602844">
      <w:pPr>
        <w:spacing w:after="0" w:line="240" w:lineRule="auto"/>
        <w:jc w:val="both"/>
        <w:rPr>
          <w:rFonts w:eastAsia="Times New Roman" w:cs="Calibri"/>
          <w:b/>
          <w:sz w:val="18"/>
          <w:szCs w:val="24"/>
          <w:lang w:val="en-GB" w:eastAsia="hr-HR"/>
        </w:rPr>
      </w:pPr>
    </w:p>
    <w:p w14:paraId="14EEF777" w14:textId="1D297733" w:rsidR="00765AC6" w:rsidRPr="00041197" w:rsidRDefault="00C802B6" w:rsidP="00602844">
      <w:pPr>
        <w:spacing w:after="0" w:line="240" w:lineRule="auto"/>
        <w:jc w:val="both"/>
        <w:rPr>
          <w:rFonts w:cstheme="minorHAnsi"/>
          <w:sz w:val="24"/>
          <w:szCs w:val="24"/>
          <w:lang w:val="en-GB"/>
        </w:rPr>
      </w:pPr>
      <w:r>
        <w:rPr>
          <w:rFonts w:cstheme="minorHAnsi"/>
          <w:sz w:val="24"/>
          <w:szCs w:val="24"/>
          <w:lang w:val="en-GB"/>
        </w:rPr>
        <w:t>As at 31 March 20</w:t>
      </w:r>
      <w:r w:rsidR="004F726B">
        <w:rPr>
          <w:rFonts w:cstheme="minorHAnsi"/>
          <w:sz w:val="24"/>
          <w:szCs w:val="24"/>
          <w:lang w:val="en-GB"/>
        </w:rPr>
        <w:t>20</w:t>
      </w:r>
      <w:r>
        <w:rPr>
          <w:rFonts w:cstheme="minorHAnsi"/>
          <w:sz w:val="24"/>
          <w:szCs w:val="24"/>
          <w:lang w:val="en-GB"/>
        </w:rPr>
        <w:t xml:space="preserve">, </w:t>
      </w:r>
      <w:r w:rsidRPr="00395073">
        <w:rPr>
          <w:rFonts w:cstheme="minorHAnsi"/>
          <w:sz w:val="24"/>
          <w:szCs w:val="24"/>
          <w:lang w:val="en-GB"/>
        </w:rPr>
        <w:t xml:space="preserve">cash on hand and deposits with other banks amounted to HRK </w:t>
      </w:r>
      <w:r w:rsidR="004F726B">
        <w:rPr>
          <w:rFonts w:cstheme="minorHAnsi"/>
          <w:sz w:val="24"/>
          <w:szCs w:val="24"/>
          <w:lang w:val="en-GB"/>
        </w:rPr>
        <w:t>1,483</w:t>
      </w:r>
      <w:r>
        <w:rPr>
          <w:rFonts w:cstheme="minorHAnsi"/>
          <w:sz w:val="24"/>
          <w:szCs w:val="24"/>
          <w:lang w:val="en-GB"/>
        </w:rPr>
        <w:t>.</w:t>
      </w:r>
      <w:r w:rsidR="004F726B">
        <w:rPr>
          <w:rFonts w:cstheme="minorHAnsi"/>
          <w:sz w:val="24"/>
          <w:szCs w:val="24"/>
          <w:lang w:val="en-GB"/>
        </w:rPr>
        <w:t>3</w:t>
      </w:r>
      <w:r w:rsidR="00DB38B6" w:rsidRPr="00041197">
        <w:rPr>
          <w:rFonts w:cstheme="minorHAnsi"/>
          <w:sz w:val="24"/>
          <w:szCs w:val="24"/>
          <w:lang w:val="en-GB"/>
        </w:rPr>
        <w:t xml:space="preserve"> </w:t>
      </w:r>
      <w:r>
        <w:rPr>
          <w:rFonts w:cstheme="minorHAnsi"/>
          <w:sz w:val="24"/>
          <w:szCs w:val="24"/>
          <w:lang w:val="en-GB"/>
        </w:rPr>
        <w:t>million representing</w:t>
      </w:r>
      <w:r w:rsidR="00810A4B" w:rsidRPr="00041197">
        <w:rPr>
          <w:rFonts w:cstheme="minorHAnsi"/>
          <w:sz w:val="24"/>
          <w:szCs w:val="24"/>
          <w:lang w:val="en-GB"/>
        </w:rPr>
        <w:t xml:space="preserve"> </w:t>
      </w:r>
      <w:r w:rsidR="004F726B">
        <w:rPr>
          <w:rFonts w:cstheme="minorHAnsi"/>
          <w:sz w:val="24"/>
          <w:szCs w:val="24"/>
          <w:lang w:val="en-GB"/>
        </w:rPr>
        <w:t>5</w:t>
      </w:r>
      <w:r>
        <w:rPr>
          <w:rFonts w:cstheme="minorHAnsi"/>
          <w:sz w:val="24"/>
          <w:szCs w:val="24"/>
          <w:lang w:val="en-GB"/>
        </w:rPr>
        <w:t>.</w:t>
      </w:r>
      <w:r w:rsidR="004F726B">
        <w:rPr>
          <w:rFonts w:cstheme="minorHAnsi"/>
          <w:sz w:val="24"/>
          <w:szCs w:val="24"/>
          <w:lang w:val="en-GB"/>
        </w:rPr>
        <w:t>6</w:t>
      </w:r>
      <w:r w:rsidR="00192762" w:rsidRPr="00041197">
        <w:rPr>
          <w:rFonts w:cstheme="minorHAnsi"/>
          <w:sz w:val="24"/>
          <w:szCs w:val="24"/>
          <w:lang w:val="en-GB"/>
        </w:rPr>
        <w:t xml:space="preserve"> </w:t>
      </w:r>
      <w:r w:rsidR="001014AC" w:rsidRPr="00041197">
        <w:rPr>
          <w:rFonts w:cstheme="minorHAnsi"/>
          <w:sz w:val="24"/>
          <w:szCs w:val="24"/>
          <w:lang w:val="en-GB"/>
        </w:rPr>
        <w:t>p</w:t>
      </w:r>
      <w:r>
        <w:rPr>
          <w:rFonts w:cstheme="minorHAnsi"/>
          <w:sz w:val="24"/>
          <w:szCs w:val="24"/>
          <w:lang w:val="en-GB"/>
        </w:rPr>
        <w:t>ercent of total assets, a</w:t>
      </w:r>
      <w:r w:rsidR="004F726B">
        <w:rPr>
          <w:rFonts w:cstheme="minorHAnsi"/>
          <w:sz w:val="24"/>
          <w:szCs w:val="24"/>
          <w:lang w:val="en-GB"/>
        </w:rPr>
        <w:t>n</w:t>
      </w:r>
      <w:r>
        <w:rPr>
          <w:rFonts w:cstheme="minorHAnsi"/>
          <w:sz w:val="24"/>
          <w:szCs w:val="24"/>
          <w:lang w:val="en-GB"/>
        </w:rPr>
        <w:t xml:space="preserve"> </w:t>
      </w:r>
      <w:r w:rsidR="004F726B">
        <w:rPr>
          <w:rFonts w:cstheme="minorHAnsi"/>
          <w:sz w:val="24"/>
          <w:szCs w:val="24"/>
          <w:lang w:val="en-GB"/>
        </w:rPr>
        <w:t>in</w:t>
      </w:r>
      <w:r>
        <w:rPr>
          <w:rFonts w:cstheme="minorHAnsi"/>
          <w:sz w:val="24"/>
          <w:szCs w:val="24"/>
          <w:lang w:val="en-GB"/>
        </w:rPr>
        <w:t>crease of</w:t>
      </w:r>
      <w:r w:rsidR="00810A4B" w:rsidRPr="00041197">
        <w:rPr>
          <w:rFonts w:cstheme="minorHAnsi"/>
          <w:sz w:val="24"/>
          <w:szCs w:val="24"/>
          <w:lang w:val="en-GB"/>
        </w:rPr>
        <w:t xml:space="preserve"> </w:t>
      </w:r>
      <w:r w:rsidR="005E6C3C" w:rsidRPr="00041197">
        <w:rPr>
          <w:rFonts w:cstheme="minorHAnsi"/>
          <w:sz w:val="24"/>
          <w:szCs w:val="24"/>
          <w:lang w:val="en-GB"/>
        </w:rPr>
        <w:t>3</w:t>
      </w:r>
      <w:r>
        <w:rPr>
          <w:rFonts w:cstheme="minorHAnsi"/>
          <w:sz w:val="24"/>
          <w:szCs w:val="24"/>
          <w:lang w:val="en-GB"/>
        </w:rPr>
        <w:t>.</w:t>
      </w:r>
      <w:r w:rsidR="004F726B">
        <w:rPr>
          <w:rFonts w:cstheme="minorHAnsi"/>
          <w:sz w:val="24"/>
          <w:szCs w:val="24"/>
          <w:lang w:val="en-GB"/>
        </w:rPr>
        <w:t>4</w:t>
      </w:r>
      <w:r w:rsidR="00BE2A95" w:rsidRPr="00041197">
        <w:rPr>
          <w:rFonts w:cstheme="minorHAnsi"/>
          <w:sz w:val="24"/>
          <w:szCs w:val="24"/>
          <w:lang w:val="en-GB"/>
        </w:rPr>
        <w:t xml:space="preserve"> p</w:t>
      </w:r>
      <w:r>
        <w:rPr>
          <w:rFonts w:cstheme="minorHAnsi"/>
          <w:sz w:val="24"/>
          <w:szCs w:val="24"/>
          <w:lang w:val="en-GB"/>
        </w:rPr>
        <w:t>ercent</w:t>
      </w:r>
      <w:r w:rsidR="00810A4B" w:rsidRPr="00041197">
        <w:rPr>
          <w:rFonts w:cstheme="minorHAnsi"/>
          <w:sz w:val="24"/>
          <w:szCs w:val="24"/>
          <w:lang w:val="en-GB"/>
        </w:rPr>
        <w:t xml:space="preserve"> </w:t>
      </w:r>
      <w:r w:rsidRPr="00395073">
        <w:rPr>
          <w:rFonts w:cstheme="minorHAnsi"/>
          <w:sz w:val="24"/>
          <w:szCs w:val="24"/>
          <w:lang w:val="en-GB"/>
        </w:rPr>
        <w:t xml:space="preserve">compared with 31 December </w:t>
      </w:r>
      <w:r w:rsidR="00A244EE" w:rsidRPr="00041197">
        <w:rPr>
          <w:rFonts w:cstheme="minorHAnsi"/>
          <w:sz w:val="24"/>
          <w:szCs w:val="24"/>
          <w:lang w:val="en-GB"/>
        </w:rPr>
        <w:t>201</w:t>
      </w:r>
      <w:r w:rsidR="004F726B">
        <w:rPr>
          <w:rFonts w:cstheme="minorHAnsi"/>
          <w:sz w:val="24"/>
          <w:szCs w:val="24"/>
          <w:lang w:val="en-GB"/>
        </w:rPr>
        <w:t>9</w:t>
      </w:r>
      <w:r>
        <w:rPr>
          <w:rFonts w:cstheme="minorHAnsi"/>
          <w:sz w:val="24"/>
          <w:szCs w:val="24"/>
          <w:lang w:val="en-GB"/>
        </w:rPr>
        <w:t xml:space="preserve"> </w:t>
      </w:r>
      <w:r w:rsidRPr="00395073">
        <w:rPr>
          <w:rFonts w:cstheme="minorHAnsi"/>
          <w:sz w:val="24"/>
          <w:szCs w:val="24"/>
          <w:lang w:val="en-GB"/>
        </w:rPr>
        <w:t>as a result of reallocation of liquidity reserve funds</w:t>
      </w:r>
      <w:r w:rsidR="0013644E" w:rsidRPr="00041197">
        <w:rPr>
          <w:rFonts w:cstheme="minorHAnsi"/>
          <w:sz w:val="24"/>
          <w:szCs w:val="24"/>
          <w:lang w:val="en-GB"/>
        </w:rPr>
        <w:t>.</w:t>
      </w:r>
    </w:p>
    <w:p w14:paraId="2E984A4D" w14:textId="77777777" w:rsidR="00192D81" w:rsidRPr="002A10E9" w:rsidRDefault="00192D81" w:rsidP="00602844">
      <w:pPr>
        <w:spacing w:after="0" w:line="240" w:lineRule="auto"/>
        <w:jc w:val="both"/>
        <w:rPr>
          <w:rFonts w:eastAsia="Times New Roman" w:cs="Calibri"/>
          <w:sz w:val="18"/>
          <w:szCs w:val="24"/>
          <w:lang w:val="en-GB" w:eastAsia="hr-HR"/>
        </w:rPr>
      </w:pPr>
    </w:p>
    <w:p w14:paraId="4A9DBD5D" w14:textId="77777777" w:rsidR="00B77DB9" w:rsidRPr="00395073" w:rsidRDefault="00B77DB9" w:rsidP="00B77DB9">
      <w:pPr>
        <w:spacing w:after="0" w:line="240" w:lineRule="auto"/>
        <w:jc w:val="both"/>
        <w:rPr>
          <w:rFonts w:eastAsia="Times New Roman" w:cs="Calibri"/>
          <w:b/>
          <w:i/>
          <w:sz w:val="24"/>
          <w:szCs w:val="24"/>
          <w:lang w:val="en-GB" w:eastAsia="hr-HR"/>
        </w:rPr>
      </w:pPr>
      <w:r w:rsidRPr="00395073">
        <w:rPr>
          <w:rFonts w:eastAsia="Times New Roman" w:cs="Calibri"/>
          <w:b/>
          <w:i/>
          <w:sz w:val="24"/>
          <w:szCs w:val="24"/>
          <w:lang w:val="en-GB" w:eastAsia="hr-HR"/>
        </w:rPr>
        <w:t xml:space="preserve">Loans to financial institutions and other customers </w:t>
      </w:r>
    </w:p>
    <w:p w14:paraId="207687FB" w14:textId="77777777" w:rsidR="00B57DFA" w:rsidRPr="002A10E9" w:rsidRDefault="00B57DFA" w:rsidP="00FF28FF">
      <w:pPr>
        <w:spacing w:after="0" w:line="240" w:lineRule="auto"/>
        <w:jc w:val="both"/>
        <w:rPr>
          <w:rFonts w:eastAsia="Times New Roman" w:cs="Calibri"/>
          <w:sz w:val="18"/>
          <w:szCs w:val="24"/>
          <w:lang w:val="en-GB" w:eastAsia="hr-HR"/>
        </w:rPr>
      </w:pPr>
    </w:p>
    <w:p w14:paraId="7E4B70EF" w14:textId="1688BC0B" w:rsidR="00810A4B" w:rsidRPr="00041197" w:rsidRDefault="00B77DB9">
      <w:pPr>
        <w:spacing w:after="0" w:line="240" w:lineRule="auto"/>
        <w:jc w:val="both"/>
        <w:rPr>
          <w:rFonts w:cstheme="minorHAnsi"/>
          <w:spacing w:val="-3"/>
          <w:sz w:val="24"/>
          <w:szCs w:val="24"/>
          <w:lang w:val="en-GB"/>
        </w:rPr>
      </w:pPr>
      <w:r>
        <w:rPr>
          <w:rFonts w:cstheme="minorHAnsi"/>
          <w:spacing w:val="-3"/>
          <w:sz w:val="24"/>
          <w:szCs w:val="24"/>
          <w:lang w:val="en-GB"/>
        </w:rPr>
        <w:t>As at 31 March 20</w:t>
      </w:r>
      <w:r w:rsidR="00B6799C">
        <w:rPr>
          <w:rFonts w:cstheme="minorHAnsi"/>
          <w:spacing w:val="-3"/>
          <w:sz w:val="24"/>
          <w:szCs w:val="24"/>
          <w:lang w:val="en-GB"/>
        </w:rPr>
        <w:t>20</w:t>
      </w:r>
      <w:r>
        <w:rPr>
          <w:rFonts w:cstheme="minorHAnsi"/>
          <w:spacing w:val="-3"/>
          <w:sz w:val="24"/>
          <w:szCs w:val="24"/>
          <w:lang w:val="en-GB"/>
        </w:rPr>
        <w:t xml:space="preserve">, </w:t>
      </w:r>
      <w:r w:rsidRPr="00395073">
        <w:rPr>
          <w:rFonts w:cstheme="minorHAnsi"/>
          <w:spacing w:val="-3"/>
          <w:sz w:val="24"/>
          <w:szCs w:val="24"/>
          <w:lang w:val="en-GB"/>
        </w:rPr>
        <w:t xml:space="preserve">total net loans amounted to HRK </w:t>
      </w:r>
      <w:r w:rsidR="00C5425F" w:rsidRPr="00041197">
        <w:rPr>
          <w:rFonts w:cstheme="minorHAnsi"/>
          <w:spacing w:val="-3"/>
          <w:sz w:val="24"/>
          <w:szCs w:val="24"/>
          <w:lang w:val="en-GB"/>
        </w:rPr>
        <w:t>2</w:t>
      </w:r>
      <w:r w:rsidR="005E6C3C" w:rsidRPr="00041197">
        <w:rPr>
          <w:rFonts w:cstheme="minorHAnsi"/>
          <w:spacing w:val="-3"/>
          <w:sz w:val="24"/>
          <w:szCs w:val="24"/>
          <w:lang w:val="en-GB"/>
        </w:rPr>
        <w:t>3</w:t>
      </w:r>
      <w:r>
        <w:rPr>
          <w:rFonts w:cstheme="minorHAnsi"/>
          <w:spacing w:val="-3"/>
          <w:sz w:val="24"/>
          <w:szCs w:val="24"/>
          <w:lang w:val="en-GB"/>
        </w:rPr>
        <w:t>,</w:t>
      </w:r>
      <w:r w:rsidR="00B6799C">
        <w:rPr>
          <w:rFonts w:cstheme="minorHAnsi"/>
          <w:spacing w:val="-3"/>
          <w:sz w:val="24"/>
          <w:szCs w:val="24"/>
          <w:lang w:val="en-GB"/>
        </w:rPr>
        <w:t>498</w:t>
      </w:r>
      <w:r>
        <w:rPr>
          <w:rFonts w:cstheme="minorHAnsi"/>
          <w:spacing w:val="-3"/>
          <w:sz w:val="24"/>
          <w:szCs w:val="24"/>
          <w:lang w:val="en-GB"/>
        </w:rPr>
        <w:t>.</w:t>
      </w:r>
      <w:r w:rsidR="00B6799C">
        <w:rPr>
          <w:rFonts w:cstheme="minorHAnsi"/>
          <w:spacing w:val="-3"/>
          <w:sz w:val="24"/>
          <w:szCs w:val="24"/>
          <w:lang w:val="en-GB"/>
        </w:rPr>
        <w:t>2</w:t>
      </w:r>
      <w:r w:rsidR="00810A4B" w:rsidRPr="00041197">
        <w:rPr>
          <w:rFonts w:cstheme="minorHAnsi"/>
          <w:spacing w:val="-3"/>
          <w:sz w:val="24"/>
          <w:szCs w:val="24"/>
          <w:lang w:val="en-GB"/>
        </w:rPr>
        <w:t xml:space="preserve"> mil</w:t>
      </w:r>
      <w:r>
        <w:rPr>
          <w:rFonts w:cstheme="minorHAnsi"/>
          <w:spacing w:val="-3"/>
          <w:sz w:val="24"/>
          <w:szCs w:val="24"/>
          <w:lang w:val="en-GB"/>
        </w:rPr>
        <w:t xml:space="preserve">lion representing </w:t>
      </w:r>
      <w:r w:rsidR="00C5425F" w:rsidRPr="00041197">
        <w:rPr>
          <w:rFonts w:cstheme="minorHAnsi"/>
          <w:spacing w:val="-3"/>
          <w:sz w:val="24"/>
          <w:szCs w:val="24"/>
          <w:lang w:val="en-GB"/>
        </w:rPr>
        <w:t>8</w:t>
      </w:r>
      <w:r w:rsidR="005E6C3C" w:rsidRPr="00041197">
        <w:rPr>
          <w:rFonts w:cstheme="minorHAnsi"/>
          <w:spacing w:val="-3"/>
          <w:sz w:val="24"/>
          <w:szCs w:val="24"/>
          <w:lang w:val="en-GB"/>
        </w:rPr>
        <w:t>8</w:t>
      </w:r>
      <w:r>
        <w:rPr>
          <w:rFonts w:cstheme="minorHAnsi"/>
          <w:spacing w:val="-3"/>
          <w:sz w:val="24"/>
          <w:szCs w:val="24"/>
          <w:lang w:val="en-GB"/>
        </w:rPr>
        <w:t>.</w:t>
      </w:r>
      <w:r w:rsidR="00B6799C">
        <w:rPr>
          <w:rFonts w:cstheme="minorHAnsi"/>
          <w:spacing w:val="-3"/>
          <w:sz w:val="24"/>
          <w:szCs w:val="24"/>
          <w:lang w:val="en-GB"/>
        </w:rPr>
        <w:t>2</w:t>
      </w:r>
      <w:r w:rsidR="003F2303" w:rsidRPr="00041197">
        <w:rPr>
          <w:rFonts w:cstheme="minorHAnsi"/>
          <w:spacing w:val="-3"/>
          <w:sz w:val="24"/>
          <w:szCs w:val="24"/>
          <w:lang w:val="en-GB"/>
        </w:rPr>
        <w:t xml:space="preserve"> p</w:t>
      </w:r>
      <w:r>
        <w:rPr>
          <w:rFonts w:cstheme="minorHAnsi"/>
          <w:spacing w:val="-3"/>
          <w:sz w:val="24"/>
          <w:szCs w:val="24"/>
          <w:lang w:val="en-GB"/>
        </w:rPr>
        <w:t xml:space="preserve">ercent of total assets, an increase </w:t>
      </w:r>
      <w:r w:rsidR="00B6799C">
        <w:rPr>
          <w:rFonts w:cstheme="minorHAnsi"/>
          <w:spacing w:val="-3"/>
          <w:sz w:val="24"/>
          <w:szCs w:val="24"/>
          <w:lang w:val="en-GB"/>
        </w:rPr>
        <w:t>1</w:t>
      </w:r>
      <w:r>
        <w:rPr>
          <w:rFonts w:cstheme="minorHAnsi"/>
          <w:spacing w:val="-3"/>
          <w:sz w:val="24"/>
          <w:szCs w:val="24"/>
          <w:lang w:val="en-GB"/>
        </w:rPr>
        <w:t>.</w:t>
      </w:r>
      <w:r w:rsidR="00B6799C">
        <w:rPr>
          <w:rFonts w:cstheme="minorHAnsi"/>
          <w:spacing w:val="-3"/>
          <w:sz w:val="24"/>
          <w:szCs w:val="24"/>
          <w:lang w:val="en-GB"/>
        </w:rPr>
        <w:t>5</w:t>
      </w:r>
      <w:r w:rsidR="00157AA7" w:rsidRPr="00041197">
        <w:rPr>
          <w:rFonts w:cstheme="minorHAnsi"/>
          <w:spacing w:val="-3"/>
          <w:sz w:val="24"/>
          <w:szCs w:val="24"/>
          <w:lang w:val="en-GB"/>
        </w:rPr>
        <w:t xml:space="preserve"> p</w:t>
      </w:r>
      <w:r>
        <w:rPr>
          <w:rFonts w:cstheme="minorHAnsi"/>
          <w:spacing w:val="-3"/>
          <w:sz w:val="24"/>
          <w:szCs w:val="24"/>
          <w:lang w:val="en-GB"/>
        </w:rPr>
        <w:t>ercent on the beginning of the year</w:t>
      </w:r>
      <w:r w:rsidR="00810A4B" w:rsidRPr="00041197">
        <w:rPr>
          <w:rFonts w:cstheme="minorHAnsi"/>
          <w:spacing w:val="-3"/>
          <w:sz w:val="24"/>
          <w:szCs w:val="24"/>
          <w:lang w:val="en-GB"/>
        </w:rPr>
        <w:t xml:space="preserve">. </w:t>
      </w:r>
    </w:p>
    <w:p w14:paraId="2F388F57" w14:textId="77777777" w:rsidR="00810A4B" w:rsidRPr="002A10E9" w:rsidRDefault="00810A4B" w:rsidP="00810A4B">
      <w:pPr>
        <w:spacing w:after="0" w:line="240" w:lineRule="auto"/>
        <w:jc w:val="both"/>
        <w:rPr>
          <w:rFonts w:cstheme="minorHAnsi"/>
          <w:spacing w:val="-3"/>
          <w:sz w:val="18"/>
          <w:szCs w:val="24"/>
          <w:lang w:val="en-GB"/>
        </w:rPr>
      </w:pPr>
    </w:p>
    <w:p w14:paraId="6A5A7E3B" w14:textId="77777777" w:rsidR="00B6799C" w:rsidRDefault="00B77DB9" w:rsidP="007B069A">
      <w:pPr>
        <w:spacing w:after="0" w:line="240" w:lineRule="auto"/>
        <w:jc w:val="both"/>
        <w:rPr>
          <w:rFonts w:cstheme="minorHAnsi"/>
          <w:spacing w:val="-3"/>
          <w:sz w:val="24"/>
          <w:szCs w:val="24"/>
          <w:lang w:val="en-GB"/>
        </w:rPr>
      </w:pPr>
      <w:r w:rsidRPr="00395073">
        <w:rPr>
          <w:rFonts w:cstheme="minorHAnsi"/>
          <w:spacing w:val="-3"/>
          <w:sz w:val="24"/>
          <w:szCs w:val="24"/>
          <w:lang w:val="en-GB"/>
        </w:rPr>
        <w:t xml:space="preserve">Total gross loans amounted to HRK </w:t>
      </w:r>
      <w:r w:rsidR="00746BE9" w:rsidRPr="00041197">
        <w:rPr>
          <w:rFonts w:cstheme="minorHAnsi"/>
          <w:spacing w:val="-3"/>
          <w:sz w:val="24"/>
          <w:szCs w:val="24"/>
          <w:lang w:val="en-GB"/>
        </w:rPr>
        <w:t>2</w:t>
      </w:r>
      <w:r w:rsidR="00B6799C">
        <w:rPr>
          <w:rFonts w:cstheme="minorHAnsi"/>
          <w:spacing w:val="-3"/>
          <w:sz w:val="24"/>
          <w:szCs w:val="24"/>
          <w:lang w:val="en-GB"/>
        </w:rPr>
        <w:t>6</w:t>
      </w:r>
      <w:r>
        <w:rPr>
          <w:rFonts w:cstheme="minorHAnsi"/>
          <w:spacing w:val="-3"/>
          <w:sz w:val="24"/>
          <w:szCs w:val="24"/>
          <w:lang w:val="en-GB"/>
        </w:rPr>
        <w:t>,</w:t>
      </w:r>
      <w:r w:rsidR="00B6799C">
        <w:rPr>
          <w:rFonts w:cstheme="minorHAnsi"/>
          <w:spacing w:val="-3"/>
          <w:sz w:val="24"/>
          <w:szCs w:val="24"/>
          <w:lang w:val="en-GB"/>
        </w:rPr>
        <w:t>969</w:t>
      </w:r>
      <w:r>
        <w:rPr>
          <w:rFonts w:cstheme="minorHAnsi"/>
          <w:spacing w:val="-3"/>
          <w:sz w:val="24"/>
          <w:szCs w:val="24"/>
          <w:lang w:val="en-GB"/>
        </w:rPr>
        <w:t>.</w:t>
      </w:r>
      <w:r w:rsidR="00B6799C">
        <w:rPr>
          <w:rFonts w:cstheme="minorHAnsi"/>
          <w:spacing w:val="-3"/>
          <w:sz w:val="24"/>
          <w:szCs w:val="24"/>
          <w:lang w:val="en-GB"/>
        </w:rPr>
        <w:t>8</w:t>
      </w:r>
      <w:r w:rsidR="003F2303" w:rsidRPr="00041197">
        <w:rPr>
          <w:rFonts w:cstheme="minorHAnsi"/>
          <w:spacing w:val="-3"/>
          <w:sz w:val="24"/>
          <w:szCs w:val="24"/>
          <w:lang w:val="en-GB"/>
        </w:rPr>
        <w:t xml:space="preserve"> </w:t>
      </w:r>
      <w:r>
        <w:rPr>
          <w:rFonts w:cstheme="minorHAnsi"/>
          <w:spacing w:val="-3"/>
          <w:sz w:val="24"/>
          <w:szCs w:val="24"/>
          <w:lang w:val="en-GB"/>
        </w:rPr>
        <w:t xml:space="preserve">million, an increase of </w:t>
      </w:r>
      <w:r w:rsidR="00B6799C">
        <w:rPr>
          <w:rFonts w:cstheme="minorHAnsi"/>
          <w:spacing w:val="-3"/>
          <w:sz w:val="24"/>
          <w:szCs w:val="24"/>
          <w:lang w:val="en-GB"/>
        </w:rPr>
        <w:t>1</w:t>
      </w:r>
      <w:r>
        <w:rPr>
          <w:rFonts w:cstheme="minorHAnsi"/>
          <w:spacing w:val="-3"/>
          <w:sz w:val="24"/>
          <w:szCs w:val="24"/>
          <w:lang w:val="en-GB"/>
        </w:rPr>
        <w:t>.</w:t>
      </w:r>
      <w:r w:rsidR="00B6799C">
        <w:rPr>
          <w:rFonts w:cstheme="minorHAnsi"/>
          <w:spacing w:val="-3"/>
          <w:sz w:val="24"/>
          <w:szCs w:val="24"/>
          <w:lang w:val="en-GB"/>
        </w:rPr>
        <w:t>5</w:t>
      </w:r>
      <w:r>
        <w:rPr>
          <w:rFonts w:cstheme="minorHAnsi"/>
          <w:spacing w:val="-3"/>
          <w:sz w:val="24"/>
          <w:szCs w:val="24"/>
          <w:lang w:val="en-GB"/>
        </w:rPr>
        <w:t xml:space="preserve"> percent</w:t>
      </w:r>
      <w:r w:rsidR="00157AA7" w:rsidRPr="00041197">
        <w:rPr>
          <w:rFonts w:cstheme="minorHAnsi"/>
          <w:spacing w:val="-3"/>
          <w:sz w:val="24"/>
          <w:szCs w:val="24"/>
          <w:lang w:val="en-GB"/>
        </w:rPr>
        <w:t xml:space="preserve"> </w:t>
      </w:r>
      <w:r w:rsidRPr="00395073">
        <w:rPr>
          <w:rFonts w:cstheme="minorHAnsi"/>
          <w:spacing w:val="-3"/>
          <w:sz w:val="24"/>
          <w:szCs w:val="24"/>
          <w:lang w:val="en-GB"/>
        </w:rPr>
        <w:t xml:space="preserve">compared with 31 December </w:t>
      </w:r>
      <w:r w:rsidR="00E33732" w:rsidRPr="00041197">
        <w:rPr>
          <w:rFonts w:cstheme="minorHAnsi"/>
          <w:spacing w:val="-3"/>
          <w:sz w:val="24"/>
          <w:szCs w:val="24"/>
          <w:lang w:val="en-GB"/>
        </w:rPr>
        <w:t>201</w:t>
      </w:r>
      <w:r w:rsidR="00B6799C">
        <w:rPr>
          <w:rFonts w:cstheme="minorHAnsi"/>
          <w:spacing w:val="-3"/>
          <w:sz w:val="24"/>
          <w:szCs w:val="24"/>
          <w:lang w:val="en-GB"/>
        </w:rPr>
        <w:t>9</w:t>
      </w:r>
      <w:r w:rsidR="00C146AB" w:rsidRPr="00041197">
        <w:rPr>
          <w:rFonts w:cstheme="minorHAnsi"/>
          <w:spacing w:val="-3"/>
          <w:sz w:val="24"/>
          <w:szCs w:val="24"/>
          <w:lang w:val="en-GB"/>
        </w:rPr>
        <w:t>.</w:t>
      </w:r>
      <w:r w:rsidR="00157AA7" w:rsidRPr="00041197">
        <w:rPr>
          <w:rFonts w:cstheme="minorHAnsi"/>
          <w:spacing w:val="-3"/>
          <w:sz w:val="24"/>
          <w:szCs w:val="24"/>
          <w:lang w:val="en-GB"/>
        </w:rPr>
        <w:t xml:space="preserve"> </w:t>
      </w:r>
      <w:r w:rsidRPr="00395073">
        <w:rPr>
          <w:rFonts w:eastAsia="Times New Roman" w:cs="Calibri"/>
          <w:sz w:val="24"/>
          <w:szCs w:val="24"/>
          <w:lang w:val="en-GB" w:eastAsia="hr-HR"/>
        </w:rPr>
        <w:t xml:space="preserve">Gross loans to other customers increased by </w:t>
      </w:r>
      <w:r w:rsidR="00B6799C">
        <w:rPr>
          <w:rFonts w:eastAsia="Times New Roman" w:cs="Calibri"/>
          <w:sz w:val="24"/>
          <w:szCs w:val="24"/>
          <w:lang w:val="en-GB" w:eastAsia="hr-HR"/>
        </w:rPr>
        <w:t>2</w:t>
      </w:r>
      <w:r>
        <w:rPr>
          <w:rFonts w:eastAsia="Times New Roman" w:cs="Calibri"/>
          <w:sz w:val="24"/>
          <w:szCs w:val="24"/>
          <w:lang w:val="en-GB" w:eastAsia="hr-HR"/>
        </w:rPr>
        <w:t>.</w:t>
      </w:r>
      <w:r w:rsidR="00B6799C">
        <w:rPr>
          <w:rFonts w:eastAsia="Times New Roman" w:cs="Calibri"/>
          <w:sz w:val="24"/>
          <w:szCs w:val="24"/>
          <w:lang w:val="en-GB" w:eastAsia="hr-HR"/>
        </w:rPr>
        <w:t>5</w:t>
      </w:r>
      <w:r w:rsidR="00B755B8" w:rsidRPr="00041197">
        <w:rPr>
          <w:rFonts w:eastAsia="Times New Roman" w:cs="Calibri"/>
          <w:sz w:val="24"/>
          <w:szCs w:val="24"/>
          <w:lang w:val="en-GB" w:eastAsia="hr-HR"/>
        </w:rPr>
        <w:t xml:space="preserve"> p</w:t>
      </w:r>
      <w:r>
        <w:rPr>
          <w:rFonts w:eastAsia="Times New Roman" w:cs="Calibri"/>
          <w:sz w:val="24"/>
          <w:szCs w:val="24"/>
          <w:lang w:val="en-GB" w:eastAsia="hr-HR"/>
        </w:rPr>
        <w:t>ercent</w:t>
      </w:r>
      <w:r w:rsidR="00B755B8" w:rsidRPr="00041197">
        <w:rPr>
          <w:rFonts w:eastAsia="Times New Roman" w:cs="Calibri"/>
          <w:sz w:val="24"/>
          <w:szCs w:val="24"/>
          <w:lang w:val="en-GB" w:eastAsia="hr-HR"/>
        </w:rPr>
        <w:t xml:space="preserve"> </w:t>
      </w:r>
      <w:r w:rsidRPr="00395073">
        <w:rPr>
          <w:rFonts w:eastAsia="Times New Roman" w:cs="Calibri"/>
          <w:sz w:val="24"/>
          <w:szCs w:val="24"/>
          <w:lang w:val="en-GB" w:eastAsia="hr-HR"/>
        </w:rPr>
        <w:t xml:space="preserve">compared with the end of </w:t>
      </w:r>
      <w:r w:rsidR="00C146AB" w:rsidRPr="00041197">
        <w:rPr>
          <w:rFonts w:eastAsia="Times New Roman" w:cs="Calibri"/>
          <w:sz w:val="24"/>
          <w:szCs w:val="24"/>
          <w:lang w:val="en-GB" w:eastAsia="hr-HR"/>
        </w:rPr>
        <w:t>201</w:t>
      </w:r>
      <w:r w:rsidR="00B6799C">
        <w:rPr>
          <w:rFonts w:eastAsia="Times New Roman" w:cs="Calibri"/>
          <w:sz w:val="24"/>
          <w:szCs w:val="24"/>
          <w:lang w:val="en-GB" w:eastAsia="hr-HR"/>
        </w:rPr>
        <w:t>9</w:t>
      </w:r>
      <w:r w:rsidR="00C146AB" w:rsidRPr="00041197">
        <w:rPr>
          <w:rFonts w:eastAsia="Times New Roman" w:cs="Calibri"/>
          <w:sz w:val="24"/>
          <w:szCs w:val="24"/>
          <w:lang w:val="en-GB" w:eastAsia="hr-HR"/>
        </w:rPr>
        <w:t xml:space="preserve">. </w:t>
      </w:r>
      <w:r w:rsidRPr="00395073">
        <w:rPr>
          <w:rFonts w:eastAsia="Times New Roman" w:cs="Calibri"/>
          <w:sz w:val="24"/>
          <w:szCs w:val="24"/>
          <w:lang w:val="en-GB" w:eastAsia="hr-HR"/>
        </w:rPr>
        <w:t xml:space="preserve">Gross loans to financial institutions </w:t>
      </w:r>
      <w:r>
        <w:rPr>
          <w:rFonts w:eastAsia="Times New Roman" w:cs="Calibri"/>
          <w:sz w:val="24"/>
          <w:szCs w:val="24"/>
          <w:lang w:val="en-GB" w:eastAsia="hr-HR"/>
        </w:rPr>
        <w:t xml:space="preserve">were retained at the level </w:t>
      </w:r>
      <w:r>
        <w:rPr>
          <w:rFonts w:cstheme="minorHAnsi"/>
          <w:spacing w:val="-3"/>
          <w:sz w:val="24"/>
          <w:szCs w:val="24"/>
          <w:lang w:val="en-GB"/>
        </w:rPr>
        <w:t>generated in</w:t>
      </w:r>
      <w:r w:rsidR="00FD5254" w:rsidRPr="00041197">
        <w:rPr>
          <w:rFonts w:cstheme="minorHAnsi"/>
          <w:spacing w:val="-3"/>
          <w:sz w:val="24"/>
          <w:szCs w:val="24"/>
          <w:lang w:val="en-GB"/>
        </w:rPr>
        <w:t xml:space="preserve"> 201</w:t>
      </w:r>
      <w:r w:rsidR="00B6799C">
        <w:rPr>
          <w:rFonts w:cstheme="minorHAnsi"/>
          <w:spacing w:val="-3"/>
          <w:sz w:val="24"/>
          <w:szCs w:val="24"/>
          <w:lang w:val="en-GB"/>
        </w:rPr>
        <w:t>9</w:t>
      </w:r>
      <w:r w:rsidR="00FD5254" w:rsidRPr="00041197">
        <w:rPr>
          <w:rFonts w:cstheme="minorHAnsi"/>
          <w:spacing w:val="-3"/>
          <w:sz w:val="24"/>
          <w:szCs w:val="24"/>
          <w:lang w:val="en-GB"/>
        </w:rPr>
        <w:t>.</w:t>
      </w:r>
    </w:p>
    <w:p w14:paraId="00EEF4F4" w14:textId="77777777" w:rsidR="00B6799C" w:rsidRDefault="00B6799C" w:rsidP="007B069A">
      <w:pPr>
        <w:spacing w:after="0" w:line="240" w:lineRule="auto"/>
        <w:jc w:val="both"/>
        <w:rPr>
          <w:rFonts w:cstheme="minorHAnsi"/>
          <w:spacing w:val="-3"/>
          <w:sz w:val="24"/>
          <w:szCs w:val="24"/>
          <w:lang w:val="en-GB"/>
        </w:rPr>
      </w:pPr>
    </w:p>
    <w:p w14:paraId="11B28876" w14:textId="45143BC9" w:rsidR="00B6799C" w:rsidRPr="00B6799C" w:rsidRDefault="00B6799C" w:rsidP="00486FCF">
      <w:pPr>
        <w:spacing w:after="0" w:line="240" w:lineRule="auto"/>
        <w:jc w:val="both"/>
        <w:rPr>
          <w:rFonts w:ascii="Calibri" w:eastAsia="Calibri" w:hAnsi="Calibri" w:cs="Calibri"/>
          <w:sz w:val="24"/>
          <w:szCs w:val="24"/>
          <w:lang w:val="en-GB"/>
        </w:rPr>
      </w:pPr>
      <w:r w:rsidRPr="00B6799C">
        <w:rPr>
          <w:rFonts w:ascii="Calibri" w:eastAsia="Calibri" w:hAnsi="Calibri" w:cs="Calibri"/>
          <w:sz w:val="24"/>
          <w:szCs w:val="24"/>
          <w:lang w:val="en-GB"/>
        </w:rPr>
        <w:t xml:space="preserve">As at 31. March 2020, the proportion between gross loans on-lent through financial institutions and direct placements stood at 35 </w:t>
      </w:r>
      <w:proofErr w:type="gramStart"/>
      <w:r w:rsidRPr="00B6799C">
        <w:rPr>
          <w:rFonts w:ascii="Calibri" w:eastAsia="Calibri" w:hAnsi="Calibri" w:cs="Calibri"/>
          <w:sz w:val="24"/>
          <w:szCs w:val="24"/>
          <w:lang w:val="en-GB"/>
        </w:rPr>
        <w:t>percent</w:t>
      </w:r>
      <w:r w:rsidR="00486FCF">
        <w:rPr>
          <w:rFonts w:ascii="Calibri" w:eastAsia="Calibri" w:hAnsi="Calibri" w:cs="Calibri"/>
          <w:sz w:val="24"/>
          <w:szCs w:val="24"/>
          <w:lang w:val="en-GB"/>
        </w:rPr>
        <w:t xml:space="preserve"> </w:t>
      </w:r>
      <w:r w:rsidRPr="00B6799C">
        <w:rPr>
          <w:rFonts w:ascii="Calibri" w:eastAsia="Calibri" w:hAnsi="Calibri" w:cs="Calibri"/>
          <w:sz w:val="24"/>
          <w:szCs w:val="24"/>
          <w:lang w:val="en-GB"/>
        </w:rPr>
        <w:t>:</w:t>
      </w:r>
      <w:proofErr w:type="gramEnd"/>
      <w:r w:rsidRPr="00B6799C">
        <w:rPr>
          <w:rFonts w:ascii="Calibri" w:eastAsia="Calibri" w:hAnsi="Calibri" w:cs="Calibri"/>
          <w:sz w:val="24"/>
          <w:szCs w:val="24"/>
          <w:lang w:val="en-GB"/>
        </w:rPr>
        <w:t xml:space="preserve"> 65 percent (as at 31 December 2019: 36 percent : 64 percent).</w:t>
      </w:r>
    </w:p>
    <w:p w14:paraId="6656E33F" w14:textId="1007D184" w:rsidR="00AE785D" w:rsidRPr="002A10E9" w:rsidRDefault="00FD5254">
      <w:pPr>
        <w:spacing w:after="0" w:line="240" w:lineRule="auto"/>
        <w:jc w:val="both"/>
        <w:rPr>
          <w:rFonts w:eastAsia="Times New Roman" w:cs="Calibri"/>
          <w:b/>
          <w:i/>
          <w:spacing w:val="-3"/>
          <w:sz w:val="18"/>
          <w:szCs w:val="24"/>
          <w:lang w:val="en-GB" w:eastAsia="hr-HR"/>
        </w:rPr>
      </w:pPr>
      <w:r w:rsidRPr="00041197" w:rsidDel="00FD5254">
        <w:rPr>
          <w:rFonts w:cstheme="minorHAnsi"/>
          <w:spacing w:val="-3"/>
          <w:sz w:val="24"/>
          <w:szCs w:val="24"/>
          <w:lang w:val="en-GB"/>
        </w:rPr>
        <w:t xml:space="preserve"> </w:t>
      </w:r>
    </w:p>
    <w:p w14:paraId="2E58C64C" w14:textId="77777777" w:rsidR="006F2B22" w:rsidRPr="00395073" w:rsidRDefault="006F2B22" w:rsidP="006F2B22">
      <w:pPr>
        <w:tabs>
          <w:tab w:val="left" w:pos="-720"/>
        </w:tabs>
        <w:suppressAutoHyphens/>
        <w:spacing w:after="0" w:line="240" w:lineRule="auto"/>
        <w:jc w:val="both"/>
        <w:rPr>
          <w:rFonts w:cstheme="minorHAnsi"/>
          <w:b/>
          <w:i/>
          <w:sz w:val="24"/>
          <w:szCs w:val="24"/>
          <w:lang w:val="en-GB"/>
        </w:rPr>
      </w:pPr>
      <w:r w:rsidRPr="00395073">
        <w:rPr>
          <w:rFonts w:cstheme="minorHAnsi"/>
          <w:b/>
          <w:i/>
          <w:sz w:val="24"/>
          <w:szCs w:val="24"/>
          <w:lang w:val="en-GB"/>
        </w:rPr>
        <w:t>Financial assets at fair value through profit or loss</w:t>
      </w:r>
    </w:p>
    <w:p w14:paraId="1EBC265B" w14:textId="3452671F" w:rsidR="00E96499" w:rsidRPr="002A10E9" w:rsidRDefault="00E96499" w:rsidP="006F2B22">
      <w:pPr>
        <w:spacing w:after="0" w:line="240" w:lineRule="auto"/>
        <w:jc w:val="both"/>
        <w:rPr>
          <w:rFonts w:cs="Arial"/>
          <w:b/>
          <w:sz w:val="18"/>
          <w:szCs w:val="24"/>
          <w:lang w:val="en-GB"/>
        </w:rPr>
      </w:pPr>
    </w:p>
    <w:p w14:paraId="3318353F" w14:textId="56D60254" w:rsidR="00E96499" w:rsidRPr="00041197" w:rsidRDefault="00B72C39" w:rsidP="007B069A">
      <w:pPr>
        <w:tabs>
          <w:tab w:val="left" w:pos="-720"/>
        </w:tabs>
        <w:suppressAutoHyphens/>
        <w:spacing w:after="0" w:line="240" w:lineRule="auto"/>
        <w:jc w:val="both"/>
        <w:rPr>
          <w:rFonts w:cs="Arial"/>
          <w:sz w:val="24"/>
          <w:szCs w:val="24"/>
          <w:lang w:val="en-GB"/>
        </w:rPr>
      </w:pPr>
      <w:r w:rsidRPr="00395073">
        <w:rPr>
          <w:rFonts w:cstheme="minorHAnsi"/>
          <w:sz w:val="24"/>
          <w:szCs w:val="24"/>
          <w:lang w:val="en-GB"/>
        </w:rPr>
        <w:t>Loans at fair value (HBOR has determined that mezzanine loans are classified here), investments in investment funds and a part of equity instruments are classified to these assets</w:t>
      </w:r>
      <w:r w:rsidR="00E96499" w:rsidRPr="00041197">
        <w:rPr>
          <w:rFonts w:cstheme="minorHAnsi"/>
          <w:sz w:val="24"/>
          <w:szCs w:val="24"/>
          <w:lang w:val="en-GB"/>
        </w:rPr>
        <w:t xml:space="preserve">. </w:t>
      </w:r>
      <w:r>
        <w:rPr>
          <w:rFonts w:cstheme="minorHAnsi"/>
          <w:sz w:val="24"/>
          <w:szCs w:val="24"/>
          <w:lang w:val="en-GB"/>
        </w:rPr>
        <w:t>As at 31 March 20</w:t>
      </w:r>
      <w:r w:rsidR="000D7ADE">
        <w:rPr>
          <w:rFonts w:cstheme="minorHAnsi"/>
          <w:sz w:val="24"/>
          <w:szCs w:val="24"/>
          <w:lang w:val="en-GB"/>
        </w:rPr>
        <w:t>20</w:t>
      </w:r>
      <w:r>
        <w:rPr>
          <w:rFonts w:cstheme="minorHAnsi"/>
          <w:sz w:val="24"/>
          <w:szCs w:val="24"/>
          <w:lang w:val="en-GB"/>
        </w:rPr>
        <w:t xml:space="preserve">, </w:t>
      </w:r>
      <w:r w:rsidRPr="00395073">
        <w:rPr>
          <w:rFonts w:cstheme="minorHAnsi"/>
          <w:sz w:val="24"/>
          <w:szCs w:val="24"/>
          <w:lang w:val="en-GB"/>
        </w:rPr>
        <w:t xml:space="preserve">the total amount of these assets was </w:t>
      </w:r>
      <w:r>
        <w:rPr>
          <w:rFonts w:cstheme="minorHAnsi"/>
          <w:sz w:val="24"/>
          <w:szCs w:val="24"/>
          <w:lang w:val="en-GB"/>
        </w:rPr>
        <w:t>HRK</w:t>
      </w:r>
      <w:r w:rsidR="00E96499" w:rsidRPr="00041197">
        <w:rPr>
          <w:rFonts w:cstheme="minorHAnsi"/>
          <w:sz w:val="24"/>
          <w:szCs w:val="24"/>
          <w:lang w:val="en-GB"/>
        </w:rPr>
        <w:t xml:space="preserve"> </w:t>
      </w:r>
      <w:r w:rsidR="000D7ADE">
        <w:rPr>
          <w:rFonts w:cstheme="minorHAnsi"/>
          <w:sz w:val="24"/>
          <w:szCs w:val="24"/>
          <w:lang w:val="en-GB"/>
        </w:rPr>
        <w:t>184</w:t>
      </w:r>
      <w:r>
        <w:rPr>
          <w:rFonts w:cstheme="minorHAnsi"/>
          <w:sz w:val="24"/>
          <w:szCs w:val="24"/>
          <w:lang w:val="en-GB"/>
        </w:rPr>
        <w:t>.</w:t>
      </w:r>
      <w:r w:rsidR="000D7ADE">
        <w:rPr>
          <w:rFonts w:cstheme="minorHAnsi"/>
          <w:sz w:val="24"/>
          <w:szCs w:val="24"/>
          <w:lang w:val="en-GB"/>
        </w:rPr>
        <w:t>2</w:t>
      </w:r>
      <w:r w:rsidR="00E96499" w:rsidRPr="00041197">
        <w:rPr>
          <w:rFonts w:cstheme="minorHAnsi"/>
          <w:sz w:val="24"/>
          <w:szCs w:val="24"/>
          <w:lang w:val="en-GB"/>
        </w:rPr>
        <w:t xml:space="preserve"> mil</w:t>
      </w:r>
      <w:r>
        <w:rPr>
          <w:rFonts w:cstheme="minorHAnsi"/>
          <w:sz w:val="24"/>
          <w:szCs w:val="24"/>
          <w:lang w:val="en-GB"/>
        </w:rPr>
        <w:t>lion representing</w:t>
      </w:r>
      <w:r w:rsidR="00E96499" w:rsidRPr="00041197">
        <w:rPr>
          <w:rFonts w:cstheme="minorHAnsi"/>
          <w:sz w:val="24"/>
          <w:szCs w:val="24"/>
          <w:lang w:val="en-GB"/>
        </w:rPr>
        <w:t xml:space="preserve"> </w:t>
      </w:r>
      <w:r w:rsidR="000D7ADE">
        <w:rPr>
          <w:rFonts w:cstheme="minorHAnsi"/>
          <w:sz w:val="24"/>
          <w:szCs w:val="24"/>
          <w:lang w:val="en-GB"/>
        </w:rPr>
        <w:t>0</w:t>
      </w:r>
      <w:r>
        <w:rPr>
          <w:rFonts w:cstheme="minorHAnsi"/>
          <w:sz w:val="24"/>
          <w:szCs w:val="24"/>
          <w:lang w:val="en-GB"/>
        </w:rPr>
        <w:t>.</w:t>
      </w:r>
      <w:r w:rsidR="000D7ADE">
        <w:rPr>
          <w:rFonts w:cstheme="minorHAnsi"/>
          <w:sz w:val="24"/>
          <w:szCs w:val="24"/>
          <w:lang w:val="en-GB"/>
        </w:rPr>
        <w:t>7</w:t>
      </w:r>
      <w:r w:rsidR="00E96499" w:rsidRPr="00041197">
        <w:rPr>
          <w:rFonts w:cstheme="minorHAnsi"/>
          <w:sz w:val="24"/>
          <w:szCs w:val="24"/>
          <w:lang w:val="en-GB"/>
        </w:rPr>
        <w:t xml:space="preserve"> p</w:t>
      </w:r>
      <w:r>
        <w:rPr>
          <w:rFonts w:cstheme="minorHAnsi"/>
          <w:sz w:val="24"/>
          <w:szCs w:val="24"/>
          <w:lang w:val="en-GB"/>
        </w:rPr>
        <w:t>ercent of total assets</w:t>
      </w:r>
      <w:r w:rsidR="00E96499" w:rsidRPr="00041197">
        <w:rPr>
          <w:rFonts w:cstheme="minorHAnsi"/>
          <w:sz w:val="24"/>
          <w:szCs w:val="24"/>
          <w:lang w:val="en-GB"/>
        </w:rPr>
        <w:t>.</w:t>
      </w:r>
      <w:r w:rsidR="00E96499" w:rsidRPr="00041197">
        <w:rPr>
          <w:rFonts w:cs="Arial"/>
          <w:sz w:val="24"/>
          <w:szCs w:val="24"/>
          <w:lang w:val="en-GB"/>
        </w:rPr>
        <w:t xml:space="preserve"> </w:t>
      </w:r>
    </w:p>
    <w:p w14:paraId="42BF709A" w14:textId="77777777" w:rsidR="00E96499" w:rsidRPr="002A10E9" w:rsidRDefault="00E96499" w:rsidP="007B069A">
      <w:pPr>
        <w:tabs>
          <w:tab w:val="left" w:pos="-720"/>
        </w:tabs>
        <w:suppressAutoHyphens/>
        <w:spacing w:after="0" w:line="240" w:lineRule="auto"/>
        <w:jc w:val="both"/>
        <w:rPr>
          <w:rFonts w:cs="Arial"/>
          <w:sz w:val="18"/>
          <w:szCs w:val="24"/>
          <w:lang w:val="en-GB"/>
        </w:rPr>
      </w:pPr>
    </w:p>
    <w:p w14:paraId="454F9F0F" w14:textId="77777777" w:rsidR="0044218B" w:rsidRPr="00395073" w:rsidRDefault="0044218B" w:rsidP="0044218B">
      <w:pPr>
        <w:tabs>
          <w:tab w:val="left" w:pos="-720"/>
        </w:tabs>
        <w:suppressAutoHyphens/>
        <w:spacing w:after="0" w:line="240" w:lineRule="auto"/>
        <w:jc w:val="both"/>
        <w:rPr>
          <w:rFonts w:cstheme="minorHAnsi"/>
          <w:b/>
          <w:i/>
          <w:sz w:val="24"/>
          <w:szCs w:val="24"/>
          <w:lang w:val="en-GB"/>
        </w:rPr>
      </w:pPr>
      <w:r w:rsidRPr="00395073">
        <w:rPr>
          <w:rFonts w:cstheme="minorHAnsi"/>
          <w:b/>
          <w:i/>
          <w:sz w:val="24"/>
          <w:szCs w:val="24"/>
          <w:lang w:val="en-GB"/>
        </w:rPr>
        <w:t xml:space="preserve">Financial assets at fair value through other comprehensive income </w:t>
      </w:r>
    </w:p>
    <w:p w14:paraId="1A95D77F" w14:textId="77777777" w:rsidR="00FC7E2E" w:rsidRPr="002A10E9" w:rsidRDefault="00FC7E2E" w:rsidP="007B069A">
      <w:pPr>
        <w:tabs>
          <w:tab w:val="left" w:pos="-720"/>
        </w:tabs>
        <w:suppressAutoHyphens/>
        <w:spacing w:after="0" w:line="240" w:lineRule="auto"/>
        <w:jc w:val="both"/>
        <w:rPr>
          <w:rFonts w:cstheme="minorHAnsi"/>
          <w:b/>
          <w:i/>
          <w:sz w:val="18"/>
          <w:szCs w:val="24"/>
          <w:lang w:val="en-GB"/>
        </w:rPr>
      </w:pPr>
    </w:p>
    <w:p w14:paraId="0178DCD6" w14:textId="77777777" w:rsidR="007859D5" w:rsidRPr="00041197" w:rsidRDefault="007859D5" w:rsidP="007B069A">
      <w:pPr>
        <w:tabs>
          <w:tab w:val="left" w:pos="-720"/>
        </w:tabs>
        <w:suppressAutoHyphens/>
        <w:spacing w:after="0" w:line="240" w:lineRule="auto"/>
        <w:jc w:val="both"/>
        <w:rPr>
          <w:rFonts w:cstheme="minorHAnsi"/>
          <w:b/>
          <w:i/>
          <w:sz w:val="24"/>
          <w:szCs w:val="24"/>
          <w:lang w:val="en-GB"/>
        </w:rPr>
      </w:pPr>
      <w:r w:rsidRPr="00041197">
        <w:rPr>
          <w:rFonts w:cstheme="minorHAnsi"/>
          <w:b/>
          <w:i/>
          <w:sz w:val="24"/>
          <w:szCs w:val="24"/>
          <w:lang w:val="en-GB"/>
        </w:rPr>
        <w:t xml:space="preserve">a) </w:t>
      </w:r>
      <w:r w:rsidR="0044218B" w:rsidRPr="00395073">
        <w:rPr>
          <w:rFonts w:cstheme="minorHAnsi"/>
          <w:b/>
          <w:i/>
          <w:sz w:val="24"/>
          <w:szCs w:val="24"/>
          <w:lang w:val="en-GB"/>
        </w:rPr>
        <w:t>Debt instruments</w:t>
      </w:r>
    </w:p>
    <w:p w14:paraId="14BCABFA" w14:textId="77777777" w:rsidR="007859D5" w:rsidRPr="002A10E9" w:rsidRDefault="007859D5" w:rsidP="007B069A">
      <w:pPr>
        <w:tabs>
          <w:tab w:val="left" w:pos="-720"/>
        </w:tabs>
        <w:suppressAutoHyphens/>
        <w:spacing w:after="0" w:line="240" w:lineRule="auto"/>
        <w:jc w:val="both"/>
        <w:rPr>
          <w:rFonts w:cstheme="minorHAnsi"/>
          <w:b/>
          <w:i/>
          <w:sz w:val="18"/>
          <w:szCs w:val="24"/>
          <w:lang w:val="en-GB"/>
        </w:rPr>
      </w:pPr>
    </w:p>
    <w:p w14:paraId="617A4895" w14:textId="77777777" w:rsidR="00153A85" w:rsidRDefault="0044218B" w:rsidP="007B069A">
      <w:pPr>
        <w:spacing w:after="0" w:line="240" w:lineRule="auto"/>
        <w:jc w:val="both"/>
        <w:rPr>
          <w:rFonts w:cstheme="minorHAnsi"/>
          <w:color w:val="000000" w:themeColor="text1"/>
          <w:sz w:val="24"/>
          <w:szCs w:val="24"/>
          <w:lang w:val="en-GB"/>
        </w:rPr>
        <w:sectPr w:rsidR="00153A85" w:rsidSect="00F11426">
          <w:footerReference w:type="default" r:id="rId37"/>
          <w:pgSz w:w="11906" w:h="16838"/>
          <w:pgMar w:top="1417" w:right="1416" w:bottom="1417" w:left="1417" w:header="708" w:footer="708" w:gutter="0"/>
          <w:cols w:space="708"/>
          <w:docGrid w:linePitch="360"/>
        </w:sectPr>
      </w:pPr>
      <w:r w:rsidRPr="00395073">
        <w:rPr>
          <w:rFonts w:cstheme="minorHAnsi"/>
          <w:sz w:val="24"/>
          <w:szCs w:val="24"/>
          <w:lang w:val="en-GB"/>
        </w:rPr>
        <w:t xml:space="preserve">Bonds of the Republic of Croatia and treasury bills of the Ministry of Finance as part of liquidity reserve as well as bonds of a company are classified to these assets. On the reporting date, they amounted to HRK </w:t>
      </w:r>
      <w:r w:rsidR="004567B5" w:rsidRPr="00041197">
        <w:rPr>
          <w:rFonts w:cstheme="minorHAnsi"/>
          <w:sz w:val="24"/>
          <w:szCs w:val="24"/>
          <w:lang w:val="en-GB"/>
        </w:rPr>
        <w:t>1</w:t>
      </w:r>
      <w:r>
        <w:rPr>
          <w:rFonts w:cstheme="minorHAnsi"/>
          <w:sz w:val="24"/>
          <w:szCs w:val="24"/>
          <w:lang w:val="en-GB"/>
        </w:rPr>
        <w:t>,</w:t>
      </w:r>
      <w:r w:rsidR="000D7ADE">
        <w:rPr>
          <w:rFonts w:cstheme="minorHAnsi"/>
          <w:sz w:val="24"/>
          <w:szCs w:val="24"/>
          <w:lang w:val="en-GB"/>
        </w:rPr>
        <w:t>313</w:t>
      </w:r>
      <w:r>
        <w:rPr>
          <w:rFonts w:cstheme="minorHAnsi"/>
          <w:sz w:val="24"/>
          <w:szCs w:val="24"/>
          <w:lang w:val="en-GB"/>
        </w:rPr>
        <w:t>.</w:t>
      </w:r>
      <w:r w:rsidR="000D7ADE">
        <w:rPr>
          <w:rFonts w:cstheme="minorHAnsi"/>
          <w:sz w:val="24"/>
          <w:szCs w:val="24"/>
          <w:lang w:val="en-GB"/>
        </w:rPr>
        <w:t>7</w:t>
      </w:r>
      <w:r w:rsidR="007859D5" w:rsidRPr="00041197">
        <w:rPr>
          <w:rFonts w:cstheme="minorHAnsi"/>
          <w:sz w:val="24"/>
          <w:szCs w:val="24"/>
          <w:lang w:val="en-GB"/>
        </w:rPr>
        <w:t xml:space="preserve"> </w:t>
      </w:r>
      <w:r>
        <w:rPr>
          <w:rFonts w:cstheme="minorHAnsi"/>
          <w:sz w:val="24"/>
          <w:szCs w:val="24"/>
          <w:lang w:val="en-GB"/>
        </w:rPr>
        <w:t>million, representing</w:t>
      </w:r>
      <w:r w:rsidR="007859D5" w:rsidRPr="00041197">
        <w:rPr>
          <w:rFonts w:cstheme="minorHAnsi"/>
          <w:sz w:val="24"/>
          <w:szCs w:val="24"/>
          <w:lang w:val="en-GB"/>
        </w:rPr>
        <w:t xml:space="preserve"> </w:t>
      </w:r>
      <w:r w:rsidR="000D7ADE">
        <w:rPr>
          <w:rFonts w:cstheme="minorHAnsi"/>
          <w:sz w:val="24"/>
          <w:szCs w:val="24"/>
          <w:lang w:val="en-GB"/>
        </w:rPr>
        <w:t>4</w:t>
      </w:r>
      <w:r>
        <w:rPr>
          <w:rFonts w:cstheme="minorHAnsi"/>
          <w:sz w:val="24"/>
          <w:szCs w:val="24"/>
          <w:lang w:val="en-GB"/>
        </w:rPr>
        <w:t>.</w:t>
      </w:r>
      <w:r w:rsidR="000D7ADE">
        <w:rPr>
          <w:rFonts w:cstheme="minorHAnsi"/>
          <w:sz w:val="24"/>
          <w:szCs w:val="24"/>
          <w:lang w:val="en-GB"/>
        </w:rPr>
        <w:t>9</w:t>
      </w:r>
      <w:r w:rsidR="007859D5" w:rsidRPr="00041197">
        <w:rPr>
          <w:rFonts w:cstheme="minorHAnsi"/>
          <w:sz w:val="24"/>
          <w:szCs w:val="24"/>
          <w:lang w:val="en-GB"/>
        </w:rPr>
        <w:t xml:space="preserve"> p</w:t>
      </w:r>
      <w:r>
        <w:rPr>
          <w:rFonts w:cstheme="minorHAnsi"/>
          <w:sz w:val="24"/>
          <w:szCs w:val="24"/>
          <w:lang w:val="en-GB"/>
        </w:rPr>
        <w:t>ercent of total assets</w:t>
      </w:r>
      <w:r w:rsidR="00C4189D">
        <w:rPr>
          <w:rFonts w:cstheme="minorHAnsi"/>
          <w:sz w:val="24"/>
          <w:szCs w:val="24"/>
          <w:lang w:val="en-GB"/>
        </w:rPr>
        <w:t xml:space="preserve"> and </w:t>
      </w:r>
      <w:r w:rsidR="00C4189D" w:rsidRPr="00153A85">
        <w:rPr>
          <w:color w:val="222222"/>
          <w:sz w:val="24"/>
          <w:szCs w:val="24"/>
          <w:lang w:val="en"/>
        </w:rPr>
        <w:t>recorded a decrease compared to the beginning of the year by 13.1 percent</w:t>
      </w:r>
      <w:r w:rsidR="007859D5" w:rsidRPr="00153A85">
        <w:rPr>
          <w:rFonts w:cstheme="minorHAnsi"/>
          <w:sz w:val="24"/>
          <w:szCs w:val="24"/>
          <w:lang w:val="en-GB"/>
        </w:rPr>
        <w:t>.</w:t>
      </w:r>
      <w:r w:rsidR="007859D5" w:rsidRPr="00041197">
        <w:rPr>
          <w:rFonts w:cstheme="minorHAnsi"/>
          <w:sz w:val="24"/>
          <w:szCs w:val="24"/>
          <w:lang w:val="en-GB"/>
        </w:rPr>
        <w:t xml:space="preserve"> </w:t>
      </w:r>
      <w:r w:rsidRPr="00395073">
        <w:rPr>
          <w:rFonts w:cstheme="minorHAnsi"/>
          <w:sz w:val="24"/>
          <w:szCs w:val="24"/>
          <w:lang w:val="en-GB"/>
        </w:rPr>
        <w:t>The impairment of these financial assets is calculated through the application of the model of expected credit losses in the manner that provisions are recognised in the accounts of other comprehensive income, thus not reducing the carrying amount of these financial assets in the statement on financial position</w:t>
      </w:r>
      <w:r>
        <w:rPr>
          <w:rFonts w:cstheme="minorHAnsi"/>
          <w:sz w:val="24"/>
          <w:szCs w:val="24"/>
          <w:lang w:val="en-GB"/>
        </w:rPr>
        <w:t xml:space="preserve">. </w:t>
      </w:r>
      <w:r w:rsidRPr="00395073">
        <w:rPr>
          <w:rFonts w:cstheme="minorHAnsi"/>
          <w:sz w:val="24"/>
          <w:szCs w:val="24"/>
          <w:lang w:val="en-GB"/>
        </w:rPr>
        <w:t>On the reporting date, they amounted to HRK</w:t>
      </w:r>
      <w:r>
        <w:rPr>
          <w:rFonts w:cstheme="minorHAnsi"/>
          <w:sz w:val="24"/>
          <w:szCs w:val="24"/>
          <w:lang w:val="en-GB"/>
        </w:rPr>
        <w:t xml:space="preserve"> </w:t>
      </w:r>
      <w:r w:rsidR="00153A85">
        <w:rPr>
          <w:rFonts w:cstheme="minorHAnsi"/>
          <w:sz w:val="24"/>
          <w:szCs w:val="24"/>
          <w:lang w:val="en-GB"/>
        </w:rPr>
        <w:t>3.2</w:t>
      </w:r>
      <w:r w:rsidR="007859D5" w:rsidRPr="00041197">
        <w:rPr>
          <w:rFonts w:cstheme="minorHAnsi"/>
          <w:color w:val="000000" w:themeColor="text1"/>
          <w:sz w:val="24"/>
          <w:szCs w:val="24"/>
          <w:lang w:val="en-GB"/>
        </w:rPr>
        <w:t xml:space="preserve"> </w:t>
      </w:r>
      <w:r>
        <w:rPr>
          <w:rFonts w:cstheme="minorHAnsi"/>
          <w:color w:val="000000" w:themeColor="text1"/>
          <w:sz w:val="24"/>
          <w:szCs w:val="24"/>
          <w:lang w:val="en-GB"/>
        </w:rPr>
        <w:t>million in other reserves</w:t>
      </w:r>
      <w:r w:rsidR="007859D5" w:rsidRPr="00041197">
        <w:rPr>
          <w:rFonts w:cstheme="minorHAnsi"/>
          <w:color w:val="000000" w:themeColor="text1"/>
          <w:sz w:val="24"/>
          <w:szCs w:val="24"/>
          <w:lang w:val="en-GB"/>
        </w:rPr>
        <w:t>.</w:t>
      </w:r>
    </w:p>
    <w:p w14:paraId="7453BFA5" w14:textId="77777777" w:rsidR="007859D5" w:rsidRPr="00041197" w:rsidRDefault="007859D5" w:rsidP="007B069A">
      <w:pPr>
        <w:tabs>
          <w:tab w:val="left" w:pos="-720"/>
        </w:tabs>
        <w:suppressAutoHyphens/>
        <w:spacing w:after="0" w:line="240" w:lineRule="auto"/>
        <w:jc w:val="both"/>
        <w:rPr>
          <w:rFonts w:cstheme="minorHAnsi"/>
          <w:b/>
          <w:i/>
          <w:sz w:val="24"/>
          <w:szCs w:val="24"/>
          <w:lang w:val="en-GB"/>
        </w:rPr>
      </w:pPr>
      <w:r w:rsidRPr="00041197">
        <w:rPr>
          <w:rFonts w:cstheme="minorHAnsi"/>
          <w:b/>
          <w:i/>
          <w:sz w:val="24"/>
          <w:szCs w:val="24"/>
          <w:lang w:val="en-GB"/>
        </w:rPr>
        <w:lastRenderedPageBreak/>
        <w:t xml:space="preserve"> b) </w:t>
      </w:r>
      <w:r w:rsidR="0044218B" w:rsidRPr="00395073">
        <w:rPr>
          <w:rFonts w:cstheme="minorHAnsi"/>
          <w:b/>
          <w:i/>
          <w:sz w:val="24"/>
          <w:szCs w:val="24"/>
          <w:lang w:val="en-GB"/>
        </w:rPr>
        <w:t>Equity instruments</w:t>
      </w:r>
    </w:p>
    <w:p w14:paraId="4BEC1FCE" w14:textId="77777777" w:rsidR="007859D5" w:rsidRPr="002A10E9" w:rsidRDefault="007859D5" w:rsidP="007B069A">
      <w:pPr>
        <w:tabs>
          <w:tab w:val="left" w:pos="-720"/>
        </w:tabs>
        <w:suppressAutoHyphens/>
        <w:spacing w:after="0" w:line="240" w:lineRule="auto"/>
        <w:jc w:val="both"/>
        <w:rPr>
          <w:rFonts w:cstheme="minorHAnsi"/>
          <w:b/>
          <w:i/>
          <w:sz w:val="18"/>
          <w:szCs w:val="24"/>
          <w:lang w:val="en-GB"/>
        </w:rPr>
      </w:pPr>
    </w:p>
    <w:p w14:paraId="3C8CF1A3" w14:textId="77777777" w:rsidR="0044218B" w:rsidRPr="00395073" w:rsidRDefault="0044218B" w:rsidP="0044218B">
      <w:pPr>
        <w:tabs>
          <w:tab w:val="left" w:pos="-720"/>
        </w:tabs>
        <w:suppressAutoHyphens/>
        <w:spacing w:after="0" w:line="240" w:lineRule="auto"/>
        <w:jc w:val="both"/>
        <w:rPr>
          <w:rFonts w:cstheme="minorHAnsi"/>
          <w:sz w:val="24"/>
          <w:szCs w:val="24"/>
          <w:lang w:val="en-GB"/>
        </w:rPr>
      </w:pPr>
      <w:r w:rsidRPr="00395073">
        <w:rPr>
          <w:rFonts w:cstheme="minorHAnsi"/>
          <w:sz w:val="24"/>
          <w:szCs w:val="24"/>
          <w:lang w:val="en-GB"/>
        </w:rPr>
        <w:t>Equity instruments (shares of companies) that HBOR does not intend to sell and to which irrevocable option of subsequent measurement of fair value through other comprehensive income without recycling is applied are classified to these assets, i.e. reserves recognised under other comprehensive income will never be transferred to the statement on profit or loss.</w:t>
      </w:r>
    </w:p>
    <w:p w14:paraId="0BC2FAC8" w14:textId="325730EE" w:rsidR="00821087" w:rsidRDefault="0044218B" w:rsidP="00124861">
      <w:pPr>
        <w:tabs>
          <w:tab w:val="left" w:pos="-720"/>
        </w:tabs>
        <w:suppressAutoHyphens/>
        <w:spacing w:after="0" w:line="240" w:lineRule="auto"/>
        <w:jc w:val="both"/>
        <w:rPr>
          <w:rFonts w:cstheme="minorHAnsi"/>
          <w:spacing w:val="-3"/>
          <w:sz w:val="24"/>
          <w:szCs w:val="24"/>
          <w:lang w:val="en-GB"/>
        </w:rPr>
      </w:pPr>
      <w:r w:rsidRPr="00395073">
        <w:rPr>
          <w:rFonts w:cstheme="minorHAnsi"/>
          <w:sz w:val="24"/>
          <w:szCs w:val="24"/>
          <w:lang w:val="en-GB"/>
        </w:rPr>
        <w:t xml:space="preserve">On the reporting date, these assets amounted to HRK </w:t>
      </w:r>
      <w:r w:rsidR="007859D5" w:rsidRPr="00041197">
        <w:rPr>
          <w:rFonts w:cstheme="minorHAnsi"/>
          <w:spacing w:val="-3"/>
          <w:sz w:val="24"/>
          <w:szCs w:val="24"/>
          <w:lang w:val="en-GB"/>
        </w:rPr>
        <w:t>2</w:t>
      </w:r>
      <w:r w:rsidR="00370E5A">
        <w:rPr>
          <w:rFonts w:cstheme="minorHAnsi"/>
          <w:spacing w:val="-3"/>
          <w:sz w:val="24"/>
          <w:szCs w:val="24"/>
          <w:lang w:val="en-GB"/>
        </w:rPr>
        <w:t>6</w:t>
      </w:r>
      <w:r>
        <w:rPr>
          <w:rFonts w:cstheme="minorHAnsi"/>
          <w:spacing w:val="-3"/>
          <w:sz w:val="24"/>
          <w:szCs w:val="24"/>
          <w:lang w:val="en-GB"/>
        </w:rPr>
        <w:t>.</w:t>
      </w:r>
      <w:r w:rsidR="00370E5A">
        <w:rPr>
          <w:rFonts w:cstheme="minorHAnsi"/>
          <w:spacing w:val="-3"/>
          <w:sz w:val="24"/>
          <w:szCs w:val="24"/>
          <w:lang w:val="en-GB"/>
        </w:rPr>
        <w:t>8</w:t>
      </w:r>
      <w:r w:rsidR="007859D5" w:rsidRPr="00041197">
        <w:rPr>
          <w:rFonts w:cstheme="minorHAnsi"/>
          <w:spacing w:val="-3"/>
          <w:sz w:val="24"/>
          <w:szCs w:val="24"/>
          <w:lang w:val="en-GB"/>
        </w:rPr>
        <w:t xml:space="preserve"> mil</w:t>
      </w:r>
      <w:r>
        <w:rPr>
          <w:rFonts w:cstheme="minorHAnsi"/>
          <w:spacing w:val="-3"/>
          <w:sz w:val="24"/>
          <w:szCs w:val="24"/>
          <w:lang w:val="en-GB"/>
        </w:rPr>
        <w:t>lion, representing</w:t>
      </w:r>
      <w:r w:rsidR="007859D5" w:rsidRPr="00041197">
        <w:rPr>
          <w:rFonts w:cstheme="minorHAnsi"/>
          <w:spacing w:val="-3"/>
          <w:sz w:val="24"/>
          <w:szCs w:val="24"/>
          <w:lang w:val="en-GB"/>
        </w:rPr>
        <w:t xml:space="preserve"> 0</w:t>
      </w:r>
      <w:r>
        <w:rPr>
          <w:rFonts w:cstheme="minorHAnsi"/>
          <w:spacing w:val="-3"/>
          <w:sz w:val="24"/>
          <w:szCs w:val="24"/>
          <w:lang w:val="en-GB"/>
        </w:rPr>
        <w:t>.</w:t>
      </w:r>
      <w:r w:rsidR="008D2EE6" w:rsidRPr="00041197">
        <w:rPr>
          <w:rFonts w:cstheme="minorHAnsi"/>
          <w:spacing w:val="-3"/>
          <w:sz w:val="24"/>
          <w:szCs w:val="24"/>
          <w:lang w:val="en-GB"/>
        </w:rPr>
        <w:t>1</w:t>
      </w:r>
      <w:r w:rsidR="007859D5" w:rsidRPr="00041197">
        <w:rPr>
          <w:rFonts w:cstheme="minorHAnsi"/>
          <w:spacing w:val="-3"/>
          <w:sz w:val="24"/>
          <w:szCs w:val="24"/>
          <w:lang w:val="en-GB"/>
        </w:rPr>
        <w:t xml:space="preserve"> p</w:t>
      </w:r>
      <w:r>
        <w:rPr>
          <w:rFonts w:cstheme="minorHAnsi"/>
          <w:spacing w:val="-3"/>
          <w:sz w:val="24"/>
          <w:szCs w:val="24"/>
          <w:lang w:val="en-GB"/>
        </w:rPr>
        <w:t>ercent of total assets</w:t>
      </w:r>
      <w:r w:rsidR="007859D5" w:rsidRPr="00041197">
        <w:rPr>
          <w:rFonts w:cstheme="minorHAnsi"/>
          <w:spacing w:val="-3"/>
          <w:sz w:val="24"/>
          <w:szCs w:val="24"/>
          <w:lang w:val="en-GB"/>
        </w:rPr>
        <w:t>.</w:t>
      </w:r>
    </w:p>
    <w:p w14:paraId="55FCDB46" w14:textId="77777777" w:rsidR="00370E5A" w:rsidRPr="00041197" w:rsidRDefault="00370E5A" w:rsidP="00124861">
      <w:pPr>
        <w:tabs>
          <w:tab w:val="left" w:pos="-720"/>
        </w:tabs>
        <w:suppressAutoHyphens/>
        <w:spacing w:after="0" w:line="240" w:lineRule="auto"/>
        <w:jc w:val="both"/>
        <w:rPr>
          <w:rFonts w:cstheme="minorHAnsi"/>
          <w:spacing w:val="-3"/>
          <w:sz w:val="24"/>
          <w:szCs w:val="24"/>
          <w:lang w:val="en-GB"/>
        </w:rPr>
      </w:pPr>
    </w:p>
    <w:p w14:paraId="7D1CD4AB" w14:textId="05D2DE64" w:rsidR="00374300" w:rsidRPr="00374300" w:rsidRDefault="00374300" w:rsidP="00374300">
      <w:pPr>
        <w:tabs>
          <w:tab w:val="left" w:pos="-720"/>
        </w:tabs>
        <w:suppressAutoHyphens/>
        <w:spacing w:after="0" w:line="240" w:lineRule="auto"/>
        <w:ind w:left="-567" w:right="-284"/>
        <w:jc w:val="both"/>
        <w:rPr>
          <w:rFonts w:cstheme="minorHAnsi"/>
          <w:spacing w:val="-3"/>
          <w:sz w:val="24"/>
          <w:szCs w:val="24"/>
        </w:rPr>
      </w:pPr>
      <w:r w:rsidRPr="00374300">
        <w:rPr>
          <w:rFonts w:cstheme="minorHAnsi"/>
          <w:spacing w:val="-3"/>
          <w:sz w:val="24"/>
          <w:szCs w:val="24"/>
        </w:rPr>
        <w:t xml:space="preserve">    </w:t>
      </w:r>
      <w:r w:rsidR="008C6CBC">
        <w:rPr>
          <w:rFonts w:cstheme="minorHAnsi"/>
          <w:spacing w:val="-3"/>
          <w:sz w:val="24"/>
          <w:szCs w:val="24"/>
        </w:rPr>
        <w:t xml:space="preserve">     </w:t>
      </w:r>
      <w:r w:rsidRPr="00374300">
        <w:rPr>
          <w:rFonts w:cstheme="minorHAnsi"/>
          <w:spacing w:val="-3"/>
          <w:sz w:val="24"/>
          <w:szCs w:val="24"/>
        </w:rPr>
        <w:t xml:space="preserve">  </w:t>
      </w:r>
      <w:r w:rsidR="008C6CBC">
        <w:rPr>
          <w:rFonts w:cstheme="minorHAnsi"/>
          <w:spacing w:val="-3"/>
          <w:sz w:val="24"/>
          <w:szCs w:val="24"/>
        </w:rPr>
        <w:t xml:space="preserve"> </w:t>
      </w:r>
      <w:r w:rsidRPr="00374300">
        <w:rPr>
          <w:rFonts w:cstheme="minorHAnsi"/>
          <w:spacing w:val="-3"/>
          <w:sz w:val="24"/>
          <w:szCs w:val="24"/>
        </w:rPr>
        <w:t xml:space="preserve">  </w:t>
      </w:r>
      <w:r w:rsidR="008C6CBC">
        <w:rPr>
          <w:rFonts w:cstheme="minorHAnsi"/>
          <w:noProof/>
          <w:spacing w:val="-3"/>
          <w:sz w:val="24"/>
          <w:szCs w:val="24"/>
        </w:rPr>
        <w:drawing>
          <wp:inline distT="0" distB="0" distL="0" distR="0" wp14:anchorId="2FC2EB84" wp14:editId="4E2F107E">
            <wp:extent cx="2590953" cy="2952000"/>
            <wp:effectExtent l="0" t="0" r="0" b="127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590953" cy="2952000"/>
                    </a:xfrm>
                    <a:prstGeom prst="rect">
                      <a:avLst/>
                    </a:prstGeom>
                    <a:noFill/>
                  </pic:spPr>
                </pic:pic>
              </a:graphicData>
            </a:graphic>
          </wp:inline>
        </w:drawing>
      </w:r>
      <w:r w:rsidRPr="00374300">
        <w:rPr>
          <w:rFonts w:cstheme="minorHAnsi"/>
          <w:spacing w:val="-3"/>
          <w:sz w:val="24"/>
          <w:szCs w:val="24"/>
        </w:rPr>
        <w:t xml:space="preserve"> </w:t>
      </w:r>
      <w:r w:rsidR="008C6CBC">
        <w:rPr>
          <w:rFonts w:cstheme="minorHAnsi"/>
          <w:spacing w:val="-3"/>
          <w:sz w:val="24"/>
          <w:szCs w:val="24"/>
        </w:rPr>
        <w:t xml:space="preserve">    </w:t>
      </w:r>
      <w:r w:rsidR="008C6CBC">
        <w:rPr>
          <w:rFonts w:cstheme="minorHAnsi"/>
          <w:noProof/>
          <w:spacing w:val="-3"/>
          <w:sz w:val="24"/>
          <w:szCs w:val="24"/>
        </w:rPr>
        <w:drawing>
          <wp:inline distT="0" distB="0" distL="0" distR="0" wp14:anchorId="22940FF6" wp14:editId="0B07BD9F">
            <wp:extent cx="2586305" cy="2952000"/>
            <wp:effectExtent l="0" t="0" r="5080" b="127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586305" cy="2952000"/>
                    </a:xfrm>
                    <a:prstGeom prst="rect">
                      <a:avLst/>
                    </a:prstGeom>
                    <a:noFill/>
                  </pic:spPr>
                </pic:pic>
              </a:graphicData>
            </a:graphic>
          </wp:inline>
        </w:drawing>
      </w:r>
      <w:r w:rsidRPr="00374300">
        <w:rPr>
          <w:rFonts w:cstheme="minorHAnsi"/>
          <w:spacing w:val="-3"/>
          <w:sz w:val="24"/>
          <w:szCs w:val="24"/>
        </w:rPr>
        <w:t xml:space="preserve">        </w:t>
      </w:r>
    </w:p>
    <w:p w14:paraId="5617AA51" w14:textId="37932ADE" w:rsidR="00374300" w:rsidRPr="00374300" w:rsidRDefault="008C6CBC" w:rsidP="00374300">
      <w:pPr>
        <w:tabs>
          <w:tab w:val="left" w:pos="-720"/>
        </w:tabs>
        <w:suppressAutoHyphens/>
        <w:spacing w:after="0" w:line="240" w:lineRule="auto"/>
        <w:ind w:right="-284" w:hanging="567"/>
        <w:jc w:val="both"/>
        <w:rPr>
          <w:rFonts w:cstheme="minorHAnsi"/>
          <w:spacing w:val="-3"/>
          <w:sz w:val="24"/>
          <w:szCs w:val="24"/>
        </w:rPr>
      </w:pPr>
      <w:r w:rsidRPr="00374300">
        <w:rPr>
          <w:rFonts w:cstheme="minorHAnsi"/>
          <w:spacing w:val="-3"/>
          <w:sz w:val="24"/>
          <w:szCs w:val="24"/>
        </w:rPr>
        <w:t xml:space="preserve">    </w:t>
      </w:r>
      <w:r>
        <w:rPr>
          <w:rFonts w:cstheme="minorHAnsi"/>
          <w:spacing w:val="-3"/>
          <w:sz w:val="24"/>
          <w:szCs w:val="24"/>
        </w:rPr>
        <w:t xml:space="preserve">     </w:t>
      </w:r>
      <w:r w:rsidRPr="00374300">
        <w:rPr>
          <w:rFonts w:cstheme="minorHAnsi"/>
          <w:spacing w:val="-3"/>
          <w:sz w:val="24"/>
          <w:szCs w:val="24"/>
        </w:rPr>
        <w:t xml:space="preserve">  </w:t>
      </w:r>
      <w:r>
        <w:rPr>
          <w:rFonts w:cstheme="minorHAnsi"/>
          <w:spacing w:val="-3"/>
          <w:sz w:val="24"/>
          <w:szCs w:val="24"/>
        </w:rPr>
        <w:t xml:space="preserve"> </w:t>
      </w:r>
      <w:r w:rsidRPr="00374300">
        <w:rPr>
          <w:rFonts w:cstheme="minorHAnsi"/>
          <w:spacing w:val="-3"/>
          <w:sz w:val="24"/>
          <w:szCs w:val="24"/>
        </w:rPr>
        <w:t xml:space="preserve">  </w:t>
      </w:r>
      <w:r>
        <w:rPr>
          <w:rFonts w:cstheme="minorHAnsi"/>
          <w:noProof/>
          <w:spacing w:val="-3"/>
          <w:sz w:val="24"/>
          <w:szCs w:val="24"/>
        </w:rPr>
        <w:drawing>
          <wp:inline distT="0" distB="0" distL="0" distR="0" wp14:anchorId="773617F2" wp14:editId="2DEAC67B">
            <wp:extent cx="2590953" cy="2952000"/>
            <wp:effectExtent l="0" t="0" r="0" b="127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590953" cy="2952000"/>
                    </a:xfrm>
                    <a:prstGeom prst="rect">
                      <a:avLst/>
                    </a:prstGeom>
                    <a:noFill/>
                  </pic:spPr>
                </pic:pic>
              </a:graphicData>
            </a:graphic>
          </wp:inline>
        </w:drawing>
      </w:r>
      <w:r w:rsidR="00374300" w:rsidRPr="00374300">
        <w:rPr>
          <w:rFonts w:cstheme="minorHAnsi"/>
          <w:spacing w:val="-3"/>
          <w:sz w:val="24"/>
          <w:szCs w:val="24"/>
        </w:rPr>
        <w:t xml:space="preserve">  </w:t>
      </w:r>
      <w:r>
        <w:rPr>
          <w:rFonts w:cstheme="minorHAnsi"/>
          <w:spacing w:val="-3"/>
          <w:sz w:val="24"/>
          <w:szCs w:val="24"/>
        </w:rPr>
        <w:t xml:space="preserve">     </w:t>
      </w:r>
      <w:r>
        <w:rPr>
          <w:rFonts w:cstheme="minorHAnsi"/>
          <w:noProof/>
          <w:spacing w:val="-3"/>
          <w:sz w:val="14"/>
          <w:szCs w:val="24"/>
        </w:rPr>
        <w:drawing>
          <wp:inline distT="0" distB="0" distL="0" distR="0" wp14:anchorId="3DEFCBCA" wp14:editId="321B33C5">
            <wp:extent cx="2590953" cy="2952000"/>
            <wp:effectExtent l="0" t="0" r="0" b="127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590953" cy="2952000"/>
                    </a:xfrm>
                    <a:prstGeom prst="rect">
                      <a:avLst/>
                    </a:prstGeom>
                    <a:noFill/>
                  </pic:spPr>
                </pic:pic>
              </a:graphicData>
            </a:graphic>
          </wp:inline>
        </w:drawing>
      </w:r>
      <w:r w:rsidR="00374300" w:rsidRPr="00374300">
        <w:rPr>
          <w:rFonts w:cstheme="minorHAnsi"/>
          <w:spacing w:val="-3"/>
          <w:sz w:val="14"/>
          <w:szCs w:val="24"/>
        </w:rPr>
        <w:t xml:space="preserve">          </w:t>
      </w:r>
    </w:p>
    <w:p w14:paraId="4D26BFD0" w14:textId="77777777" w:rsidR="00B864DE" w:rsidRPr="002A10E9" w:rsidRDefault="00B864DE" w:rsidP="00124861">
      <w:pPr>
        <w:tabs>
          <w:tab w:val="left" w:pos="-720"/>
        </w:tabs>
        <w:suppressAutoHyphens/>
        <w:spacing w:after="0" w:line="240" w:lineRule="auto"/>
        <w:jc w:val="both"/>
        <w:rPr>
          <w:rFonts w:eastAsia="Times New Roman" w:cs="Calibri"/>
          <w:b/>
          <w:i/>
          <w:spacing w:val="-3"/>
          <w:sz w:val="20"/>
          <w:szCs w:val="24"/>
          <w:lang w:val="en-GB" w:eastAsia="hr-HR"/>
        </w:rPr>
      </w:pPr>
    </w:p>
    <w:p w14:paraId="62997EE1" w14:textId="77777777" w:rsidR="0044218B" w:rsidRPr="00395073" w:rsidRDefault="0044218B" w:rsidP="0044218B">
      <w:pPr>
        <w:tabs>
          <w:tab w:val="left" w:pos="-720"/>
        </w:tabs>
        <w:suppressAutoHyphens/>
        <w:spacing w:after="0" w:line="240" w:lineRule="auto"/>
        <w:jc w:val="both"/>
        <w:rPr>
          <w:rFonts w:eastAsia="Times New Roman" w:cs="Calibri"/>
          <w:b/>
          <w:i/>
          <w:spacing w:val="-3"/>
          <w:sz w:val="24"/>
          <w:szCs w:val="24"/>
          <w:lang w:val="en-GB" w:eastAsia="hr-HR"/>
        </w:rPr>
      </w:pPr>
      <w:r w:rsidRPr="00395073">
        <w:rPr>
          <w:rFonts w:eastAsia="Times New Roman" w:cs="Calibri"/>
          <w:b/>
          <w:i/>
          <w:spacing w:val="-3"/>
          <w:sz w:val="24"/>
          <w:szCs w:val="24"/>
          <w:lang w:val="en-GB" w:eastAsia="hr-HR"/>
        </w:rPr>
        <w:t xml:space="preserve">Total liabilities </w:t>
      </w:r>
    </w:p>
    <w:p w14:paraId="35A5624B" w14:textId="77777777" w:rsidR="00422588" w:rsidRPr="002A10E9" w:rsidRDefault="00422588" w:rsidP="00124861">
      <w:pPr>
        <w:tabs>
          <w:tab w:val="left" w:pos="-720"/>
        </w:tabs>
        <w:suppressAutoHyphens/>
        <w:spacing w:after="0" w:line="240" w:lineRule="auto"/>
        <w:jc w:val="both"/>
        <w:rPr>
          <w:rFonts w:eastAsia="Times New Roman" w:cs="Calibri"/>
          <w:b/>
          <w:i/>
          <w:spacing w:val="-3"/>
          <w:sz w:val="20"/>
          <w:szCs w:val="24"/>
          <w:lang w:val="en-GB" w:eastAsia="hr-HR"/>
        </w:rPr>
      </w:pPr>
    </w:p>
    <w:p w14:paraId="24B8A7F2" w14:textId="6DF13429" w:rsidR="00810A4B" w:rsidRPr="00041197" w:rsidRDefault="0044218B" w:rsidP="00602844">
      <w:pPr>
        <w:tabs>
          <w:tab w:val="left" w:pos="-720"/>
        </w:tabs>
        <w:suppressAutoHyphens/>
        <w:spacing w:after="0" w:line="240" w:lineRule="auto"/>
        <w:jc w:val="both"/>
        <w:rPr>
          <w:rFonts w:cstheme="minorHAnsi"/>
          <w:spacing w:val="-3"/>
          <w:sz w:val="24"/>
          <w:szCs w:val="24"/>
          <w:lang w:val="en-GB"/>
        </w:rPr>
      </w:pPr>
      <w:r w:rsidRPr="00395073">
        <w:rPr>
          <w:rFonts w:cstheme="minorHAnsi"/>
          <w:spacing w:val="-3"/>
          <w:sz w:val="24"/>
          <w:szCs w:val="24"/>
          <w:lang w:val="en-GB"/>
        </w:rPr>
        <w:t>As at</w:t>
      </w:r>
      <w:r w:rsidRPr="00041197">
        <w:rPr>
          <w:rFonts w:cstheme="minorHAnsi"/>
          <w:spacing w:val="-3"/>
          <w:sz w:val="24"/>
          <w:szCs w:val="24"/>
          <w:lang w:val="en-GB"/>
        </w:rPr>
        <w:t xml:space="preserve"> </w:t>
      </w:r>
      <w:r w:rsidR="00A67B12" w:rsidRPr="00041197">
        <w:rPr>
          <w:rFonts w:cstheme="minorHAnsi"/>
          <w:spacing w:val="-3"/>
          <w:sz w:val="24"/>
          <w:szCs w:val="24"/>
          <w:lang w:val="en-GB"/>
        </w:rPr>
        <w:t>3</w:t>
      </w:r>
      <w:r w:rsidR="00B03785" w:rsidRPr="00041197">
        <w:rPr>
          <w:rFonts w:cstheme="minorHAnsi"/>
          <w:spacing w:val="-3"/>
          <w:sz w:val="24"/>
          <w:szCs w:val="24"/>
          <w:lang w:val="en-GB"/>
        </w:rPr>
        <w:t>1</w:t>
      </w:r>
      <w:r>
        <w:rPr>
          <w:rFonts w:cstheme="minorHAnsi"/>
          <w:spacing w:val="-3"/>
          <w:sz w:val="24"/>
          <w:szCs w:val="24"/>
          <w:lang w:val="en-GB"/>
        </w:rPr>
        <w:t xml:space="preserve"> March </w:t>
      </w:r>
      <w:r w:rsidR="00582992" w:rsidRPr="00041197">
        <w:rPr>
          <w:rFonts w:cstheme="minorHAnsi"/>
          <w:spacing w:val="-3"/>
          <w:sz w:val="24"/>
          <w:szCs w:val="24"/>
          <w:lang w:val="en-GB"/>
        </w:rPr>
        <w:t>20</w:t>
      </w:r>
      <w:r w:rsidR="00370E5A">
        <w:rPr>
          <w:rFonts w:cstheme="minorHAnsi"/>
          <w:spacing w:val="-3"/>
          <w:sz w:val="24"/>
          <w:szCs w:val="24"/>
          <w:lang w:val="en-GB"/>
        </w:rPr>
        <w:t>20</w:t>
      </w:r>
      <w:r>
        <w:rPr>
          <w:rFonts w:cstheme="minorHAnsi"/>
          <w:spacing w:val="-3"/>
          <w:sz w:val="24"/>
          <w:szCs w:val="24"/>
          <w:lang w:val="en-GB"/>
        </w:rPr>
        <w:t>, total liabilities amounted to HRK</w:t>
      </w:r>
      <w:r w:rsidR="00810A4B" w:rsidRPr="00041197">
        <w:rPr>
          <w:rFonts w:cstheme="minorHAnsi"/>
          <w:spacing w:val="-3"/>
          <w:sz w:val="24"/>
          <w:szCs w:val="24"/>
          <w:lang w:val="en-GB"/>
        </w:rPr>
        <w:t xml:space="preserve"> </w:t>
      </w:r>
      <w:r w:rsidR="00A67B12" w:rsidRPr="00041197">
        <w:rPr>
          <w:rFonts w:cstheme="minorHAnsi"/>
          <w:spacing w:val="-3"/>
          <w:sz w:val="24"/>
          <w:szCs w:val="24"/>
          <w:lang w:val="en-GB"/>
        </w:rPr>
        <w:t>1</w:t>
      </w:r>
      <w:r w:rsidR="00B03785" w:rsidRPr="00041197">
        <w:rPr>
          <w:rFonts w:cstheme="minorHAnsi"/>
          <w:spacing w:val="-3"/>
          <w:sz w:val="24"/>
          <w:szCs w:val="24"/>
          <w:lang w:val="en-GB"/>
        </w:rPr>
        <w:t>6</w:t>
      </w:r>
      <w:r>
        <w:rPr>
          <w:rFonts w:cstheme="minorHAnsi"/>
          <w:spacing w:val="-3"/>
          <w:sz w:val="24"/>
          <w:szCs w:val="24"/>
          <w:lang w:val="en-GB"/>
        </w:rPr>
        <w:t>,</w:t>
      </w:r>
      <w:r w:rsidR="00370E5A">
        <w:rPr>
          <w:rFonts w:cstheme="minorHAnsi"/>
          <w:spacing w:val="-3"/>
          <w:sz w:val="24"/>
          <w:szCs w:val="24"/>
          <w:lang w:val="en-GB"/>
        </w:rPr>
        <w:t>369</w:t>
      </w:r>
      <w:r>
        <w:rPr>
          <w:rFonts w:cstheme="minorHAnsi"/>
          <w:spacing w:val="-3"/>
          <w:sz w:val="24"/>
          <w:szCs w:val="24"/>
          <w:lang w:val="en-GB"/>
        </w:rPr>
        <w:t>.</w:t>
      </w:r>
      <w:r w:rsidR="00370E5A">
        <w:rPr>
          <w:rFonts w:cstheme="minorHAnsi"/>
          <w:spacing w:val="-3"/>
          <w:sz w:val="24"/>
          <w:szCs w:val="24"/>
          <w:lang w:val="en-GB"/>
        </w:rPr>
        <w:t>6</w:t>
      </w:r>
      <w:r w:rsidR="00810A4B" w:rsidRPr="00041197">
        <w:rPr>
          <w:rFonts w:cstheme="minorHAnsi"/>
          <w:spacing w:val="-3"/>
          <w:sz w:val="24"/>
          <w:szCs w:val="24"/>
          <w:lang w:val="en-GB"/>
        </w:rPr>
        <w:t xml:space="preserve"> mil</w:t>
      </w:r>
      <w:r>
        <w:rPr>
          <w:rFonts w:cstheme="minorHAnsi"/>
          <w:spacing w:val="-3"/>
          <w:sz w:val="24"/>
          <w:szCs w:val="24"/>
          <w:lang w:val="en-GB"/>
        </w:rPr>
        <w:t>lion, which represents</w:t>
      </w:r>
      <w:r w:rsidR="00810A4B" w:rsidRPr="00041197">
        <w:rPr>
          <w:rFonts w:cstheme="minorHAnsi"/>
          <w:spacing w:val="-3"/>
          <w:sz w:val="24"/>
          <w:szCs w:val="24"/>
          <w:lang w:val="en-GB"/>
        </w:rPr>
        <w:t xml:space="preserve"> </w:t>
      </w:r>
      <w:r w:rsidR="00A67B12" w:rsidRPr="00041197">
        <w:rPr>
          <w:rFonts w:cstheme="minorHAnsi"/>
          <w:spacing w:val="-3"/>
          <w:sz w:val="24"/>
          <w:szCs w:val="24"/>
          <w:lang w:val="en-GB"/>
        </w:rPr>
        <w:t>6</w:t>
      </w:r>
      <w:r w:rsidR="00370E5A">
        <w:rPr>
          <w:rFonts w:cstheme="minorHAnsi"/>
          <w:spacing w:val="-3"/>
          <w:sz w:val="24"/>
          <w:szCs w:val="24"/>
          <w:lang w:val="en-GB"/>
        </w:rPr>
        <w:t>1</w:t>
      </w:r>
      <w:r>
        <w:rPr>
          <w:rFonts w:cstheme="minorHAnsi"/>
          <w:spacing w:val="-3"/>
          <w:sz w:val="24"/>
          <w:szCs w:val="24"/>
          <w:lang w:val="en-GB"/>
        </w:rPr>
        <w:t>.</w:t>
      </w:r>
      <w:r w:rsidR="005F627E">
        <w:rPr>
          <w:rFonts w:cstheme="minorHAnsi"/>
          <w:spacing w:val="-3"/>
          <w:sz w:val="24"/>
          <w:szCs w:val="24"/>
          <w:lang w:val="en-GB"/>
        </w:rPr>
        <w:t>5</w:t>
      </w:r>
      <w:r w:rsidR="00A67B12" w:rsidRPr="00041197">
        <w:rPr>
          <w:rFonts w:cstheme="minorHAnsi"/>
          <w:spacing w:val="-3"/>
          <w:sz w:val="24"/>
          <w:szCs w:val="24"/>
          <w:lang w:val="en-GB"/>
        </w:rPr>
        <w:t xml:space="preserve"> </w:t>
      </w:r>
      <w:r w:rsidR="00C31F69" w:rsidRPr="00041197">
        <w:rPr>
          <w:rFonts w:cstheme="minorHAnsi"/>
          <w:spacing w:val="-3"/>
          <w:sz w:val="24"/>
          <w:szCs w:val="24"/>
          <w:lang w:val="en-GB"/>
        </w:rPr>
        <w:t>p</w:t>
      </w:r>
      <w:r>
        <w:rPr>
          <w:rFonts w:cstheme="minorHAnsi"/>
          <w:spacing w:val="-3"/>
          <w:sz w:val="24"/>
          <w:szCs w:val="24"/>
          <w:lang w:val="en-GB"/>
        </w:rPr>
        <w:t xml:space="preserve">ercent of </w:t>
      </w:r>
      <w:r w:rsidRPr="00395073">
        <w:rPr>
          <w:rFonts w:cstheme="minorHAnsi"/>
          <w:spacing w:val="-3"/>
          <w:sz w:val="24"/>
          <w:szCs w:val="24"/>
          <w:lang w:val="en-GB"/>
        </w:rPr>
        <w:t>total liabilities and total equity</w:t>
      </w:r>
      <w:r w:rsidR="00810A4B" w:rsidRPr="00041197">
        <w:rPr>
          <w:rFonts w:cstheme="minorHAnsi"/>
          <w:spacing w:val="-3"/>
          <w:sz w:val="24"/>
          <w:szCs w:val="24"/>
          <w:lang w:val="en-GB"/>
        </w:rPr>
        <w:t xml:space="preserve">. </w:t>
      </w:r>
      <w:r w:rsidRPr="00395073">
        <w:rPr>
          <w:rFonts w:cstheme="minorHAnsi"/>
          <w:spacing w:val="-3"/>
          <w:sz w:val="24"/>
          <w:szCs w:val="24"/>
          <w:lang w:val="en-GB"/>
        </w:rPr>
        <w:t xml:space="preserve">The major part of total liabilities consists of HBOR’s foreign borrowings and bonds payable in the total amount of HRK </w:t>
      </w:r>
      <w:r w:rsidR="00A67B12" w:rsidRPr="00041197">
        <w:rPr>
          <w:rFonts w:cstheme="minorHAnsi"/>
          <w:spacing w:val="-3"/>
          <w:sz w:val="24"/>
          <w:szCs w:val="24"/>
          <w:lang w:val="en-GB"/>
        </w:rPr>
        <w:t>1</w:t>
      </w:r>
      <w:r w:rsidR="00B03785" w:rsidRPr="00041197">
        <w:rPr>
          <w:rFonts w:cstheme="minorHAnsi"/>
          <w:spacing w:val="-3"/>
          <w:sz w:val="24"/>
          <w:szCs w:val="24"/>
          <w:lang w:val="en-GB"/>
        </w:rPr>
        <w:t>5</w:t>
      </w:r>
      <w:r>
        <w:rPr>
          <w:rFonts w:cstheme="minorHAnsi"/>
          <w:spacing w:val="-3"/>
          <w:sz w:val="24"/>
          <w:szCs w:val="24"/>
          <w:lang w:val="en-GB"/>
        </w:rPr>
        <w:t>,</w:t>
      </w:r>
      <w:r w:rsidR="00370E5A">
        <w:rPr>
          <w:rFonts w:cstheme="minorHAnsi"/>
          <w:spacing w:val="-3"/>
          <w:sz w:val="24"/>
          <w:szCs w:val="24"/>
          <w:lang w:val="en-GB"/>
        </w:rPr>
        <w:t>788</w:t>
      </w:r>
      <w:r>
        <w:rPr>
          <w:rFonts w:cstheme="minorHAnsi"/>
          <w:spacing w:val="-3"/>
          <w:sz w:val="24"/>
          <w:szCs w:val="24"/>
          <w:lang w:val="en-GB"/>
        </w:rPr>
        <w:t>.</w:t>
      </w:r>
      <w:r w:rsidR="00370E5A">
        <w:rPr>
          <w:rFonts w:cstheme="minorHAnsi"/>
          <w:spacing w:val="-3"/>
          <w:sz w:val="24"/>
          <w:szCs w:val="24"/>
          <w:lang w:val="en-GB"/>
        </w:rPr>
        <w:t>7</w:t>
      </w:r>
      <w:r w:rsidR="00810A4B" w:rsidRPr="00041197">
        <w:rPr>
          <w:rFonts w:cstheme="minorHAnsi"/>
          <w:spacing w:val="-3"/>
          <w:sz w:val="24"/>
          <w:szCs w:val="24"/>
          <w:lang w:val="en-GB"/>
        </w:rPr>
        <w:t xml:space="preserve"> mil</w:t>
      </w:r>
      <w:r>
        <w:rPr>
          <w:rFonts w:cstheme="minorHAnsi"/>
          <w:spacing w:val="-3"/>
          <w:sz w:val="24"/>
          <w:szCs w:val="24"/>
          <w:lang w:val="en-GB"/>
        </w:rPr>
        <w:t>lion</w:t>
      </w:r>
      <w:r w:rsidR="00810A4B" w:rsidRPr="00041197">
        <w:rPr>
          <w:rFonts w:cstheme="minorHAnsi"/>
          <w:spacing w:val="-3"/>
          <w:sz w:val="24"/>
          <w:szCs w:val="24"/>
          <w:lang w:val="en-GB"/>
        </w:rPr>
        <w:t xml:space="preserve">. </w:t>
      </w:r>
    </w:p>
    <w:p w14:paraId="3AF7BC74" w14:textId="77777777" w:rsidR="00370E5A" w:rsidRDefault="00370E5A" w:rsidP="00602844">
      <w:pPr>
        <w:tabs>
          <w:tab w:val="left" w:pos="-720"/>
          <w:tab w:val="left" w:pos="426"/>
        </w:tabs>
        <w:suppressAutoHyphens/>
        <w:spacing w:after="0" w:line="240" w:lineRule="auto"/>
        <w:jc w:val="both"/>
        <w:rPr>
          <w:rFonts w:eastAsia="Times New Roman" w:cs="Calibri"/>
          <w:spacing w:val="-3"/>
          <w:sz w:val="20"/>
          <w:szCs w:val="24"/>
          <w:lang w:val="en-GB" w:eastAsia="hr-HR"/>
        </w:rPr>
        <w:sectPr w:rsidR="00370E5A" w:rsidSect="00F11426">
          <w:footerReference w:type="default" r:id="rId42"/>
          <w:pgSz w:w="11906" w:h="16838"/>
          <w:pgMar w:top="1417" w:right="1416" w:bottom="1417" w:left="1417" w:header="708" w:footer="708" w:gutter="0"/>
          <w:cols w:space="708"/>
          <w:docGrid w:linePitch="360"/>
        </w:sectPr>
      </w:pPr>
    </w:p>
    <w:p w14:paraId="05705E7E" w14:textId="3743A7A9" w:rsidR="00324025" w:rsidRPr="0041359D" w:rsidRDefault="0044218B" w:rsidP="00FF28FF">
      <w:pPr>
        <w:tabs>
          <w:tab w:val="left" w:pos="-720"/>
        </w:tabs>
        <w:suppressAutoHyphens/>
        <w:spacing w:after="0" w:line="240" w:lineRule="auto"/>
        <w:jc w:val="both"/>
        <w:rPr>
          <w:rFonts w:cstheme="minorHAnsi"/>
          <w:spacing w:val="-3"/>
          <w:sz w:val="24"/>
          <w:szCs w:val="24"/>
          <w:lang w:val="en-GB"/>
        </w:rPr>
      </w:pPr>
      <w:r w:rsidRPr="0041359D">
        <w:rPr>
          <w:rFonts w:cstheme="minorHAnsi"/>
          <w:spacing w:val="-3"/>
          <w:sz w:val="24"/>
          <w:szCs w:val="24"/>
          <w:lang w:val="en-GB"/>
        </w:rPr>
        <w:lastRenderedPageBreak/>
        <w:t>Borrowings and bonds payable decreased by</w:t>
      </w:r>
      <w:r w:rsidR="00810A4B" w:rsidRPr="0041359D">
        <w:rPr>
          <w:rFonts w:cstheme="minorHAnsi"/>
          <w:spacing w:val="-3"/>
          <w:sz w:val="24"/>
          <w:szCs w:val="24"/>
          <w:lang w:val="en-GB"/>
        </w:rPr>
        <w:t xml:space="preserve"> </w:t>
      </w:r>
      <w:r w:rsidR="00370E5A" w:rsidRPr="0041359D">
        <w:rPr>
          <w:rFonts w:cstheme="minorHAnsi"/>
          <w:spacing w:val="-3"/>
          <w:sz w:val="24"/>
          <w:szCs w:val="24"/>
          <w:lang w:val="en-GB"/>
        </w:rPr>
        <w:t>1</w:t>
      </w:r>
      <w:r w:rsidRPr="0041359D">
        <w:rPr>
          <w:rFonts w:cstheme="minorHAnsi"/>
          <w:spacing w:val="-3"/>
          <w:sz w:val="24"/>
          <w:szCs w:val="24"/>
          <w:lang w:val="en-GB"/>
        </w:rPr>
        <w:t>.</w:t>
      </w:r>
      <w:r w:rsidR="00370E5A" w:rsidRPr="0041359D">
        <w:rPr>
          <w:rFonts w:cstheme="minorHAnsi"/>
          <w:spacing w:val="-3"/>
          <w:sz w:val="24"/>
          <w:szCs w:val="24"/>
          <w:lang w:val="en-GB"/>
        </w:rPr>
        <w:t>5</w:t>
      </w:r>
      <w:r w:rsidR="00C31F69" w:rsidRPr="0041359D">
        <w:rPr>
          <w:rFonts w:cstheme="minorHAnsi"/>
          <w:spacing w:val="-3"/>
          <w:sz w:val="24"/>
          <w:szCs w:val="24"/>
          <w:lang w:val="en-GB"/>
        </w:rPr>
        <w:t xml:space="preserve"> p</w:t>
      </w:r>
      <w:r w:rsidRPr="0041359D">
        <w:rPr>
          <w:rFonts w:cstheme="minorHAnsi"/>
          <w:spacing w:val="-3"/>
          <w:sz w:val="24"/>
          <w:szCs w:val="24"/>
          <w:lang w:val="en-GB"/>
        </w:rPr>
        <w:t>ercent compared with the beginning of the year</w:t>
      </w:r>
      <w:r w:rsidR="00324025" w:rsidRPr="0041359D">
        <w:rPr>
          <w:rFonts w:cstheme="minorHAnsi"/>
          <w:spacing w:val="-3"/>
          <w:sz w:val="24"/>
          <w:szCs w:val="24"/>
          <w:lang w:val="en-GB"/>
        </w:rPr>
        <w:t xml:space="preserve">, </w:t>
      </w:r>
      <w:r w:rsidR="00285B71" w:rsidRPr="0041359D">
        <w:rPr>
          <w:rFonts w:cstheme="minorHAnsi"/>
          <w:spacing w:val="-3"/>
          <w:sz w:val="24"/>
          <w:szCs w:val="24"/>
          <w:lang w:val="en-GB"/>
        </w:rPr>
        <w:t>whereas changes in these liabilities are shown in the following table</w:t>
      </w:r>
      <w:r w:rsidR="00324025" w:rsidRPr="0041359D">
        <w:rPr>
          <w:rFonts w:cstheme="minorHAnsi"/>
          <w:spacing w:val="-3"/>
          <w:sz w:val="24"/>
          <w:szCs w:val="24"/>
          <w:lang w:val="en-GB"/>
        </w:rPr>
        <w:t>:</w:t>
      </w:r>
    </w:p>
    <w:p w14:paraId="69806B5E" w14:textId="77777777" w:rsidR="00370E5A" w:rsidRPr="00041197" w:rsidRDefault="00370E5A" w:rsidP="00FF28FF">
      <w:pPr>
        <w:tabs>
          <w:tab w:val="left" w:pos="-720"/>
        </w:tabs>
        <w:suppressAutoHyphens/>
        <w:spacing w:after="0" w:line="240" w:lineRule="auto"/>
        <w:jc w:val="both"/>
        <w:rPr>
          <w:rFonts w:cstheme="minorHAnsi"/>
          <w:spacing w:val="-3"/>
          <w:sz w:val="24"/>
          <w:szCs w:val="24"/>
          <w:lang w:val="en-GB"/>
        </w:rPr>
      </w:pPr>
    </w:p>
    <w:p w14:paraId="42E5A84B" w14:textId="77777777" w:rsidR="00324025" w:rsidRPr="002A10E9" w:rsidRDefault="00324025" w:rsidP="00FF28FF">
      <w:pPr>
        <w:tabs>
          <w:tab w:val="left" w:pos="-720"/>
        </w:tabs>
        <w:suppressAutoHyphens/>
        <w:spacing w:after="0" w:line="240" w:lineRule="auto"/>
        <w:jc w:val="both"/>
        <w:rPr>
          <w:rFonts w:cstheme="minorHAnsi"/>
          <w:spacing w:val="-3"/>
          <w:sz w:val="20"/>
          <w:szCs w:val="24"/>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9"/>
        <w:gridCol w:w="2684"/>
      </w:tblGrid>
      <w:tr w:rsidR="00B355A8" w:rsidRPr="00041197" w14:paraId="3248A08D" w14:textId="77777777" w:rsidTr="00431335">
        <w:trPr>
          <w:trHeight w:val="295"/>
        </w:trPr>
        <w:tc>
          <w:tcPr>
            <w:tcW w:w="6379" w:type="dxa"/>
            <w:vAlign w:val="bottom"/>
          </w:tcPr>
          <w:p w14:paraId="7F7618A3" w14:textId="77777777" w:rsidR="00B355A8" w:rsidRPr="00041197" w:rsidRDefault="00B355A8">
            <w:pPr>
              <w:tabs>
                <w:tab w:val="left" w:pos="-720"/>
              </w:tabs>
              <w:suppressAutoHyphens/>
              <w:rPr>
                <w:rFonts w:cstheme="minorHAnsi"/>
                <w:spacing w:val="-3"/>
                <w:sz w:val="24"/>
                <w:szCs w:val="24"/>
                <w:lang w:val="en-GB"/>
              </w:rPr>
            </w:pPr>
          </w:p>
        </w:tc>
        <w:tc>
          <w:tcPr>
            <w:tcW w:w="2684" w:type="dxa"/>
            <w:vAlign w:val="bottom"/>
          </w:tcPr>
          <w:p w14:paraId="709C2BC9" w14:textId="77777777" w:rsidR="00B355A8" w:rsidRPr="00041197" w:rsidRDefault="00B355A8" w:rsidP="00B355A8">
            <w:pPr>
              <w:tabs>
                <w:tab w:val="left" w:pos="-720"/>
              </w:tabs>
              <w:suppressAutoHyphens/>
              <w:jc w:val="right"/>
              <w:rPr>
                <w:rFonts w:cstheme="minorHAnsi"/>
                <w:spacing w:val="-3"/>
                <w:sz w:val="24"/>
                <w:szCs w:val="24"/>
                <w:lang w:val="en-GB"/>
              </w:rPr>
            </w:pPr>
            <w:r w:rsidRPr="00041197">
              <w:rPr>
                <w:rFonts w:cstheme="minorHAnsi"/>
                <w:spacing w:val="-3"/>
                <w:sz w:val="24"/>
                <w:szCs w:val="24"/>
                <w:lang w:val="en-GB"/>
              </w:rPr>
              <w:t>(</w:t>
            </w:r>
            <w:r w:rsidR="00285B71" w:rsidRPr="00395073">
              <w:rPr>
                <w:rFonts w:cstheme="minorHAnsi"/>
                <w:spacing w:val="-3"/>
                <w:sz w:val="24"/>
                <w:szCs w:val="24"/>
                <w:lang w:val="en-GB"/>
              </w:rPr>
              <w:t>in HRK millions</w:t>
            </w:r>
            <w:r w:rsidRPr="00041197">
              <w:rPr>
                <w:rFonts w:cstheme="minorHAnsi"/>
                <w:spacing w:val="-3"/>
                <w:sz w:val="24"/>
                <w:szCs w:val="24"/>
                <w:lang w:val="en-GB"/>
              </w:rPr>
              <w:t>)</w:t>
            </w:r>
          </w:p>
        </w:tc>
      </w:tr>
      <w:tr w:rsidR="00324025" w:rsidRPr="00041197" w14:paraId="22982424" w14:textId="77777777" w:rsidTr="00431335">
        <w:tc>
          <w:tcPr>
            <w:tcW w:w="6379" w:type="dxa"/>
          </w:tcPr>
          <w:p w14:paraId="274415AB" w14:textId="77777777" w:rsidR="00285B71" w:rsidRPr="00395073" w:rsidRDefault="00324025" w:rsidP="00285B71">
            <w:pPr>
              <w:tabs>
                <w:tab w:val="left" w:pos="-720"/>
              </w:tabs>
              <w:suppressAutoHyphens/>
              <w:rPr>
                <w:rFonts w:cstheme="minorHAnsi"/>
                <w:spacing w:val="-3"/>
                <w:sz w:val="24"/>
                <w:szCs w:val="24"/>
                <w:lang w:val="en-GB"/>
              </w:rPr>
            </w:pPr>
            <w:r w:rsidRPr="00041197">
              <w:rPr>
                <w:rFonts w:cstheme="minorHAnsi"/>
                <w:spacing w:val="-3"/>
                <w:sz w:val="24"/>
                <w:szCs w:val="24"/>
                <w:lang w:val="en-GB"/>
              </w:rPr>
              <w:t xml:space="preserve">- </w:t>
            </w:r>
            <w:r w:rsidR="00285B71" w:rsidRPr="00395073">
              <w:rPr>
                <w:rFonts w:cstheme="minorHAnsi"/>
                <w:spacing w:val="-3"/>
                <w:sz w:val="24"/>
                <w:szCs w:val="24"/>
                <w:lang w:val="en-GB"/>
              </w:rPr>
              <w:t>Draw-down of funds borrowed under previously contracted</w:t>
            </w:r>
          </w:p>
          <w:p w14:paraId="7A000FCB" w14:textId="77777777" w:rsidR="00324025" w:rsidRPr="00041197" w:rsidRDefault="00285B71" w:rsidP="00285B71">
            <w:pPr>
              <w:tabs>
                <w:tab w:val="left" w:pos="-720"/>
              </w:tabs>
              <w:suppressAutoHyphens/>
              <w:rPr>
                <w:rFonts w:cstheme="minorHAnsi"/>
                <w:spacing w:val="-3"/>
                <w:sz w:val="24"/>
                <w:szCs w:val="24"/>
                <w:lang w:val="en-GB"/>
              </w:rPr>
            </w:pPr>
            <w:r w:rsidRPr="00395073">
              <w:rPr>
                <w:rFonts w:cstheme="minorHAnsi"/>
                <w:spacing w:val="-3"/>
                <w:sz w:val="24"/>
                <w:szCs w:val="24"/>
                <w:lang w:val="en-GB"/>
              </w:rPr>
              <w:t xml:space="preserve">  funds of special financial institutions   </w:t>
            </w:r>
          </w:p>
        </w:tc>
        <w:tc>
          <w:tcPr>
            <w:tcW w:w="2684" w:type="dxa"/>
          </w:tcPr>
          <w:p w14:paraId="6F6AD44E" w14:textId="77777777" w:rsidR="00D96ED6" w:rsidRPr="00041197" w:rsidRDefault="00D96ED6" w:rsidP="0065688C">
            <w:pPr>
              <w:tabs>
                <w:tab w:val="left" w:pos="-720"/>
              </w:tabs>
              <w:suppressAutoHyphens/>
              <w:jc w:val="right"/>
              <w:rPr>
                <w:rFonts w:cstheme="minorHAnsi"/>
                <w:spacing w:val="-3"/>
                <w:sz w:val="24"/>
                <w:szCs w:val="24"/>
                <w:lang w:val="en-GB"/>
              </w:rPr>
            </w:pPr>
          </w:p>
          <w:p w14:paraId="705FB463" w14:textId="08CA62EF" w:rsidR="00324025" w:rsidRPr="00041197" w:rsidRDefault="0071073D" w:rsidP="0065688C">
            <w:pPr>
              <w:tabs>
                <w:tab w:val="left" w:pos="-720"/>
              </w:tabs>
              <w:suppressAutoHyphens/>
              <w:jc w:val="right"/>
              <w:rPr>
                <w:rFonts w:cstheme="minorHAnsi"/>
                <w:spacing w:val="-3"/>
                <w:sz w:val="24"/>
                <w:szCs w:val="24"/>
                <w:lang w:val="en-GB"/>
              </w:rPr>
            </w:pPr>
            <w:r w:rsidRPr="00041197">
              <w:rPr>
                <w:rFonts w:cstheme="minorHAnsi"/>
                <w:spacing w:val="-3"/>
                <w:sz w:val="24"/>
                <w:szCs w:val="24"/>
                <w:lang w:val="en-GB"/>
              </w:rPr>
              <w:t>4</w:t>
            </w:r>
            <w:r w:rsidR="00370E5A">
              <w:rPr>
                <w:rFonts w:cstheme="minorHAnsi"/>
                <w:spacing w:val="-3"/>
                <w:sz w:val="24"/>
                <w:szCs w:val="24"/>
                <w:lang w:val="en-GB"/>
              </w:rPr>
              <w:t>86</w:t>
            </w:r>
            <w:r w:rsidR="00285B71">
              <w:rPr>
                <w:rFonts w:cstheme="minorHAnsi"/>
                <w:spacing w:val="-3"/>
                <w:sz w:val="24"/>
                <w:szCs w:val="24"/>
                <w:lang w:val="en-GB"/>
              </w:rPr>
              <w:t>.</w:t>
            </w:r>
            <w:r w:rsidR="00370E5A">
              <w:rPr>
                <w:rFonts w:cstheme="minorHAnsi"/>
                <w:spacing w:val="-3"/>
                <w:sz w:val="24"/>
                <w:szCs w:val="24"/>
                <w:lang w:val="en-GB"/>
              </w:rPr>
              <w:t>0</w:t>
            </w:r>
          </w:p>
        </w:tc>
      </w:tr>
      <w:tr w:rsidR="00324025" w:rsidRPr="00041197" w14:paraId="0AAB44B9" w14:textId="77777777" w:rsidTr="002A10E9">
        <w:tc>
          <w:tcPr>
            <w:tcW w:w="6379" w:type="dxa"/>
          </w:tcPr>
          <w:p w14:paraId="41AF3B64" w14:textId="77777777" w:rsidR="00324025" w:rsidRPr="00041197" w:rsidRDefault="00324025" w:rsidP="00FF28FF">
            <w:pPr>
              <w:tabs>
                <w:tab w:val="left" w:pos="-720"/>
              </w:tabs>
              <w:suppressAutoHyphens/>
              <w:jc w:val="both"/>
              <w:rPr>
                <w:rFonts w:cstheme="minorHAnsi"/>
                <w:spacing w:val="-3"/>
                <w:sz w:val="24"/>
                <w:szCs w:val="24"/>
                <w:lang w:val="en-GB"/>
              </w:rPr>
            </w:pPr>
            <w:r w:rsidRPr="00041197">
              <w:rPr>
                <w:rFonts w:cstheme="minorHAnsi"/>
                <w:spacing w:val="-3"/>
                <w:sz w:val="24"/>
                <w:szCs w:val="24"/>
                <w:lang w:val="en-GB"/>
              </w:rPr>
              <w:t xml:space="preserve">- </w:t>
            </w:r>
            <w:r w:rsidR="00285B71" w:rsidRPr="00395073">
              <w:rPr>
                <w:rFonts w:cstheme="minorHAnsi"/>
                <w:spacing w:val="-3"/>
                <w:sz w:val="24"/>
                <w:szCs w:val="24"/>
                <w:lang w:val="en-GB"/>
              </w:rPr>
              <w:t>Repayments of borrowings</w:t>
            </w:r>
          </w:p>
        </w:tc>
        <w:tc>
          <w:tcPr>
            <w:tcW w:w="2684" w:type="dxa"/>
          </w:tcPr>
          <w:p w14:paraId="7A863BA6" w14:textId="7C39C000" w:rsidR="00324025" w:rsidRPr="00041197" w:rsidRDefault="00324025" w:rsidP="0065688C">
            <w:pPr>
              <w:tabs>
                <w:tab w:val="left" w:pos="-720"/>
              </w:tabs>
              <w:suppressAutoHyphens/>
              <w:jc w:val="right"/>
              <w:rPr>
                <w:rFonts w:cstheme="minorHAnsi"/>
                <w:spacing w:val="-3"/>
                <w:sz w:val="24"/>
                <w:szCs w:val="24"/>
                <w:lang w:val="en-GB"/>
              </w:rPr>
            </w:pPr>
            <w:r w:rsidRPr="00041197">
              <w:rPr>
                <w:rFonts w:cstheme="minorHAnsi"/>
                <w:spacing w:val="-3"/>
                <w:sz w:val="24"/>
                <w:szCs w:val="24"/>
                <w:lang w:val="en-GB"/>
              </w:rPr>
              <w:t>(</w:t>
            </w:r>
            <w:r w:rsidR="00370E5A">
              <w:rPr>
                <w:rFonts w:cstheme="minorHAnsi"/>
                <w:spacing w:val="-3"/>
                <w:sz w:val="24"/>
                <w:szCs w:val="24"/>
                <w:lang w:val="en-GB"/>
              </w:rPr>
              <w:t>629</w:t>
            </w:r>
            <w:r w:rsidR="00285B71">
              <w:rPr>
                <w:rFonts w:cstheme="minorHAnsi"/>
                <w:spacing w:val="-3"/>
                <w:sz w:val="24"/>
                <w:szCs w:val="24"/>
                <w:lang w:val="en-GB"/>
              </w:rPr>
              <w:t>.</w:t>
            </w:r>
            <w:r w:rsidR="00370E5A">
              <w:rPr>
                <w:rFonts w:cstheme="minorHAnsi"/>
                <w:spacing w:val="-3"/>
                <w:sz w:val="24"/>
                <w:szCs w:val="24"/>
                <w:lang w:val="en-GB"/>
              </w:rPr>
              <w:t>4</w:t>
            </w:r>
            <w:r w:rsidRPr="00041197">
              <w:rPr>
                <w:rFonts w:cstheme="minorHAnsi"/>
                <w:spacing w:val="-3"/>
                <w:sz w:val="24"/>
                <w:szCs w:val="24"/>
                <w:lang w:val="en-GB"/>
              </w:rPr>
              <w:t>)</w:t>
            </w:r>
          </w:p>
        </w:tc>
      </w:tr>
      <w:tr w:rsidR="00324025" w:rsidRPr="00041197" w14:paraId="1522A5D6" w14:textId="77777777" w:rsidTr="002A10E9">
        <w:tc>
          <w:tcPr>
            <w:tcW w:w="6379" w:type="dxa"/>
          </w:tcPr>
          <w:p w14:paraId="67781298" w14:textId="77777777" w:rsidR="00324025" w:rsidRPr="00041197" w:rsidRDefault="007221ED">
            <w:pPr>
              <w:tabs>
                <w:tab w:val="left" w:pos="-720"/>
              </w:tabs>
              <w:suppressAutoHyphens/>
              <w:jc w:val="both"/>
              <w:rPr>
                <w:rFonts w:cstheme="minorHAnsi"/>
                <w:spacing w:val="-3"/>
                <w:lang w:val="en-GB"/>
              </w:rPr>
            </w:pPr>
            <w:r w:rsidRPr="00041197">
              <w:rPr>
                <w:rFonts w:cstheme="minorHAnsi"/>
                <w:spacing w:val="-3"/>
                <w:lang w:val="en-GB"/>
              </w:rPr>
              <w:t xml:space="preserve">- </w:t>
            </w:r>
            <w:r w:rsidR="00285B71" w:rsidRPr="00395073">
              <w:rPr>
                <w:rFonts w:cstheme="minorHAnsi"/>
                <w:spacing w:val="-3"/>
                <w:sz w:val="24"/>
                <w:szCs w:val="24"/>
                <w:lang w:val="en-GB"/>
              </w:rPr>
              <w:t>Foreign exchange gains or losses</w:t>
            </w:r>
          </w:p>
        </w:tc>
        <w:tc>
          <w:tcPr>
            <w:tcW w:w="2684" w:type="dxa"/>
          </w:tcPr>
          <w:p w14:paraId="046E4390" w14:textId="0F4F5178" w:rsidR="00324025" w:rsidRPr="00041197" w:rsidRDefault="00370E5A" w:rsidP="0065688C">
            <w:pPr>
              <w:tabs>
                <w:tab w:val="left" w:pos="-720"/>
              </w:tabs>
              <w:suppressAutoHyphens/>
              <w:jc w:val="right"/>
              <w:rPr>
                <w:rFonts w:cstheme="minorHAnsi"/>
                <w:spacing w:val="-3"/>
                <w:sz w:val="24"/>
                <w:szCs w:val="24"/>
                <w:lang w:val="en-GB"/>
              </w:rPr>
            </w:pPr>
            <w:r>
              <w:rPr>
                <w:rFonts w:cstheme="minorHAnsi"/>
                <w:spacing w:val="-3"/>
                <w:sz w:val="24"/>
                <w:szCs w:val="24"/>
                <w:lang w:val="en-GB"/>
              </w:rPr>
              <w:t>347</w:t>
            </w:r>
            <w:r w:rsidR="00285B71">
              <w:rPr>
                <w:rFonts w:cstheme="minorHAnsi"/>
                <w:spacing w:val="-3"/>
                <w:sz w:val="24"/>
                <w:szCs w:val="24"/>
                <w:lang w:val="en-GB"/>
              </w:rPr>
              <w:t>.</w:t>
            </w:r>
            <w:r>
              <w:rPr>
                <w:rFonts w:cstheme="minorHAnsi"/>
                <w:spacing w:val="-3"/>
                <w:sz w:val="24"/>
                <w:szCs w:val="24"/>
                <w:lang w:val="en-GB"/>
              </w:rPr>
              <w:t>9</w:t>
            </w:r>
          </w:p>
        </w:tc>
      </w:tr>
      <w:tr w:rsidR="007221ED" w:rsidRPr="00041197" w14:paraId="5A6B98AE" w14:textId="77777777" w:rsidTr="002A10E9">
        <w:tc>
          <w:tcPr>
            <w:tcW w:w="6379" w:type="dxa"/>
            <w:tcBorders>
              <w:bottom w:val="single" w:sz="4" w:space="0" w:color="auto"/>
            </w:tcBorders>
          </w:tcPr>
          <w:p w14:paraId="6D40B0E5" w14:textId="77777777" w:rsidR="007221ED" w:rsidRPr="00041197" w:rsidRDefault="007221ED" w:rsidP="007221ED">
            <w:pPr>
              <w:tabs>
                <w:tab w:val="left" w:pos="-720"/>
              </w:tabs>
              <w:suppressAutoHyphens/>
              <w:jc w:val="both"/>
              <w:rPr>
                <w:rFonts w:cstheme="minorHAnsi"/>
                <w:spacing w:val="-3"/>
                <w:sz w:val="24"/>
                <w:szCs w:val="24"/>
                <w:lang w:val="en-GB"/>
              </w:rPr>
            </w:pPr>
            <w:r w:rsidRPr="00041197">
              <w:rPr>
                <w:rFonts w:cstheme="minorHAnsi"/>
                <w:spacing w:val="-3"/>
                <w:sz w:val="24"/>
                <w:szCs w:val="24"/>
                <w:lang w:val="en-GB"/>
              </w:rPr>
              <w:t xml:space="preserve">- </w:t>
            </w:r>
            <w:r w:rsidR="00285B71" w:rsidRPr="00395073">
              <w:rPr>
                <w:rFonts w:cstheme="minorHAnsi"/>
                <w:spacing w:val="-3"/>
                <w:sz w:val="24"/>
                <w:szCs w:val="24"/>
                <w:lang w:val="en-GB"/>
              </w:rPr>
              <w:t>Other calculations</w:t>
            </w:r>
            <w:r w:rsidR="00285B71" w:rsidRPr="00041197">
              <w:rPr>
                <w:rFonts w:cstheme="minorHAnsi"/>
                <w:spacing w:val="-3"/>
                <w:sz w:val="24"/>
                <w:szCs w:val="24"/>
                <w:lang w:val="en-GB"/>
              </w:rPr>
              <w:t xml:space="preserve"> </w:t>
            </w:r>
            <w:r w:rsidRPr="00041197">
              <w:rPr>
                <w:rFonts w:cstheme="minorHAnsi"/>
                <w:spacing w:val="-3"/>
                <w:sz w:val="24"/>
                <w:szCs w:val="24"/>
                <w:lang w:val="en-GB"/>
              </w:rPr>
              <w:t>*</w:t>
            </w:r>
          </w:p>
        </w:tc>
        <w:tc>
          <w:tcPr>
            <w:tcW w:w="2684" w:type="dxa"/>
            <w:tcBorders>
              <w:bottom w:val="single" w:sz="4" w:space="0" w:color="auto"/>
            </w:tcBorders>
          </w:tcPr>
          <w:p w14:paraId="65CF3D32" w14:textId="17DC0C42" w:rsidR="007221ED" w:rsidRPr="00041197" w:rsidRDefault="00370E5A" w:rsidP="007221ED">
            <w:pPr>
              <w:tabs>
                <w:tab w:val="left" w:pos="-720"/>
              </w:tabs>
              <w:suppressAutoHyphens/>
              <w:jc w:val="right"/>
              <w:rPr>
                <w:rFonts w:cstheme="minorHAnsi"/>
                <w:spacing w:val="-3"/>
                <w:sz w:val="24"/>
                <w:szCs w:val="24"/>
                <w:lang w:val="en-GB"/>
              </w:rPr>
            </w:pPr>
            <w:r>
              <w:rPr>
                <w:rFonts w:cstheme="minorHAnsi"/>
                <w:spacing w:val="-3"/>
                <w:sz w:val="24"/>
                <w:szCs w:val="24"/>
                <w:lang w:val="en-GB"/>
              </w:rPr>
              <w:t>25</w:t>
            </w:r>
            <w:r w:rsidR="00285B71">
              <w:rPr>
                <w:rFonts w:cstheme="minorHAnsi"/>
                <w:spacing w:val="-3"/>
                <w:sz w:val="24"/>
                <w:szCs w:val="24"/>
                <w:lang w:val="en-GB"/>
              </w:rPr>
              <w:t>.</w:t>
            </w:r>
            <w:r>
              <w:rPr>
                <w:rFonts w:cstheme="minorHAnsi"/>
                <w:spacing w:val="-3"/>
                <w:sz w:val="24"/>
                <w:szCs w:val="24"/>
                <w:lang w:val="en-GB"/>
              </w:rPr>
              <w:t>4</w:t>
            </w:r>
          </w:p>
        </w:tc>
      </w:tr>
      <w:tr w:rsidR="007221ED" w:rsidRPr="00041197" w14:paraId="091588C6" w14:textId="77777777" w:rsidTr="00431335">
        <w:tc>
          <w:tcPr>
            <w:tcW w:w="6379" w:type="dxa"/>
            <w:tcBorders>
              <w:top w:val="single" w:sz="4" w:space="0" w:color="auto"/>
            </w:tcBorders>
          </w:tcPr>
          <w:p w14:paraId="6CCD2C2A" w14:textId="77777777" w:rsidR="007221ED" w:rsidRPr="00041197" w:rsidRDefault="00285B71" w:rsidP="007221ED">
            <w:pPr>
              <w:tabs>
                <w:tab w:val="left" w:pos="-720"/>
              </w:tabs>
              <w:suppressAutoHyphens/>
              <w:jc w:val="both"/>
              <w:rPr>
                <w:rFonts w:cstheme="minorHAnsi"/>
                <w:b/>
                <w:spacing w:val="-3"/>
                <w:sz w:val="24"/>
                <w:szCs w:val="24"/>
                <w:lang w:val="en-GB"/>
              </w:rPr>
            </w:pPr>
            <w:r w:rsidRPr="00395073">
              <w:rPr>
                <w:rFonts w:cstheme="minorHAnsi"/>
                <w:b/>
                <w:spacing w:val="-3"/>
                <w:sz w:val="24"/>
                <w:szCs w:val="24"/>
                <w:lang w:val="en-GB"/>
              </w:rPr>
              <w:t>Total changes</w:t>
            </w:r>
          </w:p>
        </w:tc>
        <w:tc>
          <w:tcPr>
            <w:tcW w:w="2684" w:type="dxa"/>
            <w:tcBorders>
              <w:top w:val="single" w:sz="4" w:space="0" w:color="auto"/>
            </w:tcBorders>
          </w:tcPr>
          <w:p w14:paraId="1624491D" w14:textId="5AB1FF9D" w:rsidR="007221ED" w:rsidRPr="00041197" w:rsidRDefault="00370E5A" w:rsidP="007221ED">
            <w:pPr>
              <w:tabs>
                <w:tab w:val="left" w:pos="-720"/>
              </w:tabs>
              <w:suppressAutoHyphens/>
              <w:jc w:val="right"/>
              <w:rPr>
                <w:rFonts w:cstheme="minorHAnsi"/>
                <w:b/>
                <w:spacing w:val="-3"/>
                <w:sz w:val="24"/>
                <w:szCs w:val="24"/>
                <w:lang w:val="en-GB"/>
              </w:rPr>
            </w:pPr>
            <w:r>
              <w:rPr>
                <w:rFonts w:cstheme="minorHAnsi"/>
                <w:b/>
                <w:spacing w:val="-3"/>
                <w:sz w:val="24"/>
                <w:szCs w:val="24"/>
                <w:lang w:val="en-GB"/>
              </w:rPr>
              <w:t>229</w:t>
            </w:r>
            <w:r w:rsidR="00285B71">
              <w:rPr>
                <w:rFonts w:cstheme="minorHAnsi"/>
                <w:b/>
                <w:spacing w:val="-3"/>
                <w:sz w:val="24"/>
                <w:szCs w:val="24"/>
                <w:lang w:val="en-GB"/>
              </w:rPr>
              <w:t>.</w:t>
            </w:r>
            <w:r>
              <w:rPr>
                <w:rFonts w:cstheme="minorHAnsi"/>
                <w:b/>
                <w:spacing w:val="-3"/>
                <w:sz w:val="24"/>
                <w:szCs w:val="24"/>
                <w:lang w:val="en-GB"/>
              </w:rPr>
              <w:t>9</w:t>
            </w:r>
          </w:p>
        </w:tc>
      </w:tr>
      <w:tr w:rsidR="007221ED" w:rsidRPr="00041197" w14:paraId="1B91F25B" w14:textId="77777777" w:rsidTr="00431335">
        <w:tc>
          <w:tcPr>
            <w:tcW w:w="6379" w:type="dxa"/>
            <w:tcBorders>
              <w:top w:val="single" w:sz="4" w:space="0" w:color="auto"/>
            </w:tcBorders>
          </w:tcPr>
          <w:p w14:paraId="1A2CBFFD" w14:textId="77777777" w:rsidR="007221ED" w:rsidRPr="00041197" w:rsidRDefault="007221ED" w:rsidP="007221ED">
            <w:pPr>
              <w:tabs>
                <w:tab w:val="left" w:pos="-720"/>
              </w:tabs>
              <w:suppressAutoHyphens/>
              <w:jc w:val="both"/>
              <w:rPr>
                <w:rFonts w:cstheme="minorHAnsi"/>
                <w:b/>
                <w:spacing w:val="-3"/>
                <w:sz w:val="16"/>
                <w:szCs w:val="16"/>
                <w:lang w:val="en-GB"/>
              </w:rPr>
            </w:pPr>
          </w:p>
        </w:tc>
        <w:tc>
          <w:tcPr>
            <w:tcW w:w="2684" w:type="dxa"/>
            <w:tcBorders>
              <w:top w:val="single" w:sz="4" w:space="0" w:color="auto"/>
            </w:tcBorders>
          </w:tcPr>
          <w:p w14:paraId="41CE1F42" w14:textId="77777777" w:rsidR="007221ED" w:rsidRPr="00041197" w:rsidRDefault="007221ED" w:rsidP="007221ED">
            <w:pPr>
              <w:tabs>
                <w:tab w:val="left" w:pos="-720"/>
              </w:tabs>
              <w:suppressAutoHyphens/>
              <w:jc w:val="right"/>
              <w:rPr>
                <w:rFonts w:cstheme="minorHAnsi"/>
                <w:b/>
                <w:spacing w:val="-3"/>
                <w:sz w:val="16"/>
                <w:szCs w:val="16"/>
                <w:lang w:val="en-GB"/>
              </w:rPr>
            </w:pPr>
          </w:p>
        </w:tc>
      </w:tr>
      <w:tr w:rsidR="007221ED" w:rsidRPr="00041197" w14:paraId="53EAA913" w14:textId="77777777" w:rsidTr="00431335">
        <w:tc>
          <w:tcPr>
            <w:tcW w:w="9063" w:type="dxa"/>
            <w:gridSpan w:val="2"/>
          </w:tcPr>
          <w:p w14:paraId="490B5C8F" w14:textId="77777777" w:rsidR="007221ED" w:rsidRPr="00041197" w:rsidRDefault="007221ED" w:rsidP="007221ED">
            <w:pPr>
              <w:tabs>
                <w:tab w:val="left" w:pos="-720"/>
              </w:tabs>
              <w:suppressAutoHyphens/>
              <w:jc w:val="both"/>
              <w:rPr>
                <w:rFonts w:cstheme="minorHAnsi"/>
                <w:i/>
                <w:spacing w:val="-3"/>
                <w:sz w:val="20"/>
                <w:szCs w:val="20"/>
                <w:lang w:val="en-GB"/>
              </w:rPr>
            </w:pPr>
            <w:r w:rsidRPr="00041197">
              <w:rPr>
                <w:rFonts w:cstheme="minorHAnsi"/>
                <w:i/>
                <w:spacing w:val="-3"/>
                <w:sz w:val="20"/>
                <w:szCs w:val="20"/>
                <w:lang w:val="en-GB"/>
              </w:rPr>
              <w:t>*</w:t>
            </w:r>
            <w:r w:rsidR="00285B71" w:rsidRPr="00395073">
              <w:rPr>
                <w:rFonts w:cstheme="minorHAnsi"/>
                <w:i/>
                <w:spacing w:val="-3"/>
                <w:sz w:val="20"/>
                <w:szCs w:val="20"/>
                <w:lang w:val="en-GB"/>
              </w:rPr>
              <w:t xml:space="preserve"> Other calculations relate to the changes in discount, amount of interest not due and deferred fees</w:t>
            </w:r>
            <w:r w:rsidRPr="00041197">
              <w:rPr>
                <w:rFonts w:cstheme="minorHAnsi"/>
                <w:i/>
                <w:spacing w:val="-3"/>
                <w:sz w:val="20"/>
                <w:szCs w:val="20"/>
                <w:lang w:val="en-GB"/>
              </w:rPr>
              <w:t>.</w:t>
            </w:r>
          </w:p>
        </w:tc>
      </w:tr>
    </w:tbl>
    <w:p w14:paraId="240C6B2F" w14:textId="77777777" w:rsidR="00B455CC" w:rsidRPr="00041197" w:rsidRDefault="00B455CC" w:rsidP="002E269E">
      <w:pPr>
        <w:tabs>
          <w:tab w:val="left" w:pos="-720"/>
        </w:tabs>
        <w:suppressAutoHyphens/>
        <w:spacing w:after="0" w:line="240" w:lineRule="auto"/>
        <w:jc w:val="both"/>
        <w:rPr>
          <w:rFonts w:eastAsia="Times New Roman" w:cs="Calibri"/>
          <w:b/>
          <w:i/>
          <w:spacing w:val="-3"/>
          <w:sz w:val="24"/>
          <w:szCs w:val="24"/>
          <w:lang w:val="en-GB" w:eastAsia="hr-HR"/>
        </w:rPr>
      </w:pPr>
    </w:p>
    <w:p w14:paraId="0B78A9EB" w14:textId="77777777" w:rsidR="00F979E3" w:rsidRPr="00F979E3" w:rsidRDefault="00F979E3" w:rsidP="00F979E3">
      <w:pPr>
        <w:tabs>
          <w:tab w:val="left" w:pos="-720"/>
        </w:tabs>
        <w:suppressAutoHyphens/>
        <w:jc w:val="both"/>
        <w:rPr>
          <w:rFonts w:cstheme="minorHAnsi"/>
          <w:b/>
          <w:i/>
          <w:spacing w:val="-3"/>
          <w:sz w:val="24"/>
          <w:szCs w:val="24"/>
          <w:lang w:val="en-GB" w:eastAsia="hr-HR"/>
        </w:rPr>
      </w:pPr>
      <w:r w:rsidRPr="00F979E3">
        <w:rPr>
          <w:rFonts w:cstheme="minorHAnsi"/>
          <w:b/>
          <w:i/>
          <w:spacing w:val="-3"/>
          <w:sz w:val="24"/>
          <w:szCs w:val="24"/>
          <w:lang w:val="en-GB" w:eastAsia="hr-HR"/>
        </w:rPr>
        <w:t xml:space="preserve">Total equity </w:t>
      </w:r>
    </w:p>
    <w:p w14:paraId="2F1B468F" w14:textId="2CC802BF" w:rsidR="00514881" w:rsidRPr="00041197" w:rsidRDefault="00F979E3" w:rsidP="00514881">
      <w:pPr>
        <w:spacing w:after="0" w:line="240" w:lineRule="auto"/>
        <w:jc w:val="both"/>
        <w:rPr>
          <w:rFonts w:eastAsia="Times New Roman" w:cs="Calibri"/>
          <w:spacing w:val="-3"/>
          <w:sz w:val="24"/>
          <w:szCs w:val="24"/>
          <w:lang w:val="en-GB" w:eastAsia="hr-HR"/>
        </w:rPr>
      </w:pPr>
      <w:r w:rsidRPr="00F979E3">
        <w:rPr>
          <w:rFonts w:cstheme="minorHAnsi"/>
          <w:spacing w:val="-3"/>
          <w:sz w:val="24"/>
          <w:szCs w:val="24"/>
          <w:lang w:val="en-GB" w:eastAsia="hr-HR"/>
        </w:rPr>
        <w:t>Total equity amounted to HRK</w:t>
      </w:r>
      <w:r w:rsidRPr="00ED0C27">
        <w:rPr>
          <w:rFonts w:cstheme="minorHAnsi"/>
          <w:spacing w:val="-3"/>
          <w:lang w:val="en-GB" w:eastAsia="hr-HR"/>
        </w:rPr>
        <w:t xml:space="preserve"> </w:t>
      </w:r>
      <w:r w:rsidR="009B5BDD" w:rsidRPr="00041197">
        <w:rPr>
          <w:rFonts w:eastAsia="Times New Roman" w:cs="Calibri"/>
          <w:spacing w:val="-3"/>
          <w:sz w:val="24"/>
          <w:szCs w:val="24"/>
          <w:lang w:val="en-GB" w:eastAsia="hr-HR"/>
        </w:rPr>
        <w:t>10</w:t>
      </w:r>
      <w:r>
        <w:rPr>
          <w:rFonts w:eastAsia="Times New Roman" w:cs="Calibri"/>
          <w:spacing w:val="-3"/>
          <w:sz w:val="24"/>
          <w:szCs w:val="24"/>
          <w:lang w:val="en-GB" w:eastAsia="hr-HR"/>
        </w:rPr>
        <w:t>,</w:t>
      </w:r>
      <w:r w:rsidR="00370E5A">
        <w:rPr>
          <w:rFonts w:eastAsia="Times New Roman" w:cs="Calibri"/>
          <w:spacing w:val="-3"/>
          <w:sz w:val="24"/>
          <w:szCs w:val="24"/>
          <w:lang w:val="en-GB" w:eastAsia="hr-HR"/>
        </w:rPr>
        <w:t>270</w:t>
      </w:r>
      <w:r>
        <w:rPr>
          <w:rFonts w:eastAsia="Times New Roman" w:cs="Calibri"/>
          <w:spacing w:val="-3"/>
          <w:sz w:val="24"/>
          <w:szCs w:val="24"/>
          <w:lang w:val="en-GB" w:eastAsia="hr-HR"/>
        </w:rPr>
        <w:t>.</w:t>
      </w:r>
      <w:r w:rsidR="00370E5A">
        <w:rPr>
          <w:rFonts w:eastAsia="Times New Roman" w:cs="Calibri"/>
          <w:spacing w:val="-3"/>
          <w:sz w:val="24"/>
          <w:szCs w:val="24"/>
          <w:lang w:val="en-GB" w:eastAsia="hr-HR"/>
        </w:rPr>
        <w:t>0</w:t>
      </w:r>
      <w:r w:rsidR="00514881" w:rsidRPr="00041197">
        <w:rPr>
          <w:rFonts w:eastAsia="Times New Roman" w:cs="Calibri"/>
          <w:spacing w:val="-3"/>
          <w:sz w:val="24"/>
          <w:szCs w:val="24"/>
          <w:lang w:val="en-GB" w:eastAsia="hr-HR"/>
        </w:rPr>
        <w:t xml:space="preserve"> mil</w:t>
      </w:r>
      <w:r>
        <w:rPr>
          <w:rFonts w:eastAsia="Times New Roman" w:cs="Calibri"/>
          <w:spacing w:val="-3"/>
          <w:sz w:val="24"/>
          <w:szCs w:val="24"/>
          <w:lang w:val="en-GB" w:eastAsia="hr-HR"/>
        </w:rPr>
        <w:t>lion, representing</w:t>
      </w:r>
      <w:r w:rsidR="00514881" w:rsidRPr="00041197">
        <w:rPr>
          <w:rFonts w:eastAsia="Times New Roman" w:cs="Calibri"/>
          <w:spacing w:val="-3"/>
          <w:sz w:val="24"/>
          <w:szCs w:val="24"/>
          <w:lang w:val="en-GB" w:eastAsia="hr-HR"/>
        </w:rPr>
        <w:t xml:space="preserve"> </w:t>
      </w:r>
      <w:r w:rsidR="00A67B12" w:rsidRPr="00041197">
        <w:rPr>
          <w:rFonts w:eastAsia="Times New Roman" w:cs="Calibri"/>
          <w:spacing w:val="-3"/>
          <w:sz w:val="24"/>
          <w:szCs w:val="24"/>
          <w:lang w:val="en-GB" w:eastAsia="hr-HR"/>
        </w:rPr>
        <w:t>3</w:t>
      </w:r>
      <w:r w:rsidR="00370E5A">
        <w:rPr>
          <w:rFonts w:eastAsia="Times New Roman" w:cs="Calibri"/>
          <w:spacing w:val="-3"/>
          <w:sz w:val="24"/>
          <w:szCs w:val="24"/>
          <w:lang w:val="en-GB" w:eastAsia="hr-HR"/>
        </w:rPr>
        <w:t>8</w:t>
      </w:r>
      <w:r>
        <w:rPr>
          <w:rFonts w:eastAsia="Times New Roman" w:cs="Calibri"/>
          <w:spacing w:val="-3"/>
          <w:sz w:val="24"/>
          <w:szCs w:val="24"/>
          <w:lang w:val="en-GB" w:eastAsia="hr-HR"/>
        </w:rPr>
        <w:t>.</w:t>
      </w:r>
      <w:r w:rsidR="005F627E">
        <w:rPr>
          <w:rFonts w:eastAsia="Times New Roman" w:cs="Calibri"/>
          <w:spacing w:val="-3"/>
          <w:sz w:val="24"/>
          <w:szCs w:val="24"/>
          <w:lang w:val="en-GB" w:eastAsia="hr-HR"/>
        </w:rPr>
        <w:t>5</w:t>
      </w:r>
      <w:r w:rsidR="00E86735" w:rsidRPr="00041197">
        <w:rPr>
          <w:rFonts w:eastAsia="Times New Roman" w:cs="Calibri"/>
          <w:spacing w:val="-3"/>
          <w:sz w:val="24"/>
          <w:szCs w:val="24"/>
          <w:lang w:val="en-GB" w:eastAsia="hr-HR"/>
        </w:rPr>
        <w:t xml:space="preserve"> p</w:t>
      </w:r>
      <w:r>
        <w:rPr>
          <w:rFonts w:eastAsia="Times New Roman" w:cs="Calibri"/>
          <w:spacing w:val="-3"/>
          <w:sz w:val="24"/>
          <w:szCs w:val="24"/>
          <w:lang w:val="en-GB" w:eastAsia="hr-HR"/>
        </w:rPr>
        <w:t>ercent of total liabilities and total equity</w:t>
      </w:r>
      <w:r w:rsidR="00514881" w:rsidRPr="00041197">
        <w:rPr>
          <w:rFonts w:eastAsia="Times New Roman" w:cs="Calibri"/>
          <w:spacing w:val="-3"/>
          <w:sz w:val="24"/>
          <w:szCs w:val="24"/>
          <w:lang w:val="en-GB" w:eastAsia="hr-HR"/>
        </w:rPr>
        <w:t>.</w:t>
      </w:r>
    </w:p>
    <w:p w14:paraId="620528CF" w14:textId="77777777" w:rsidR="0076739E" w:rsidRPr="0041359D" w:rsidRDefault="0076739E" w:rsidP="00514881">
      <w:pPr>
        <w:tabs>
          <w:tab w:val="left" w:pos="-720"/>
        </w:tabs>
        <w:suppressAutoHyphens/>
        <w:spacing w:after="0" w:line="240" w:lineRule="auto"/>
        <w:jc w:val="both"/>
        <w:rPr>
          <w:rFonts w:cstheme="minorHAnsi"/>
          <w:spacing w:val="-3"/>
          <w:sz w:val="24"/>
          <w:szCs w:val="24"/>
          <w:lang w:val="en-GB"/>
        </w:rPr>
      </w:pPr>
    </w:p>
    <w:p w14:paraId="7AFB79B1" w14:textId="5D569F94" w:rsidR="00514881" w:rsidRPr="0041359D" w:rsidRDefault="00F979E3" w:rsidP="00514881">
      <w:pPr>
        <w:tabs>
          <w:tab w:val="left" w:pos="-720"/>
        </w:tabs>
        <w:suppressAutoHyphens/>
        <w:spacing w:after="0" w:line="240" w:lineRule="auto"/>
        <w:jc w:val="both"/>
        <w:rPr>
          <w:rFonts w:cstheme="minorHAnsi"/>
          <w:spacing w:val="-3"/>
          <w:sz w:val="24"/>
          <w:szCs w:val="24"/>
          <w:lang w:val="en-GB"/>
        </w:rPr>
      </w:pPr>
      <w:r w:rsidRPr="0041359D">
        <w:rPr>
          <w:rFonts w:cstheme="minorHAnsi"/>
          <w:spacing w:val="-3"/>
          <w:sz w:val="24"/>
          <w:szCs w:val="24"/>
          <w:lang w:val="en-GB"/>
        </w:rPr>
        <w:t>Total equity of HBOR is comprised of the capital and the guarantee fund</w:t>
      </w:r>
      <w:r w:rsidR="00514881" w:rsidRPr="0041359D">
        <w:rPr>
          <w:rFonts w:cstheme="minorHAnsi"/>
          <w:spacing w:val="-3"/>
          <w:sz w:val="24"/>
          <w:szCs w:val="24"/>
          <w:lang w:val="en-GB"/>
        </w:rPr>
        <w:t xml:space="preserve">. </w:t>
      </w:r>
      <w:r w:rsidRPr="0041359D">
        <w:rPr>
          <w:rFonts w:cstheme="minorHAnsi"/>
          <w:spacing w:val="-3"/>
          <w:sz w:val="24"/>
          <w:szCs w:val="24"/>
          <w:lang w:val="en-GB"/>
        </w:rPr>
        <w:t xml:space="preserve">HBOR’s capital is comprised of founder’s capital contributed from the budget of the Republic of Croatia, retained earnings from the profits generated in the previous years, other reserves and profits for the current </w:t>
      </w:r>
      <w:r w:rsidR="00370E5A" w:rsidRPr="0041359D">
        <w:rPr>
          <w:rFonts w:cstheme="minorHAnsi"/>
          <w:spacing w:val="-3"/>
          <w:sz w:val="24"/>
          <w:szCs w:val="24"/>
          <w:lang w:val="en-GB"/>
        </w:rPr>
        <w:t>period</w:t>
      </w:r>
      <w:r w:rsidR="00514881" w:rsidRPr="0041359D">
        <w:rPr>
          <w:rFonts w:cstheme="minorHAnsi"/>
          <w:spacing w:val="-3"/>
          <w:sz w:val="24"/>
          <w:szCs w:val="24"/>
          <w:lang w:val="en-GB"/>
        </w:rPr>
        <w:t xml:space="preserve">. </w:t>
      </w:r>
    </w:p>
    <w:p w14:paraId="1C787C1B" w14:textId="0CE8FB7F" w:rsidR="00514881" w:rsidRPr="008C7242" w:rsidRDefault="00514881" w:rsidP="00514881">
      <w:pPr>
        <w:tabs>
          <w:tab w:val="left" w:pos="-720"/>
        </w:tabs>
        <w:suppressAutoHyphens/>
        <w:spacing w:after="0" w:line="240" w:lineRule="auto"/>
        <w:jc w:val="both"/>
        <w:rPr>
          <w:rFonts w:cstheme="minorHAnsi"/>
          <w:spacing w:val="-3"/>
          <w:sz w:val="24"/>
          <w:szCs w:val="24"/>
          <w:lang w:val="en-GB"/>
        </w:rPr>
      </w:pPr>
    </w:p>
    <w:p w14:paraId="0F486972" w14:textId="643DCA3B" w:rsidR="00610C8C" w:rsidRPr="0041359D" w:rsidRDefault="00610C8C" w:rsidP="00610C8C">
      <w:pPr>
        <w:tabs>
          <w:tab w:val="left" w:pos="-720"/>
        </w:tabs>
        <w:spacing w:after="0" w:line="240" w:lineRule="auto"/>
        <w:jc w:val="both"/>
        <w:rPr>
          <w:rFonts w:cstheme="minorHAnsi"/>
          <w:spacing w:val="-3"/>
          <w:sz w:val="24"/>
          <w:szCs w:val="24"/>
          <w:lang w:val="en-GB"/>
        </w:rPr>
      </w:pPr>
      <w:r w:rsidRPr="0041359D">
        <w:rPr>
          <w:sz w:val="24"/>
          <w:szCs w:val="24"/>
          <w:lang w:val="en"/>
        </w:rPr>
        <w:t xml:space="preserve">In the period from </w:t>
      </w:r>
      <w:r w:rsidRPr="0041359D">
        <w:rPr>
          <w:rFonts w:cstheme="minorHAnsi"/>
          <w:spacing w:val="-3"/>
          <w:sz w:val="24"/>
          <w:szCs w:val="24"/>
          <w:lang w:val="en-GB"/>
        </w:rPr>
        <w:t xml:space="preserve">1 January to </w:t>
      </w:r>
      <w:r w:rsidRPr="0041359D">
        <w:rPr>
          <w:sz w:val="24"/>
          <w:szCs w:val="24"/>
          <w:lang w:val="en-GB"/>
        </w:rPr>
        <w:t>31 March 2020</w:t>
      </w:r>
      <w:r w:rsidRPr="0041359D">
        <w:rPr>
          <w:sz w:val="24"/>
          <w:szCs w:val="24"/>
          <w:lang w:val="en"/>
        </w:rPr>
        <w:t xml:space="preserve"> there were no payments from the State Budget of the Republic of Croatia to the found</w:t>
      </w:r>
      <w:r w:rsidR="00A87386" w:rsidRPr="0041359D">
        <w:rPr>
          <w:sz w:val="24"/>
          <w:szCs w:val="24"/>
          <w:lang w:val="en"/>
        </w:rPr>
        <w:t>er’s</w:t>
      </w:r>
      <w:r w:rsidRPr="0041359D">
        <w:rPr>
          <w:sz w:val="24"/>
          <w:szCs w:val="24"/>
          <w:lang w:val="en"/>
        </w:rPr>
        <w:t xml:space="preserve"> capital of HBOR. </w:t>
      </w:r>
      <w:r w:rsidRPr="0041359D">
        <w:rPr>
          <w:rFonts w:cstheme="minorHAnsi"/>
          <w:spacing w:val="-3"/>
          <w:sz w:val="24"/>
          <w:szCs w:val="24"/>
          <w:lang w:val="en-GB"/>
        </w:rPr>
        <w:t>The planned contribution in 2020 is HRK 50.0 million.</w:t>
      </w:r>
    </w:p>
    <w:p w14:paraId="6801E9B1" w14:textId="77777777" w:rsidR="00610C8C" w:rsidRPr="00041197" w:rsidRDefault="00610C8C" w:rsidP="00610C8C">
      <w:pPr>
        <w:tabs>
          <w:tab w:val="left" w:pos="-720"/>
        </w:tabs>
        <w:suppressAutoHyphens/>
        <w:spacing w:after="0" w:line="240" w:lineRule="auto"/>
        <w:ind w:right="-142" w:hanging="142"/>
        <w:jc w:val="both"/>
        <w:rPr>
          <w:rFonts w:cstheme="minorHAnsi"/>
          <w:sz w:val="24"/>
          <w:szCs w:val="24"/>
          <w:lang w:val="en-GB" w:eastAsia="hr-HR"/>
        </w:rPr>
      </w:pPr>
      <w:r w:rsidRPr="00041197">
        <w:rPr>
          <w:rFonts w:cstheme="minorHAnsi"/>
          <w:sz w:val="24"/>
          <w:szCs w:val="24"/>
          <w:lang w:val="en-GB" w:eastAsia="hr-HR"/>
        </w:rPr>
        <w:tab/>
      </w:r>
    </w:p>
    <w:p w14:paraId="4010F128" w14:textId="0E689D5A" w:rsidR="0076739E" w:rsidRPr="00041197" w:rsidRDefault="00610C8C" w:rsidP="00610C8C">
      <w:pPr>
        <w:tabs>
          <w:tab w:val="left" w:pos="-720"/>
        </w:tabs>
        <w:spacing w:after="0" w:line="240" w:lineRule="auto"/>
        <w:jc w:val="both"/>
        <w:rPr>
          <w:rFonts w:cstheme="minorHAnsi"/>
          <w:sz w:val="24"/>
          <w:szCs w:val="24"/>
          <w:lang w:val="en-GB" w:eastAsia="hr-HR"/>
        </w:rPr>
      </w:pPr>
      <w:r>
        <w:rPr>
          <w:rFonts w:cstheme="minorHAnsi"/>
          <w:spacing w:val="-3"/>
          <w:sz w:val="24"/>
          <w:szCs w:val="24"/>
          <w:lang w:val="en-GB"/>
        </w:rPr>
        <w:t>T</w:t>
      </w:r>
      <w:r w:rsidR="00F979E3" w:rsidRPr="0005777B">
        <w:rPr>
          <w:rFonts w:cstheme="minorHAnsi"/>
          <w:spacing w:val="-3"/>
          <w:sz w:val="24"/>
          <w:szCs w:val="24"/>
          <w:lang w:val="en-GB"/>
        </w:rPr>
        <w:t xml:space="preserve">he </w:t>
      </w:r>
      <w:r w:rsidR="00F979E3" w:rsidRPr="00F979E3">
        <w:rPr>
          <w:rFonts w:eastAsia="Calibri" w:cstheme="minorHAnsi"/>
          <w:spacing w:val="-3"/>
          <w:sz w:val="24"/>
          <w:szCs w:val="24"/>
          <w:lang w:val="en-GB"/>
        </w:rPr>
        <w:t>total amount of capital contributed from the budget of the Republic of Croatia amount</w:t>
      </w:r>
      <w:r w:rsidR="00F979E3">
        <w:rPr>
          <w:rFonts w:eastAsia="Calibri" w:cstheme="minorHAnsi"/>
          <w:spacing w:val="-3"/>
          <w:sz w:val="24"/>
          <w:szCs w:val="24"/>
          <w:lang w:val="en-GB"/>
        </w:rPr>
        <w:t>ed</w:t>
      </w:r>
      <w:r w:rsidR="00F979E3" w:rsidRPr="00F979E3">
        <w:rPr>
          <w:rFonts w:eastAsia="Calibri" w:cstheme="minorHAnsi"/>
          <w:spacing w:val="-3"/>
          <w:sz w:val="24"/>
          <w:szCs w:val="24"/>
          <w:lang w:val="en-GB"/>
        </w:rPr>
        <w:t xml:space="preserve"> to HRK 6,6</w:t>
      </w:r>
      <w:r>
        <w:rPr>
          <w:rFonts w:eastAsia="Calibri" w:cstheme="minorHAnsi"/>
          <w:spacing w:val="-3"/>
          <w:sz w:val="24"/>
          <w:szCs w:val="24"/>
          <w:lang w:val="en-GB"/>
        </w:rPr>
        <w:t>8</w:t>
      </w:r>
      <w:r w:rsidR="00F979E3" w:rsidRPr="00F979E3">
        <w:rPr>
          <w:rFonts w:eastAsia="Calibri" w:cstheme="minorHAnsi"/>
          <w:spacing w:val="-3"/>
          <w:sz w:val="24"/>
          <w:szCs w:val="24"/>
          <w:lang w:val="en-GB"/>
        </w:rPr>
        <w:t>3.00 million</w:t>
      </w:r>
      <w:r w:rsidR="00F979E3">
        <w:rPr>
          <w:rFonts w:eastAsia="Calibri" w:cstheme="minorHAnsi"/>
          <w:spacing w:val="-3"/>
          <w:sz w:val="24"/>
          <w:szCs w:val="24"/>
          <w:lang w:val="en-GB"/>
        </w:rPr>
        <w:t xml:space="preserve">, and the remaining amount </w:t>
      </w:r>
      <w:r w:rsidR="00F979E3" w:rsidRPr="00F979E3">
        <w:rPr>
          <w:rFonts w:eastAsia="Calibri" w:cstheme="minorHAnsi"/>
          <w:spacing w:val="-3"/>
          <w:sz w:val="24"/>
          <w:szCs w:val="24"/>
          <w:lang w:val="en-GB"/>
        </w:rPr>
        <w:t>to be contributed to the founder’s capital up to the total amount of HRK 7,000.00 million set by the HBOR Act is HRK 3</w:t>
      </w:r>
      <w:r>
        <w:rPr>
          <w:rFonts w:eastAsia="Calibri" w:cstheme="minorHAnsi"/>
          <w:spacing w:val="-3"/>
          <w:sz w:val="24"/>
          <w:szCs w:val="24"/>
          <w:lang w:val="en-GB"/>
        </w:rPr>
        <w:t>1</w:t>
      </w:r>
      <w:r w:rsidR="00F979E3" w:rsidRPr="00F979E3">
        <w:rPr>
          <w:rFonts w:eastAsia="Calibri" w:cstheme="minorHAnsi"/>
          <w:spacing w:val="-3"/>
          <w:sz w:val="24"/>
          <w:szCs w:val="24"/>
          <w:lang w:val="en-GB"/>
        </w:rPr>
        <w:t>7.00 million</w:t>
      </w:r>
      <w:r w:rsidR="00F979E3">
        <w:rPr>
          <w:rFonts w:eastAsia="Calibri" w:cstheme="minorHAnsi"/>
          <w:spacing w:val="-3"/>
          <w:sz w:val="24"/>
          <w:szCs w:val="24"/>
          <w:lang w:val="en-GB"/>
        </w:rPr>
        <w:t>.</w:t>
      </w:r>
      <w:r w:rsidR="00DD5DD5" w:rsidRPr="00F979E3">
        <w:rPr>
          <w:rFonts w:cstheme="minorHAnsi"/>
          <w:spacing w:val="-3"/>
          <w:sz w:val="24"/>
          <w:szCs w:val="24"/>
          <w:lang w:val="en-GB"/>
        </w:rPr>
        <w:t xml:space="preserve"> </w:t>
      </w:r>
    </w:p>
    <w:p w14:paraId="650058A1" w14:textId="77777777" w:rsidR="00D834DB" w:rsidRPr="00041197" w:rsidRDefault="0076739E" w:rsidP="001C6D63">
      <w:pPr>
        <w:tabs>
          <w:tab w:val="left" w:pos="-720"/>
        </w:tabs>
        <w:suppressAutoHyphens/>
        <w:spacing w:after="0" w:line="240" w:lineRule="auto"/>
        <w:ind w:right="-142" w:hanging="142"/>
        <w:jc w:val="both"/>
        <w:rPr>
          <w:rFonts w:cstheme="minorHAnsi"/>
          <w:sz w:val="24"/>
          <w:szCs w:val="24"/>
          <w:lang w:val="en-GB" w:eastAsia="hr-HR"/>
        </w:rPr>
        <w:sectPr w:rsidR="00D834DB" w:rsidRPr="00041197" w:rsidSect="00F11426">
          <w:headerReference w:type="default" r:id="rId43"/>
          <w:footerReference w:type="default" r:id="rId44"/>
          <w:pgSz w:w="11906" w:h="16838"/>
          <w:pgMar w:top="1417" w:right="1416" w:bottom="1417" w:left="1417" w:header="708" w:footer="708" w:gutter="0"/>
          <w:cols w:space="708"/>
          <w:docGrid w:linePitch="360"/>
        </w:sectPr>
      </w:pPr>
      <w:r w:rsidRPr="00041197">
        <w:rPr>
          <w:rFonts w:cstheme="minorHAnsi"/>
          <w:sz w:val="24"/>
          <w:szCs w:val="24"/>
          <w:lang w:val="en-GB" w:eastAsia="hr-HR"/>
        </w:rPr>
        <w:t xml:space="preserve">   </w:t>
      </w:r>
    </w:p>
    <w:p w14:paraId="14DAF976" w14:textId="30E2F732" w:rsidR="001607DE" w:rsidRDefault="001607DE" w:rsidP="001607DE">
      <w:pPr>
        <w:tabs>
          <w:tab w:val="left" w:pos="-720"/>
        </w:tabs>
        <w:suppressAutoHyphens/>
        <w:spacing w:after="0" w:line="240" w:lineRule="auto"/>
        <w:ind w:left="-426" w:right="-426"/>
        <w:jc w:val="both"/>
        <w:rPr>
          <w:rFonts w:cstheme="minorHAnsi"/>
          <w:noProof/>
          <w:sz w:val="24"/>
          <w:szCs w:val="24"/>
          <w:lang w:eastAsia="hr-HR"/>
        </w:rPr>
      </w:pPr>
      <w:r w:rsidRPr="001607DE">
        <w:rPr>
          <w:rFonts w:cstheme="minorHAnsi"/>
          <w:noProof/>
          <w:sz w:val="24"/>
          <w:szCs w:val="24"/>
          <w:lang w:eastAsia="hr-HR"/>
        </w:rPr>
        <w:lastRenderedPageBreak/>
        <w:t xml:space="preserve">        </w:t>
      </w:r>
      <w:r w:rsidR="008560DB">
        <w:rPr>
          <w:rFonts w:cstheme="minorHAnsi"/>
          <w:noProof/>
          <w:sz w:val="24"/>
          <w:szCs w:val="24"/>
          <w:lang w:eastAsia="hr-HR"/>
        </w:rPr>
        <w:drawing>
          <wp:inline distT="0" distB="0" distL="0" distR="0" wp14:anchorId="1E7F4EAA" wp14:editId="18CC9156">
            <wp:extent cx="2823332" cy="3708000"/>
            <wp:effectExtent l="0" t="0" r="0" b="6985"/>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2823332" cy="3708000"/>
                    </a:xfrm>
                    <a:prstGeom prst="rect">
                      <a:avLst/>
                    </a:prstGeom>
                    <a:noFill/>
                  </pic:spPr>
                </pic:pic>
              </a:graphicData>
            </a:graphic>
          </wp:inline>
        </w:drawing>
      </w:r>
      <w:r w:rsidRPr="001607DE">
        <w:rPr>
          <w:rFonts w:cstheme="minorHAnsi"/>
          <w:noProof/>
          <w:sz w:val="24"/>
          <w:szCs w:val="24"/>
          <w:lang w:eastAsia="hr-HR"/>
        </w:rPr>
        <w:t xml:space="preserve">    </w:t>
      </w:r>
      <w:r w:rsidR="008560DB">
        <w:rPr>
          <w:rFonts w:cstheme="minorHAnsi"/>
          <w:noProof/>
          <w:sz w:val="24"/>
          <w:szCs w:val="24"/>
          <w:lang w:eastAsia="hr-HR"/>
        </w:rPr>
        <w:t xml:space="preserve">  </w:t>
      </w:r>
      <w:r w:rsidRPr="001607DE">
        <w:rPr>
          <w:rFonts w:cstheme="minorHAnsi"/>
          <w:noProof/>
          <w:sz w:val="24"/>
          <w:szCs w:val="24"/>
          <w:lang w:eastAsia="hr-HR"/>
        </w:rPr>
        <w:t xml:space="preserve">   </w:t>
      </w:r>
      <w:r w:rsidR="008560DB">
        <w:rPr>
          <w:rFonts w:cstheme="minorHAnsi"/>
          <w:noProof/>
          <w:sz w:val="24"/>
          <w:szCs w:val="24"/>
          <w:lang w:eastAsia="hr-HR"/>
        </w:rPr>
        <w:drawing>
          <wp:inline distT="0" distB="0" distL="0" distR="0" wp14:anchorId="0D953A15" wp14:editId="21055614">
            <wp:extent cx="2823332" cy="3708000"/>
            <wp:effectExtent l="0" t="0" r="0" b="6985"/>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2823332" cy="3708000"/>
                    </a:xfrm>
                    <a:prstGeom prst="rect">
                      <a:avLst/>
                    </a:prstGeom>
                    <a:noFill/>
                  </pic:spPr>
                </pic:pic>
              </a:graphicData>
            </a:graphic>
          </wp:inline>
        </w:drawing>
      </w:r>
    </w:p>
    <w:p w14:paraId="0A25D3F1" w14:textId="77777777" w:rsidR="008560DB" w:rsidRPr="001607DE" w:rsidRDefault="008560DB" w:rsidP="001607DE">
      <w:pPr>
        <w:tabs>
          <w:tab w:val="left" w:pos="-720"/>
        </w:tabs>
        <w:suppressAutoHyphens/>
        <w:spacing w:after="0" w:line="240" w:lineRule="auto"/>
        <w:ind w:left="-426" w:right="-426"/>
        <w:jc w:val="both"/>
        <w:rPr>
          <w:rFonts w:cstheme="minorHAnsi"/>
          <w:noProof/>
          <w:sz w:val="24"/>
          <w:szCs w:val="24"/>
          <w:lang w:eastAsia="hr-HR"/>
        </w:rPr>
      </w:pPr>
    </w:p>
    <w:p w14:paraId="47C88445" w14:textId="7626EE89" w:rsidR="001607DE" w:rsidRPr="001607DE" w:rsidRDefault="001607DE" w:rsidP="001607DE">
      <w:pPr>
        <w:tabs>
          <w:tab w:val="left" w:pos="-720"/>
        </w:tabs>
        <w:suppressAutoHyphens/>
        <w:spacing w:after="0" w:line="240" w:lineRule="auto"/>
        <w:ind w:right="-284"/>
        <w:jc w:val="both"/>
        <w:rPr>
          <w:rFonts w:eastAsia="Times New Roman" w:cs="Calibri"/>
          <w:b/>
          <w:noProof/>
          <w:spacing w:val="-3"/>
          <w:sz w:val="24"/>
          <w:szCs w:val="24"/>
          <w:lang w:eastAsia="hr-HR"/>
        </w:rPr>
      </w:pPr>
      <w:r w:rsidRPr="001607DE">
        <w:rPr>
          <w:rFonts w:cstheme="minorHAnsi"/>
          <w:sz w:val="24"/>
          <w:szCs w:val="24"/>
        </w:rPr>
        <w:t xml:space="preserve"> </w:t>
      </w:r>
      <w:r w:rsidR="008560DB">
        <w:rPr>
          <w:rFonts w:cstheme="minorHAnsi"/>
          <w:noProof/>
          <w:sz w:val="24"/>
          <w:szCs w:val="24"/>
        </w:rPr>
        <w:drawing>
          <wp:inline distT="0" distB="0" distL="0" distR="0" wp14:anchorId="399A9A72" wp14:editId="4CA3F2EF">
            <wp:extent cx="2801783" cy="3708000"/>
            <wp:effectExtent l="0" t="0" r="0" b="6985"/>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2801783" cy="3708000"/>
                    </a:xfrm>
                    <a:prstGeom prst="rect">
                      <a:avLst/>
                    </a:prstGeom>
                    <a:noFill/>
                  </pic:spPr>
                </pic:pic>
              </a:graphicData>
            </a:graphic>
          </wp:inline>
        </w:drawing>
      </w:r>
      <w:r w:rsidRPr="001607DE">
        <w:rPr>
          <w:rFonts w:cstheme="minorHAnsi"/>
          <w:sz w:val="24"/>
          <w:szCs w:val="24"/>
        </w:rPr>
        <w:t xml:space="preserve">         </w:t>
      </w:r>
      <w:r w:rsidR="008560DB">
        <w:rPr>
          <w:rFonts w:cstheme="minorHAnsi"/>
          <w:noProof/>
          <w:sz w:val="24"/>
          <w:szCs w:val="24"/>
        </w:rPr>
        <w:drawing>
          <wp:inline distT="0" distB="0" distL="0" distR="0" wp14:anchorId="4FD0FE80" wp14:editId="0E9AC5F5">
            <wp:extent cx="2797780" cy="3708000"/>
            <wp:effectExtent l="0" t="0" r="3175" b="6985"/>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2797780" cy="3708000"/>
                    </a:xfrm>
                    <a:prstGeom prst="rect">
                      <a:avLst/>
                    </a:prstGeom>
                    <a:noFill/>
                  </pic:spPr>
                </pic:pic>
              </a:graphicData>
            </a:graphic>
          </wp:inline>
        </w:drawing>
      </w:r>
    </w:p>
    <w:p w14:paraId="7287316A" w14:textId="77777777" w:rsidR="001607DE" w:rsidRPr="001607DE" w:rsidRDefault="001607DE" w:rsidP="001607DE">
      <w:pPr>
        <w:tabs>
          <w:tab w:val="left" w:pos="-720"/>
        </w:tabs>
        <w:suppressAutoHyphens/>
        <w:spacing w:after="0" w:line="240" w:lineRule="auto"/>
        <w:ind w:left="-284" w:right="-567"/>
        <w:jc w:val="both"/>
        <w:rPr>
          <w:rFonts w:cstheme="minorHAnsi"/>
          <w:sz w:val="24"/>
          <w:szCs w:val="24"/>
        </w:rPr>
      </w:pPr>
      <w:r w:rsidRPr="001607DE">
        <w:rPr>
          <w:rFonts w:cstheme="minorHAnsi"/>
          <w:sz w:val="24"/>
          <w:szCs w:val="24"/>
        </w:rPr>
        <w:t xml:space="preserve"> </w:t>
      </w:r>
    </w:p>
    <w:p w14:paraId="7DD06422" w14:textId="5A1035C2" w:rsidR="002D5848" w:rsidRPr="00041197" w:rsidRDefault="002D5848" w:rsidP="000E4ABB">
      <w:pPr>
        <w:tabs>
          <w:tab w:val="left" w:pos="-720"/>
        </w:tabs>
        <w:suppressAutoHyphens/>
        <w:spacing w:after="0" w:line="240" w:lineRule="auto"/>
        <w:ind w:left="-284" w:right="-567"/>
        <w:jc w:val="both"/>
        <w:rPr>
          <w:rFonts w:cstheme="minorHAnsi"/>
          <w:sz w:val="24"/>
          <w:szCs w:val="24"/>
          <w:lang w:val="en-GB"/>
        </w:rPr>
      </w:pPr>
    </w:p>
    <w:p w14:paraId="36BAB508" w14:textId="77777777" w:rsidR="001607DE" w:rsidRPr="00041197" w:rsidRDefault="001607DE" w:rsidP="00F94CEF">
      <w:pPr>
        <w:tabs>
          <w:tab w:val="left" w:pos="-720"/>
          <w:tab w:val="left" w:pos="426"/>
        </w:tabs>
        <w:suppressAutoHyphens/>
        <w:spacing w:after="0" w:line="240" w:lineRule="auto"/>
        <w:jc w:val="both"/>
        <w:rPr>
          <w:rFonts w:eastAsia="Times New Roman" w:cs="Calibri"/>
          <w:spacing w:val="-3"/>
          <w:sz w:val="24"/>
          <w:szCs w:val="24"/>
          <w:lang w:val="en-GB" w:eastAsia="hr-HR"/>
        </w:rPr>
      </w:pPr>
    </w:p>
    <w:p w14:paraId="72019D8D" w14:textId="3AEB4931" w:rsidR="009E53C8" w:rsidRPr="00041197" w:rsidRDefault="002D5848" w:rsidP="00B305E7">
      <w:pPr>
        <w:tabs>
          <w:tab w:val="left" w:pos="-720"/>
          <w:tab w:val="left" w:pos="426"/>
        </w:tabs>
        <w:suppressAutoHyphens/>
        <w:spacing w:after="0" w:line="240" w:lineRule="auto"/>
        <w:jc w:val="both"/>
        <w:rPr>
          <w:rFonts w:eastAsia="Times New Roman" w:cs="Calibri"/>
          <w:color w:val="7F7F7F" w:themeColor="text1" w:themeTint="80"/>
          <w:spacing w:val="-3"/>
          <w:sz w:val="20"/>
          <w:szCs w:val="20"/>
          <w:lang w:val="en-GB" w:eastAsia="hr-HR"/>
        </w:rPr>
      </w:pPr>
      <w:r w:rsidRPr="00041197">
        <w:rPr>
          <w:rFonts w:eastAsia="Times New Roman" w:cs="Calibri"/>
          <w:color w:val="7F7F7F" w:themeColor="text1" w:themeTint="80"/>
          <w:spacing w:val="-3"/>
          <w:sz w:val="20"/>
          <w:szCs w:val="20"/>
          <w:lang w:val="en-GB" w:eastAsia="hr-HR"/>
        </w:rPr>
        <w:t>*</w:t>
      </w:r>
      <w:r w:rsidR="007446A8">
        <w:rPr>
          <w:rFonts w:eastAsia="Times New Roman" w:cs="Calibri"/>
          <w:color w:val="7F7F7F" w:themeColor="text1" w:themeTint="80"/>
          <w:spacing w:val="-3"/>
          <w:sz w:val="20"/>
          <w:szCs w:val="20"/>
          <w:lang w:val="en-GB" w:eastAsia="hr-HR"/>
        </w:rPr>
        <w:t>Investments in subsidiaries</w:t>
      </w:r>
      <w:r w:rsidRPr="00041197">
        <w:rPr>
          <w:rFonts w:eastAsia="Times New Roman" w:cs="Calibri"/>
          <w:color w:val="7F7F7F" w:themeColor="text1" w:themeTint="80"/>
          <w:spacing w:val="-3"/>
          <w:sz w:val="20"/>
          <w:szCs w:val="20"/>
          <w:lang w:val="en-GB" w:eastAsia="hr-HR"/>
        </w:rPr>
        <w:t xml:space="preserve">, </w:t>
      </w:r>
      <w:r w:rsidR="00F979E3" w:rsidRPr="00F979E3">
        <w:rPr>
          <w:rFonts w:eastAsia="Times New Roman" w:cs="Calibri"/>
          <w:color w:val="7F7F7F" w:themeColor="text1" w:themeTint="80"/>
          <w:spacing w:val="-3"/>
          <w:sz w:val="20"/>
          <w:szCs w:val="20"/>
          <w:lang w:val="en-GB" w:eastAsia="hr-HR"/>
        </w:rPr>
        <w:t xml:space="preserve">Property, plant and equipment and intangible assets, </w:t>
      </w:r>
      <w:r w:rsidR="001607DE" w:rsidRPr="001607DE">
        <w:rPr>
          <w:rFonts w:eastAsia="Times New Roman" w:cs="Calibri"/>
          <w:color w:val="7F7F7F" w:themeColor="text1" w:themeTint="80"/>
          <w:spacing w:val="-3"/>
          <w:sz w:val="20"/>
          <w:szCs w:val="20"/>
          <w:lang w:val="en-GB" w:eastAsia="hr-HR"/>
        </w:rPr>
        <w:t>Foreclosed assets</w:t>
      </w:r>
      <w:r w:rsidR="00F979E3" w:rsidRPr="00F979E3">
        <w:rPr>
          <w:rFonts w:eastAsia="Times New Roman" w:cs="Calibri"/>
          <w:color w:val="7F7F7F" w:themeColor="text1" w:themeTint="80"/>
          <w:spacing w:val="-3"/>
          <w:sz w:val="20"/>
          <w:szCs w:val="20"/>
          <w:lang w:val="en-GB" w:eastAsia="hr-HR"/>
        </w:rPr>
        <w:t xml:space="preserve"> </w:t>
      </w:r>
      <w:r w:rsidR="00F979E3">
        <w:rPr>
          <w:rFonts w:eastAsia="Times New Roman" w:cs="Calibri"/>
          <w:color w:val="7F7F7F" w:themeColor="text1" w:themeTint="80"/>
          <w:spacing w:val="-3"/>
          <w:sz w:val="20"/>
          <w:szCs w:val="20"/>
          <w:lang w:val="en-GB" w:eastAsia="hr-HR"/>
        </w:rPr>
        <w:t>and</w:t>
      </w:r>
      <w:r w:rsidR="00F979E3" w:rsidRPr="00F979E3">
        <w:rPr>
          <w:rFonts w:eastAsia="Times New Roman" w:cs="Calibri"/>
          <w:color w:val="7F7F7F" w:themeColor="text1" w:themeTint="80"/>
          <w:spacing w:val="-3"/>
          <w:sz w:val="20"/>
          <w:szCs w:val="20"/>
          <w:lang w:val="en-GB" w:eastAsia="hr-HR"/>
        </w:rPr>
        <w:t xml:space="preserve"> Other assets</w:t>
      </w:r>
      <w:r w:rsidRPr="00041197">
        <w:rPr>
          <w:rFonts w:eastAsia="Times New Roman" w:cs="Calibri"/>
          <w:color w:val="7F7F7F" w:themeColor="text1" w:themeTint="80"/>
          <w:spacing w:val="-3"/>
          <w:sz w:val="20"/>
          <w:szCs w:val="20"/>
          <w:lang w:val="en-GB" w:eastAsia="hr-HR"/>
        </w:rPr>
        <w:t>.</w:t>
      </w:r>
    </w:p>
    <w:p w14:paraId="43062794" w14:textId="77777777" w:rsidR="00700998" w:rsidRPr="002A10E9" w:rsidRDefault="00700998" w:rsidP="00700998">
      <w:pPr>
        <w:tabs>
          <w:tab w:val="left" w:pos="-720"/>
          <w:tab w:val="left" w:pos="426"/>
        </w:tabs>
        <w:suppressAutoHyphens/>
        <w:spacing w:after="0" w:line="240" w:lineRule="auto"/>
        <w:jc w:val="both"/>
        <w:rPr>
          <w:rFonts w:eastAsia="Times New Roman" w:cs="Calibri"/>
          <w:color w:val="7F7F7F" w:themeColor="text1" w:themeTint="80"/>
          <w:spacing w:val="-3"/>
          <w:sz w:val="20"/>
          <w:szCs w:val="20"/>
          <w:lang w:val="en-GB" w:eastAsia="hr-HR"/>
        </w:rPr>
      </w:pPr>
      <w:r w:rsidRPr="002A10E9">
        <w:rPr>
          <w:rFonts w:eastAsia="Times New Roman" w:cs="Calibri"/>
          <w:color w:val="7F7F7F" w:themeColor="text1" w:themeTint="80"/>
          <w:spacing w:val="-3"/>
          <w:sz w:val="20"/>
          <w:szCs w:val="20"/>
          <w:lang w:val="en-GB" w:eastAsia="hr-HR"/>
        </w:rPr>
        <w:t>**</w:t>
      </w:r>
      <w:r w:rsidR="007446A8" w:rsidRPr="007446A8">
        <w:rPr>
          <w:rFonts w:eastAsia="Times New Roman" w:cs="Calibri"/>
          <w:color w:val="7F7F7F" w:themeColor="text1" w:themeTint="80"/>
          <w:spacing w:val="-3"/>
          <w:sz w:val="18"/>
          <w:szCs w:val="18"/>
          <w:lang w:val="en-GB" w:eastAsia="hr-HR"/>
        </w:rPr>
        <w:t xml:space="preserve"> </w:t>
      </w:r>
      <w:r w:rsidR="007446A8" w:rsidRPr="007446A8">
        <w:rPr>
          <w:rFonts w:eastAsia="Times New Roman" w:cs="Calibri"/>
          <w:color w:val="7F7F7F" w:themeColor="text1" w:themeTint="80"/>
          <w:spacing w:val="-3"/>
          <w:sz w:val="20"/>
          <w:szCs w:val="20"/>
          <w:lang w:val="en-GB" w:eastAsia="hr-HR"/>
        </w:rPr>
        <w:t>Provisioning includes provisioning for guarantees</w:t>
      </w:r>
      <w:r w:rsidR="007446A8" w:rsidRPr="002A10E9">
        <w:rPr>
          <w:rFonts w:eastAsia="Times New Roman" w:cs="Calibri"/>
          <w:color w:val="7F7F7F" w:themeColor="text1" w:themeTint="80"/>
          <w:spacing w:val="-3"/>
          <w:sz w:val="20"/>
          <w:szCs w:val="20"/>
          <w:lang w:val="en-GB" w:eastAsia="hr-HR"/>
        </w:rPr>
        <w:t xml:space="preserve">, </w:t>
      </w:r>
      <w:r w:rsidR="007446A8" w:rsidRPr="007446A8">
        <w:rPr>
          <w:rFonts w:eastAsia="Times New Roman" w:cs="Calibri"/>
          <w:color w:val="7F7F7F" w:themeColor="text1" w:themeTint="80"/>
          <w:spacing w:val="-3"/>
          <w:sz w:val="20"/>
          <w:szCs w:val="20"/>
          <w:lang w:val="en-GB" w:eastAsia="hr-HR"/>
        </w:rPr>
        <w:t>commitments and other liabilities</w:t>
      </w:r>
      <w:r w:rsidRPr="00041197">
        <w:rPr>
          <w:rFonts w:eastAsia="Times New Roman" w:cs="Calibri"/>
          <w:color w:val="7F7F7F" w:themeColor="text1" w:themeTint="80"/>
          <w:spacing w:val="-3"/>
          <w:sz w:val="20"/>
          <w:szCs w:val="20"/>
          <w:lang w:val="en-GB" w:eastAsia="hr-HR"/>
        </w:rPr>
        <w:t>.</w:t>
      </w:r>
    </w:p>
    <w:p w14:paraId="6CE07D7B" w14:textId="77777777" w:rsidR="00041197" w:rsidRPr="00041197" w:rsidRDefault="00041197">
      <w:pPr>
        <w:tabs>
          <w:tab w:val="left" w:pos="-720"/>
          <w:tab w:val="left" w:pos="426"/>
        </w:tabs>
        <w:suppressAutoHyphens/>
        <w:spacing w:after="0" w:line="240" w:lineRule="auto"/>
        <w:jc w:val="both"/>
        <w:rPr>
          <w:rFonts w:eastAsia="Times New Roman" w:cs="Calibri"/>
          <w:b/>
          <w:i/>
          <w:spacing w:val="-3"/>
          <w:sz w:val="24"/>
          <w:szCs w:val="24"/>
          <w:lang w:val="en-GB" w:eastAsia="hr-HR"/>
        </w:rPr>
      </w:pPr>
      <w:bookmarkStart w:id="2" w:name="_GoBack"/>
      <w:bookmarkEnd w:id="2"/>
    </w:p>
    <w:sectPr w:rsidR="00041197" w:rsidRPr="00041197" w:rsidSect="007B5D75">
      <w:footerReference w:type="default" r:id="rId49"/>
      <w:pgSz w:w="11906" w:h="16838"/>
      <w:pgMar w:top="1417" w:right="1417" w:bottom="1417"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220F15" w14:textId="77777777" w:rsidR="002C547A" w:rsidRDefault="002C547A" w:rsidP="00AE35D1">
      <w:pPr>
        <w:spacing w:after="0" w:line="240" w:lineRule="auto"/>
      </w:pPr>
      <w:r>
        <w:separator/>
      </w:r>
    </w:p>
  </w:endnote>
  <w:endnote w:type="continuationSeparator" w:id="0">
    <w:p w14:paraId="5CD94DF8" w14:textId="77777777" w:rsidR="002C547A" w:rsidRDefault="002C547A" w:rsidP="00AE35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Arial">
    <w:panose1 w:val="020B0604020202020204"/>
    <w:charset w:val="EE"/>
    <w:family w:val="swiss"/>
    <w:pitch w:val="variable"/>
    <w:sig w:usb0="E0002AFF" w:usb1="C0007843" w:usb2="00000009" w:usb3="00000000" w:csb0="000001FF" w:csb1="00000000"/>
  </w:font>
  <w:font w:name="Bodoni MT Black">
    <w:panose1 w:val="02070A03080606020203"/>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B9B22D" w14:textId="77777777" w:rsidR="002C547A" w:rsidRPr="00290697" w:rsidRDefault="002C547A">
    <w:pPr>
      <w:pStyle w:val="Footer"/>
      <w:jc w:val="center"/>
      <w:rPr>
        <w:sz w:val="18"/>
        <w:szCs w:val="18"/>
      </w:rPr>
    </w:pPr>
  </w:p>
  <w:p w14:paraId="18F52D96" w14:textId="77777777" w:rsidR="002C547A" w:rsidRPr="000E7285" w:rsidRDefault="002C547A" w:rsidP="00C23C95">
    <w:pPr>
      <w:pBdr>
        <w:top w:val="single" w:sz="4" w:space="1" w:color="auto"/>
      </w:pBdr>
      <w:tabs>
        <w:tab w:val="center" w:pos="4153"/>
        <w:tab w:val="right" w:pos="9072"/>
      </w:tabs>
      <w:spacing w:after="0" w:line="240" w:lineRule="auto"/>
      <w:ind w:right="284"/>
      <w:rPr>
        <w:rFonts w:eastAsia="Times New Roman" w:cs="Times New Roman"/>
        <w:sz w:val="19"/>
        <w:szCs w:val="20"/>
      </w:rPr>
    </w:pPr>
    <w:r>
      <w:rPr>
        <w:rFonts w:eastAsia="Times New Roman" w:cs="Arial"/>
        <w:sz w:val="19"/>
        <w:szCs w:val="19"/>
      </w:rPr>
      <w:t>4</w:t>
    </w:r>
    <w:r w:rsidRPr="000E7285">
      <w:rPr>
        <w:rFonts w:eastAsia="Times New Roman" w:cs="Arial"/>
        <w:sz w:val="19"/>
        <w:szCs w:val="19"/>
      </w:rPr>
      <w:t xml:space="preserve">   Hrvatska banka za obnovu i razvitak</w:t>
    </w:r>
  </w:p>
  <w:p w14:paraId="10E280AD" w14:textId="77777777" w:rsidR="002C547A" w:rsidRDefault="002C547A">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A59356" w14:textId="015123F4" w:rsidR="002C547A" w:rsidRPr="000E7285" w:rsidRDefault="002C547A" w:rsidP="00C23C95">
    <w:pPr>
      <w:pBdr>
        <w:top w:val="single" w:sz="4" w:space="0" w:color="auto"/>
      </w:pBdr>
      <w:tabs>
        <w:tab w:val="center" w:pos="4153"/>
        <w:tab w:val="right" w:pos="9072"/>
      </w:tabs>
      <w:spacing w:after="0" w:line="240" w:lineRule="auto"/>
      <w:ind w:right="283"/>
      <w:rPr>
        <w:rFonts w:eastAsia="Times New Roman" w:cs="Times New Roman"/>
        <w:sz w:val="19"/>
        <w:szCs w:val="20"/>
      </w:rPr>
    </w:pPr>
    <w:r>
      <w:rPr>
        <w:rFonts w:eastAsia="Times New Roman" w:cs="Arial"/>
        <w:sz w:val="19"/>
        <w:szCs w:val="19"/>
      </w:rPr>
      <w:t>10</w:t>
    </w:r>
    <w:r w:rsidRPr="000E7285">
      <w:rPr>
        <w:rFonts w:eastAsia="Times New Roman" w:cs="Arial"/>
        <w:sz w:val="19"/>
        <w:szCs w:val="19"/>
      </w:rPr>
      <w:t xml:space="preserve">  </w:t>
    </w:r>
    <w:r w:rsidRPr="00442490">
      <w:rPr>
        <w:rFonts w:eastAsia="Times New Roman" w:cs="Arial"/>
        <w:sz w:val="19"/>
        <w:szCs w:val="19"/>
      </w:rPr>
      <w:t xml:space="preserve">Croatian Bank for </w:t>
    </w:r>
    <w:proofErr w:type="spellStart"/>
    <w:r w:rsidRPr="00442490">
      <w:rPr>
        <w:rFonts w:eastAsia="Times New Roman" w:cs="Arial"/>
        <w:sz w:val="19"/>
        <w:szCs w:val="19"/>
      </w:rPr>
      <w:t>Reconstruction</w:t>
    </w:r>
    <w:proofErr w:type="spellEnd"/>
    <w:r w:rsidRPr="00442490">
      <w:rPr>
        <w:rFonts w:eastAsia="Times New Roman" w:cs="Arial"/>
        <w:sz w:val="19"/>
        <w:szCs w:val="19"/>
      </w:rPr>
      <w:t xml:space="preserve"> </w:t>
    </w:r>
    <w:proofErr w:type="spellStart"/>
    <w:r w:rsidRPr="00442490">
      <w:rPr>
        <w:rFonts w:eastAsia="Times New Roman" w:cs="Arial"/>
        <w:sz w:val="19"/>
        <w:szCs w:val="19"/>
      </w:rPr>
      <w:t>and</w:t>
    </w:r>
    <w:proofErr w:type="spellEnd"/>
    <w:r w:rsidRPr="00442490">
      <w:rPr>
        <w:rFonts w:eastAsia="Times New Roman" w:cs="Arial"/>
        <w:sz w:val="19"/>
        <w:szCs w:val="19"/>
      </w:rPr>
      <w:t xml:space="preserve"> Development</w:t>
    </w:r>
  </w:p>
  <w:p w14:paraId="0F123C5C" w14:textId="77777777" w:rsidR="002C547A" w:rsidRDefault="002C547A">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8246CE" w14:textId="55A96174" w:rsidR="002C547A" w:rsidRPr="000E7285" w:rsidRDefault="002C547A" w:rsidP="00C23C95">
    <w:pPr>
      <w:pBdr>
        <w:top w:val="single" w:sz="4" w:space="0" w:color="auto"/>
      </w:pBdr>
      <w:tabs>
        <w:tab w:val="center" w:pos="4153"/>
        <w:tab w:val="right" w:pos="9072"/>
      </w:tabs>
      <w:spacing w:after="0" w:line="240" w:lineRule="auto"/>
      <w:ind w:right="283"/>
      <w:rPr>
        <w:rFonts w:eastAsia="Times New Roman" w:cs="Times New Roman"/>
        <w:sz w:val="19"/>
        <w:szCs w:val="20"/>
      </w:rPr>
    </w:pPr>
    <w:r>
      <w:rPr>
        <w:rFonts w:eastAsia="Times New Roman" w:cs="Arial"/>
        <w:sz w:val="19"/>
        <w:szCs w:val="19"/>
      </w:rPr>
      <w:t>11</w:t>
    </w:r>
    <w:r w:rsidRPr="000E7285">
      <w:rPr>
        <w:rFonts w:eastAsia="Times New Roman" w:cs="Arial"/>
        <w:sz w:val="19"/>
        <w:szCs w:val="19"/>
      </w:rPr>
      <w:t xml:space="preserve">  </w:t>
    </w:r>
    <w:r w:rsidRPr="00442490">
      <w:rPr>
        <w:rFonts w:eastAsia="Times New Roman" w:cs="Arial"/>
        <w:sz w:val="19"/>
        <w:szCs w:val="19"/>
      </w:rPr>
      <w:t xml:space="preserve">Croatian Bank for </w:t>
    </w:r>
    <w:proofErr w:type="spellStart"/>
    <w:r w:rsidRPr="00442490">
      <w:rPr>
        <w:rFonts w:eastAsia="Times New Roman" w:cs="Arial"/>
        <w:sz w:val="19"/>
        <w:szCs w:val="19"/>
      </w:rPr>
      <w:t>Reconstruction</w:t>
    </w:r>
    <w:proofErr w:type="spellEnd"/>
    <w:r w:rsidRPr="00442490">
      <w:rPr>
        <w:rFonts w:eastAsia="Times New Roman" w:cs="Arial"/>
        <w:sz w:val="19"/>
        <w:szCs w:val="19"/>
      </w:rPr>
      <w:t xml:space="preserve"> </w:t>
    </w:r>
    <w:proofErr w:type="spellStart"/>
    <w:r w:rsidRPr="00442490">
      <w:rPr>
        <w:rFonts w:eastAsia="Times New Roman" w:cs="Arial"/>
        <w:sz w:val="19"/>
        <w:szCs w:val="19"/>
      </w:rPr>
      <w:t>and</w:t>
    </w:r>
    <w:proofErr w:type="spellEnd"/>
    <w:r w:rsidRPr="00442490">
      <w:rPr>
        <w:rFonts w:eastAsia="Times New Roman" w:cs="Arial"/>
        <w:sz w:val="19"/>
        <w:szCs w:val="19"/>
      </w:rPr>
      <w:t xml:space="preserve"> Development</w:t>
    </w:r>
  </w:p>
  <w:p w14:paraId="21E34399" w14:textId="77777777" w:rsidR="002C547A" w:rsidRDefault="002C547A">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FD2D60" w14:textId="2206BA40" w:rsidR="002C547A" w:rsidRPr="000E7285" w:rsidRDefault="002C547A" w:rsidP="00C23C95">
    <w:pPr>
      <w:pBdr>
        <w:top w:val="single" w:sz="4" w:space="0" w:color="auto"/>
      </w:pBdr>
      <w:tabs>
        <w:tab w:val="center" w:pos="4153"/>
        <w:tab w:val="right" w:pos="9072"/>
      </w:tabs>
      <w:spacing w:after="0" w:line="240" w:lineRule="auto"/>
      <w:ind w:right="283"/>
      <w:rPr>
        <w:rFonts w:eastAsia="Times New Roman" w:cs="Times New Roman"/>
        <w:sz w:val="19"/>
        <w:szCs w:val="20"/>
      </w:rPr>
    </w:pPr>
    <w:r>
      <w:rPr>
        <w:rFonts w:eastAsia="Times New Roman" w:cs="Arial"/>
        <w:sz w:val="19"/>
        <w:szCs w:val="19"/>
      </w:rPr>
      <w:t>12</w:t>
    </w:r>
    <w:r w:rsidRPr="000E7285">
      <w:rPr>
        <w:rFonts w:eastAsia="Times New Roman" w:cs="Arial"/>
        <w:sz w:val="19"/>
        <w:szCs w:val="19"/>
      </w:rPr>
      <w:t xml:space="preserve">   </w:t>
    </w:r>
    <w:r w:rsidRPr="00442490">
      <w:rPr>
        <w:rFonts w:eastAsia="Times New Roman" w:cs="Arial"/>
        <w:sz w:val="19"/>
        <w:szCs w:val="19"/>
      </w:rPr>
      <w:t xml:space="preserve">Croatian Bank for </w:t>
    </w:r>
    <w:proofErr w:type="spellStart"/>
    <w:r w:rsidRPr="00442490">
      <w:rPr>
        <w:rFonts w:eastAsia="Times New Roman" w:cs="Arial"/>
        <w:sz w:val="19"/>
        <w:szCs w:val="19"/>
      </w:rPr>
      <w:t>Reconstruction</w:t>
    </w:r>
    <w:proofErr w:type="spellEnd"/>
    <w:r w:rsidRPr="00442490">
      <w:rPr>
        <w:rFonts w:eastAsia="Times New Roman" w:cs="Arial"/>
        <w:sz w:val="19"/>
        <w:szCs w:val="19"/>
      </w:rPr>
      <w:t xml:space="preserve"> </w:t>
    </w:r>
    <w:proofErr w:type="spellStart"/>
    <w:r w:rsidRPr="00442490">
      <w:rPr>
        <w:rFonts w:eastAsia="Times New Roman" w:cs="Arial"/>
        <w:sz w:val="19"/>
        <w:szCs w:val="19"/>
      </w:rPr>
      <w:t>and</w:t>
    </w:r>
    <w:proofErr w:type="spellEnd"/>
    <w:r w:rsidRPr="00442490">
      <w:rPr>
        <w:rFonts w:eastAsia="Times New Roman" w:cs="Arial"/>
        <w:sz w:val="19"/>
        <w:szCs w:val="19"/>
      </w:rPr>
      <w:t xml:space="preserve"> Development</w:t>
    </w:r>
  </w:p>
  <w:p w14:paraId="59C27D23" w14:textId="77777777" w:rsidR="002C547A" w:rsidRDefault="002C547A">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CF3A1C" w14:textId="352598D6" w:rsidR="002C547A" w:rsidRPr="000E7285" w:rsidRDefault="002C547A" w:rsidP="00DE5EF2">
    <w:pPr>
      <w:pBdr>
        <w:top w:val="single" w:sz="4" w:space="1" w:color="auto"/>
      </w:pBdr>
      <w:tabs>
        <w:tab w:val="center" w:pos="4153"/>
        <w:tab w:val="right" w:pos="9072"/>
      </w:tabs>
      <w:spacing w:after="0" w:line="240" w:lineRule="auto"/>
      <w:ind w:right="283"/>
      <w:rPr>
        <w:rFonts w:eastAsia="Times New Roman" w:cs="Times New Roman"/>
        <w:sz w:val="19"/>
        <w:szCs w:val="20"/>
      </w:rPr>
    </w:pPr>
    <w:r>
      <w:rPr>
        <w:rFonts w:eastAsia="Times New Roman" w:cs="Arial"/>
        <w:sz w:val="19"/>
        <w:szCs w:val="19"/>
      </w:rPr>
      <w:t>13</w:t>
    </w:r>
    <w:r w:rsidRPr="000E7285">
      <w:rPr>
        <w:rFonts w:eastAsia="Times New Roman" w:cs="Arial"/>
        <w:sz w:val="19"/>
        <w:szCs w:val="19"/>
      </w:rPr>
      <w:t xml:space="preserve"> </w:t>
    </w:r>
    <w:r>
      <w:rPr>
        <w:rFonts w:eastAsia="Times New Roman" w:cs="Arial"/>
        <w:sz w:val="19"/>
        <w:szCs w:val="19"/>
      </w:rPr>
      <w:t xml:space="preserve"> </w:t>
    </w:r>
    <w:r w:rsidRPr="000E7285">
      <w:rPr>
        <w:rFonts w:eastAsia="Times New Roman" w:cs="Arial"/>
        <w:sz w:val="19"/>
        <w:szCs w:val="19"/>
      </w:rPr>
      <w:t xml:space="preserve"> </w:t>
    </w:r>
    <w:r w:rsidRPr="00442490">
      <w:rPr>
        <w:rFonts w:eastAsia="Times New Roman" w:cs="Arial"/>
        <w:sz w:val="19"/>
        <w:szCs w:val="19"/>
      </w:rPr>
      <w:t xml:space="preserve">Croatian Bank for </w:t>
    </w:r>
    <w:proofErr w:type="spellStart"/>
    <w:r w:rsidRPr="00442490">
      <w:rPr>
        <w:rFonts w:eastAsia="Times New Roman" w:cs="Arial"/>
        <w:sz w:val="19"/>
        <w:szCs w:val="19"/>
      </w:rPr>
      <w:t>Reconstruction</w:t>
    </w:r>
    <w:proofErr w:type="spellEnd"/>
    <w:r w:rsidRPr="00442490">
      <w:rPr>
        <w:rFonts w:eastAsia="Times New Roman" w:cs="Arial"/>
        <w:sz w:val="19"/>
        <w:szCs w:val="19"/>
      </w:rPr>
      <w:t xml:space="preserve"> </w:t>
    </w:r>
    <w:proofErr w:type="spellStart"/>
    <w:r w:rsidRPr="00442490">
      <w:rPr>
        <w:rFonts w:eastAsia="Times New Roman" w:cs="Arial"/>
        <w:sz w:val="19"/>
        <w:szCs w:val="19"/>
      </w:rPr>
      <w:t>and</w:t>
    </w:r>
    <w:proofErr w:type="spellEnd"/>
    <w:r w:rsidRPr="00442490">
      <w:rPr>
        <w:rFonts w:eastAsia="Times New Roman" w:cs="Arial"/>
        <w:sz w:val="19"/>
        <w:szCs w:val="19"/>
      </w:rPr>
      <w:t xml:space="preserve"> Development</w:t>
    </w:r>
  </w:p>
  <w:p w14:paraId="72F5249A" w14:textId="77777777" w:rsidR="002C547A" w:rsidRDefault="002C547A">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E2BAC1" w14:textId="26EF4D70" w:rsidR="002C547A" w:rsidRPr="000E7285" w:rsidRDefault="002C547A" w:rsidP="00DE5EF2">
    <w:pPr>
      <w:pBdr>
        <w:top w:val="single" w:sz="4" w:space="1" w:color="auto"/>
      </w:pBdr>
      <w:tabs>
        <w:tab w:val="center" w:pos="4153"/>
        <w:tab w:val="right" w:pos="9072"/>
      </w:tabs>
      <w:spacing w:after="0" w:line="240" w:lineRule="auto"/>
      <w:ind w:right="283"/>
      <w:rPr>
        <w:rFonts w:eastAsia="Times New Roman" w:cs="Times New Roman"/>
        <w:sz w:val="19"/>
        <w:szCs w:val="20"/>
      </w:rPr>
    </w:pPr>
    <w:r>
      <w:rPr>
        <w:rFonts w:eastAsia="Times New Roman" w:cs="Arial"/>
        <w:sz w:val="19"/>
        <w:szCs w:val="19"/>
      </w:rPr>
      <w:t>14</w:t>
    </w:r>
    <w:r w:rsidRPr="000E7285">
      <w:rPr>
        <w:rFonts w:eastAsia="Times New Roman" w:cs="Arial"/>
        <w:sz w:val="19"/>
        <w:szCs w:val="19"/>
      </w:rPr>
      <w:t xml:space="preserve">   </w:t>
    </w:r>
    <w:r w:rsidRPr="00442490">
      <w:rPr>
        <w:rFonts w:eastAsia="Times New Roman" w:cs="Arial"/>
        <w:sz w:val="19"/>
        <w:szCs w:val="19"/>
      </w:rPr>
      <w:t xml:space="preserve">Croatian Bank for </w:t>
    </w:r>
    <w:proofErr w:type="spellStart"/>
    <w:r w:rsidRPr="00442490">
      <w:rPr>
        <w:rFonts w:eastAsia="Times New Roman" w:cs="Arial"/>
        <w:sz w:val="19"/>
        <w:szCs w:val="19"/>
      </w:rPr>
      <w:t>Reconstruction</w:t>
    </w:r>
    <w:proofErr w:type="spellEnd"/>
    <w:r w:rsidRPr="00442490">
      <w:rPr>
        <w:rFonts w:eastAsia="Times New Roman" w:cs="Arial"/>
        <w:sz w:val="19"/>
        <w:szCs w:val="19"/>
      </w:rPr>
      <w:t xml:space="preserve"> </w:t>
    </w:r>
    <w:proofErr w:type="spellStart"/>
    <w:r w:rsidRPr="00442490">
      <w:rPr>
        <w:rFonts w:eastAsia="Times New Roman" w:cs="Arial"/>
        <w:sz w:val="19"/>
        <w:szCs w:val="19"/>
      </w:rPr>
      <w:t>and</w:t>
    </w:r>
    <w:proofErr w:type="spellEnd"/>
    <w:r w:rsidRPr="00442490">
      <w:rPr>
        <w:rFonts w:eastAsia="Times New Roman" w:cs="Arial"/>
        <w:sz w:val="19"/>
        <w:szCs w:val="19"/>
      </w:rPr>
      <w:t xml:space="preserve"> Development</w:t>
    </w:r>
  </w:p>
  <w:p w14:paraId="17237B3F" w14:textId="77777777" w:rsidR="002C547A" w:rsidRDefault="002C547A" w:rsidP="0065688C">
    <w:pPr>
      <w:pBdr>
        <w:top w:val="single" w:sz="4" w:space="1" w:color="auto"/>
      </w:pBdr>
      <w:tabs>
        <w:tab w:val="center" w:pos="4153"/>
        <w:tab w:val="right" w:pos="9072"/>
      </w:tabs>
      <w:spacing w:after="0" w:line="240" w:lineRule="auto"/>
      <w:ind w:right="283"/>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97281A" w14:textId="0A8828E9" w:rsidR="002C547A" w:rsidRPr="000E7285" w:rsidRDefault="002C547A" w:rsidP="00DE5EF2">
    <w:pPr>
      <w:pBdr>
        <w:top w:val="single" w:sz="4" w:space="1" w:color="auto"/>
      </w:pBdr>
      <w:tabs>
        <w:tab w:val="center" w:pos="4153"/>
        <w:tab w:val="right" w:pos="9072"/>
      </w:tabs>
      <w:spacing w:after="0" w:line="240" w:lineRule="auto"/>
      <w:ind w:right="283"/>
      <w:rPr>
        <w:rFonts w:eastAsia="Times New Roman" w:cs="Times New Roman"/>
        <w:sz w:val="19"/>
        <w:szCs w:val="20"/>
      </w:rPr>
    </w:pPr>
    <w:r>
      <w:rPr>
        <w:rFonts w:eastAsia="Times New Roman" w:cs="Arial"/>
        <w:sz w:val="19"/>
        <w:szCs w:val="19"/>
      </w:rPr>
      <w:t>15</w:t>
    </w:r>
    <w:r w:rsidRPr="000E7285">
      <w:rPr>
        <w:rFonts w:eastAsia="Times New Roman" w:cs="Arial"/>
        <w:sz w:val="19"/>
        <w:szCs w:val="19"/>
      </w:rPr>
      <w:t xml:space="preserve">   </w:t>
    </w:r>
    <w:r w:rsidRPr="00442490">
      <w:rPr>
        <w:rFonts w:eastAsia="Times New Roman" w:cs="Arial"/>
        <w:sz w:val="19"/>
        <w:szCs w:val="19"/>
      </w:rPr>
      <w:t xml:space="preserve">Croatian Bank for </w:t>
    </w:r>
    <w:proofErr w:type="spellStart"/>
    <w:r w:rsidRPr="00442490">
      <w:rPr>
        <w:rFonts w:eastAsia="Times New Roman" w:cs="Arial"/>
        <w:sz w:val="19"/>
        <w:szCs w:val="19"/>
      </w:rPr>
      <w:t>Reconstruction</w:t>
    </w:r>
    <w:proofErr w:type="spellEnd"/>
    <w:r w:rsidRPr="00442490">
      <w:rPr>
        <w:rFonts w:eastAsia="Times New Roman" w:cs="Arial"/>
        <w:sz w:val="19"/>
        <w:szCs w:val="19"/>
      </w:rPr>
      <w:t xml:space="preserve"> </w:t>
    </w:r>
    <w:proofErr w:type="spellStart"/>
    <w:r w:rsidRPr="00442490">
      <w:rPr>
        <w:rFonts w:eastAsia="Times New Roman" w:cs="Arial"/>
        <w:sz w:val="19"/>
        <w:szCs w:val="19"/>
      </w:rPr>
      <w:t>and</w:t>
    </w:r>
    <w:proofErr w:type="spellEnd"/>
    <w:r w:rsidRPr="00442490">
      <w:rPr>
        <w:rFonts w:eastAsia="Times New Roman" w:cs="Arial"/>
        <w:sz w:val="19"/>
        <w:szCs w:val="19"/>
      </w:rPr>
      <w:t xml:space="preserve"> Development</w:t>
    </w:r>
  </w:p>
  <w:p w14:paraId="3AEA5991" w14:textId="77777777" w:rsidR="002C547A" w:rsidRDefault="002C547A">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FB5783" w14:textId="2EF0C88E" w:rsidR="002C547A" w:rsidRPr="002C64CB" w:rsidRDefault="002C547A" w:rsidP="00DE5EF2">
    <w:pPr>
      <w:pBdr>
        <w:top w:val="single" w:sz="4" w:space="1" w:color="auto"/>
      </w:pBdr>
      <w:tabs>
        <w:tab w:val="center" w:pos="4153"/>
        <w:tab w:val="right" w:pos="9072"/>
      </w:tabs>
      <w:spacing w:after="0" w:line="240" w:lineRule="auto"/>
      <w:ind w:right="283"/>
      <w:rPr>
        <w:rFonts w:eastAsia="Times New Roman" w:cs="Arial"/>
        <w:sz w:val="19"/>
        <w:szCs w:val="19"/>
      </w:rPr>
    </w:pPr>
    <w:r>
      <w:rPr>
        <w:rFonts w:eastAsia="Times New Roman" w:cs="Arial"/>
        <w:sz w:val="19"/>
        <w:szCs w:val="19"/>
      </w:rPr>
      <w:t>16</w:t>
    </w:r>
    <w:r w:rsidRPr="000E7285">
      <w:rPr>
        <w:rFonts w:eastAsia="Times New Roman" w:cs="Arial"/>
        <w:sz w:val="19"/>
        <w:szCs w:val="19"/>
      </w:rPr>
      <w:t xml:space="preserve">   </w:t>
    </w:r>
    <w:r w:rsidRPr="00442490">
      <w:rPr>
        <w:rFonts w:eastAsia="Times New Roman" w:cs="Arial"/>
        <w:sz w:val="19"/>
        <w:szCs w:val="19"/>
      </w:rPr>
      <w:t xml:space="preserve">Croatian Bank for </w:t>
    </w:r>
    <w:proofErr w:type="spellStart"/>
    <w:r w:rsidRPr="00442490">
      <w:rPr>
        <w:rFonts w:eastAsia="Times New Roman" w:cs="Arial"/>
        <w:sz w:val="19"/>
        <w:szCs w:val="19"/>
      </w:rPr>
      <w:t>Reconstruction</w:t>
    </w:r>
    <w:proofErr w:type="spellEnd"/>
    <w:r w:rsidRPr="00442490">
      <w:rPr>
        <w:rFonts w:eastAsia="Times New Roman" w:cs="Arial"/>
        <w:sz w:val="19"/>
        <w:szCs w:val="19"/>
      </w:rPr>
      <w:t xml:space="preserve"> </w:t>
    </w:r>
    <w:proofErr w:type="spellStart"/>
    <w:r w:rsidRPr="00442490">
      <w:rPr>
        <w:rFonts w:eastAsia="Times New Roman" w:cs="Arial"/>
        <w:sz w:val="19"/>
        <w:szCs w:val="19"/>
      </w:rPr>
      <w:t>and</w:t>
    </w:r>
    <w:proofErr w:type="spellEnd"/>
    <w:r w:rsidRPr="00442490">
      <w:rPr>
        <w:rFonts w:eastAsia="Times New Roman" w:cs="Arial"/>
        <w:sz w:val="19"/>
        <w:szCs w:val="19"/>
      </w:rPr>
      <w:t xml:space="preserve"> Development</w:t>
    </w:r>
  </w:p>
  <w:p w14:paraId="56591980" w14:textId="77777777" w:rsidR="002C547A" w:rsidRDefault="002C54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42DEC7" w14:textId="28C8609C" w:rsidR="002C547A" w:rsidRPr="000E7285" w:rsidRDefault="002C547A" w:rsidP="00AE35D1">
    <w:pPr>
      <w:pBdr>
        <w:top w:val="single" w:sz="4" w:space="1" w:color="auto"/>
      </w:pBdr>
      <w:tabs>
        <w:tab w:val="center" w:pos="4153"/>
        <w:tab w:val="right" w:pos="9072"/>
      </w:tabs>
      <w:spacing w:after="0" w:line="240" w:lineRule="auto"/>
      <w:ind w:right="283"/>
      <w:rPr>
        <w:rFonts w:eastAsia="Times New Roman" w:cs="Times New Roman"/>
        <w:sz w:val="19"/>
        <w:szCs w:val="20"/>
      </w:rPr>
    </w:pPr>
    <w:r>
      <w:rPr>
        <w:rFonts w:eastAsia="Times New Roman" w:cs="Arial"/>
        <w:sz w:val="19"/>
        <w:szCs w:val="19"/>
      </w:rPr>
      <w:t>2</w:t>
    </w:r>
    <w:r w:rsidRPr="000E7285">
      <w:rPr>
        <w:rFonts w:eastAsia="Times New Roman" w:cs="Arial"/>
        <w:sz w:val="19"/>
        <w:szCs w:val="19"/>
      </w:rPr>
      <w:t xml:space="preserve">   </w:t>
    </w:r>
    <w:r w:rsidRPr="00442490">
      <w:rPr>
        <w:rFonts w:eastAsia="Times New Roman" w:cs="Arial"/>
        <w:sz w:val="19"/>
        <w:szCs w:val="19"/>
        <w:lang w:val="en-GB"/>
      </w:rPr>
      <w:t>Croatian Bank for Reconstruction and Development</w:t>
    </w:r>
  </w:p>
  <w:p w14:paraId="6D694D69" w14:textId="77777777" w:rsidR="002C547A" w:rsidRDefault="002C547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331488" w14:textId="77777777" w:rsidR="002C547A" w:rsidRPr="00290697" w:rsidRDefault="002C547A">
    <w:pPr>
      <w:pStyle w:val="Footer"/>
      <w:jc w:val="center"/>
      <w:rPr>
        <w:sz w:val="18"/>
        <w:szCs w:val="18"/>
      </w:rPr>
    </w:pPr>
  </w:p>
  <w:p w14:paraId="3BA78970" w14:textId="586F887A" w:rsidR="002C547A" w:rsidRPr="000E7285" w:rsidRDefault="002C547A" w:rsidP="00C23C95">
    <w:pPr>
      <w:pBdr>
        <w:top w:val="single" w:sz="4" w:space="1" w:color="auto"/>
      </w:pBdr>
      <w:tabs>
        <w:tab w:val="center" w:pos="4153"/>
        <w:tab w:val="right" w:pos="9072"/>
      </w:tabs>
      <w:spacing w:after="0" w:line="240" w:lineRule="auto"/>
      <w:ind w:right="284"/>
      <w:rPr>
        <w:rFonts w:eastAsia="Times New Roman" w:cs="Times New Roman"/>
        <w:sz w:val="19"/>
        <w:szCs w:val="20"/>
      </w:rPr>
    </w:pPr>
    <w:r>
      <w:rPr>
        <w:rFonts w:eastAsia="Times New Roman" w:cs="Arial"/>
        <w:sz w:val="19"/>
        <w:szCs w:val="19"/>
      </w:rPr>
      <w:t>4</w:t>
    </w:r>
    <w:r w:rsidRPr="000E7285">
      <w:rPr>
        <w:rFonts w:eastAsia="Times New Roman" w:cs="Arial"/>
        <w:sz w:val="19"/>
        <w:szCs w:val="19"/>
      </w:rPr>
      <w:t xml:space="preserve">   </w:t>
    </w:r>
    <w:r w:rsidRPr="00442490">
      <w:rPr>
        <w:rFonts w:eastAsia="Times New Roman" w:cs="Arial"/>
        <w:sz w:val="19"/>
        <w:szCs w:val="19"/>
      </w:rPr>
      <w:t xml:space="preserve">Croatian Bank for </w:t>
    </w:r>
    <w:proofErr w:type="spellStart"/>
    <w:r w:rsidRPr="00442490">
      <w:rPr>
        <w:rFonts w:eastAsia="Times New Roman" w:cs="Arial"/>
        <w:sz w:val="19"/>
        <w:szCs w:val="19"/>
      </w:rPr>
      <w:t>Reconstruction</w:t>
    </w:r>
    <w:proofErr w:type="spellEnd"/>
    <w:r w:rsidRPr="00442490">
      <w:rPr>
        <w:rFonts w:eastAsia="Times New Roman" w:cs="Arial"/>
        <w:sz w:val="19"/>
        <w:szCs w:val="19"/>
      </w:rPr>
      <w:t xml:space="preserve"> </w:t>
    </w:r>
    <w:proofErr w:type="spellStart"/>
    <w:r w:rsidRPr="00442490">
      <w:rPr>
        <w:rFonts w:eastAsia="Times New Roman" w:cs="Arial"/>
        <w:sz w:val="19"/>
        <w:szCs w:val="19"/>
      </w:rPr>
      <w:t>and</w:t>
    </w:r>
    <w:proofErr w:type="spellEnd"/>
    <w:r w:rsidRPr="00442490">
      <w:rPr>
        <w:rFonts w:eastAsia="Times New Roman" w:cs="Arial"/>
        <w:sz w:val="19"/>
        <w:szCs w:val="19"/>
      </w:rPr>
      <w:t xml:space="preserve"> Development</w:t>
    </w:r>
  </w:p>
  <w:p w14:paraId="255053F9" w14:textId="77777777" w:rsidR="002C547A" w:rsidRDefault="002C547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538B67" w14:textId="130EE25B" w:rsidR="002C547A" w:rsidRPr="000E7285" w:rsidRDefault="002C547A" w:rsidP="0065688C">
    <w:pPr>
      <w:pBdr>
        <w:top w:val="single" w:sz="4" w:space="2" w:color="auto"/>
      </w:pBdr>
      <w:tabs>
        <w:tab w:val="center" w:pos="4153"/>
        <w:tab w:val="right" w:pos="9072"/>
      </w:tabs>
      <w:spacing w:after="0" w:line="240" w:lineRule="auto"/>
      <w:ind w:right="283"/>
      <w:rPr>
        <w:rFonts w:eastAsia="Times New Roman" w:cs="Times New Roman"/>
        <w:sz w:val="19"/>
        <w:szCs w:val="20"/>
      </w:rPr>
    </w:pPr>
    <w:r>
      <w:rPr>
        <w:rFonts w:eastAsia="Times New Roman" w:cs="Arial"/>
        <w:sz w:val="19"/>
        <w:szCs w:val="19"/>
      </w:rPr>
      <w:t xml:space="preserve">3 </w:t>
    </w:r>
    <w:r w:rsidRPr="000E7285">
      <w:rPr>
        <w:rFonts w:eastAsia="Times New Roman" w:cs="Arial"/>
        <w:sz w:val="19"/>
        <w:szCs w:val="19"/>
      </w:rPr>
      <w:t xml:space="preserve">  </w:t>
    </w:r>
    <w:r w:rsidRPr="00442490">
      <w:rPr>
        <w:rFonts w:eastAsia="Times New Roman" w:cs="Arial"/>
        <w:sz w:val="19"/>
        <w:szCs w:val="19"/>
      </w:rPr>
      <w:t xml:space="preserve">Croatian Bank </w:t>
    </w:r>
    <w:r w:rsidRPr="00630BEF">
      <w:rPr>
        <w:rFonts w:eastAsia="Times New Roman" w:cs="Arial"/>
        <w:sz w:val="19"/>
        <w:szCs w:val="19"/>
        <w:lang w:val="en-GB"/>
      </w:rPr>
      <w:t>for Reconstruction and Development</w:t>
    </w:r>
  </w:p>
  <w:p w14:paraId="2D17F451" w14:textId="77777777" w:rsidR="002C547A" w:rsidRDefault="002C547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559A46" w14:textId="46FE4F1C" w:rsidR="002C547A" w:rsidRPr="000E7285" w:rsidRDefault="002C547A" w:rsidP="00AE35D1">
    <w:pPr>
      <w:pBdr>
        <w:top w:val="single" w:sz="4" w:space="1" w:color="auto"/>
      </w:pBdr>
      <w:tabs>
        <w:tab w:val="center" w:pos="4153"/>
        <w:tab w:val="right" w:pos="9072"/>
      </w:tabs>
      <w:spacing w:after="0" w:line="240" w:lineRule="auto"/>
      <w:ind w:right="283"/>
      <w:rPr>
        <w:rFonts w:eastAsia="Times New Roman" w:cs="Times New Roman"/>
        <w:sz w:val="19"/>
        <w:szCs w:val="20"/>
      </w:rPr>
    </w:pPr>
    <w:r>
      <w:rPr>
        <w:rFonts w:eastAsia="Times New Roman" w:cs="Arial"/>
        <w:sz w:val="19"/>
        <w:szCs w:val="19"/>
      </w:rPr>
      <w:t xml:space="preserve">5  </w:t>
    </w:r>
    <w:r w:rsidRPr="000E7285">
      <w:rPr>
        <w:rFonts w:eastAsia="Times New Roman" w:cs="Arial"/>
        <w:sz w:val="19"/>
        <w:szCs w:val="19"/>
      </w:rPr>
      <w:t xml:space="preserve"> </w:t>
    </w:r>
    <w:r w:rsidRPr="00442490">
      <w:rPr>
        <w:rFonts w:eastAsia="Times New Roman" w:cs="Arial"/>
        <w:sz w:val="19"/>
        <w:szCs w:val="19"/>
      </w:rPr>
      <w:t xml:space="preserve">Croatian Bank for </w:t>
    </w:r>
    <w:r w:rsidRPr="006A2C02">
      <w:rPr>
        <w:rFonts w:eastAsia="Times New Roman" w:cs="Arial"/>
        <w:sz w:val="19"/>
        <w:szCs w:val="19"/>
        <w:lang w:val="en-GB"/>
      </w:rPr>
      <w:t>Reconstruction and Development</w:t>
    </w:r>
  </w:p>
  <w:p w14:paraId="740C5601" w14:textId="77777777" w:rsidR="002C547A" w:rsidRDefault="002C547A">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CF5676" w14:textId="3922F8AA" w:rsidR="002C547A" w:rsidRPr="000E7285" w:rsidRDefault="002C547A" w:rsidP="00AE35D1">
    <w:pPr>
      <w:pBdr>
        <w:top w:val="single" w:sz="4" w:space="1" w:color="auto"/>
      </w:pBdr>
      <w:tabs>
        <w:tab w:val="center" w:pos="4153"/>
        <w:tab w:val="right" w:pos="9072"/>
      </w:tabs>
      <w:spacing w:after="0" w:line="240" w:lineRule="auto"/>
      <w:ind w:right="283"/>
      <w:rPr>
        <w:rFonts w:eastAsia="Times New Roman" w:cs="Times New Roman"/>
        <w:sz w:val="19"/>
        <w:szCs w:val="20"/>
      </w:rPr>
    </w:pPr>
    <w:r>
      <w:rPr>
        <w:rFonts w:eastAsia="Times New Roman" w:cs="Arial"/>
        <w:sz w:val="19"/>
        <w:szCs w:val="19"/>
      </w:rPr>
      <w:t>6</w:t>
    </w:r>
    <w:r w:rsidRPr="000E7285">
      <w:rPr>
        <w:rFonts w:eastAsia="Times New Roman" w:cs="Arial"/>
        <w:sz w:val="19"/>
        <w:szCs w:val="19"/>
      </w:rPr>
      <w:t xml:space="preserve">   </w:t>
    </w:r>
    <w:r w:rsidRPr="00442490">
      <w:rPr>
        <w:rFonts w:eastAsia="Times New Roman" w:cs="Arial"/>
        <w:sz w:val="19"/>
        <w:szCs w:val="19"/>
      </w:rPr>
      <w:t xml:space="preserve">Croatian Bank for </w:t>
    </w:r>
    <w:proofErr w:type="spellStart"/>
    <w:r w:rsidRPr="00442490">
      <w:rPr>
        <w:rFonts w:eastAsia="Times New Roman" w:cs="Arial"/>
        <w:sz w:val="19"/>
        <w:szCs w:val="19"/>
      </w:rPr>
      <w:t>Reconstruction</w:t>
    </w:r>
    <w:proofErr w:type="spellEnd"/>
    <w:r w:rsidRPr="00442490">
      <w:rPr>
        <w:rFonts w:eastAsia="Times New Roman" w:cs="Arial"/>
        <w:sz w:val="19"/>
        <w:szCs w:val="19"/>
      </w:rPr>
      <w:t xml:space="preserve"> </w:t>
    </w:r>
    <w:proofErr w:type="spellStart"/>
    <w:r w:rsidRPr="00442490">
      <w:rPr>
        <w:rFonts w:eastAsia="Times New Roman" w:cs="Arial"/>
        <w:sz w:val="19"/>
        <w:szCs w:val="19"/>
      </w:rPr>
      <w:t>and</w:t>
    </w:r>
    <w:proofErr w:type="spellEnd"/>
    <w:r w:rsidRPr="00442490">
      <w:rPr>
        <w:rFonts w:eastAsia="Times New Roman" w:cs="Arial"/>
        <w:sz w:val="19"/>
        <w:szCs w:val="19"/>
      </w:rPr>
      <w:t xml:space="preserve"> Development</w:t>
    </w:r>
  </w:p>
  <w:p w14:paraId="0434D46C" w14:textId="77777777" w:rsidR="002C547A" w:rsidRDefault="002C547A">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58E3FB" w14:textId="228D892C" w:rsidR="002C547A" w:rsidRPr="000E7285" w:rsidRDefault="002C547A" w:rsidP="00DE5EF2">
    <w:pPr>
      <w:pBdr>
        <w:top w:val="single" w:sz="4" w:space="1" w:color="auto"/>
      </w:pBdr>
      <w:tabs>
        <w:tab w:val="center" w:pos="4153"/>
        <w:tab w:val="right" w:pos="9072"/>
      </w:tabs>
      <w:spacing w:after="0" w:line="240" w:lineRule="auto"/>
      <w:ind w:right="283"/>
      <w:rPr>
        <w:rFonts w:eastAsia="Times New Roman" w:cs="Times New Roman"/>
        <w:sz w:val="19"/>
        <w:szCs w:val="20"/>
      </w:rPr>
    </w:pPr>
    <w:r>
      <w:rPr>
        <w:rFonts w:eastAsia="Times New Roman" w:cs="Arial"/>
        <w:sz w:val="19"/>
        <w:szCs w:val="19"/>
      </w:rPr>
      <w:t>7</w:t>
    </w:r>
    <w:r w:rsidRPr="000E7285">
      <w:rPr>
        <w:rFonts w:eastAsia="Times New Roman" w:cs="Arial"/>
        <w:sz w:val="19"/>
        <w:szCs w:val="19"/>
      </w:rPr>
      <w:t xml:space="preserve">  </w:t>
    </w:r>
    <w:r>
      <w:rPr>
        <w:rFonts w:eastAsia="Times New Roman" w:cs="Arial"/>
        <w:sz w:val="19"/>
        <w:szCs w:val="19"/>
      </w:rPr>
      <w:t xml:space="preserve"> </w:t>
    </w:r>
    <w:r w:rsidRPr="00442490">
      <w:rPr>
        <w:rFonts w:eastAsia="Times New Roman" w:cs="Arial"/>
        <w:sz w:val="19"/>
        <w:szCs w:val="19"/>
      </w:rPr>
      <w:t xml:space="preserve">Croatian Bank for </w:t>
    </w:r>
    <w:proofErr w:type="spellStart"/>
    <w:r w:rsidRPr="00442490">
      <w:rPr>
        <w:rFonts w:eastAsia="Times New Roman" w:cs="Arial"/>
        <w:sz w:val="19"/>
        <w:szCs w:val="19"/>
      </w:rPr>
      <w:t>Reconstruction</w:t>
    </w:r>
    <w:proofErr w:type="spellEnd"/>
    <w:r w:rsidRPr="00442490">
      <w:rPr>
        <w:rFonts w:eastAsia="Times New Roman" w:cs="Arial"/>
        <w:sz w:val="19"/>
        <w:szCs w:val="19"/>
      </w:rPr>
      <w:t xml:space="preserve"> </w:t>
    </w:r>
    <w:proofErr w:type="spellStart"/>
    <w:r w:rsidRPr="00442490">
      <w:rPr>
        <w:rFonts w:eastAsia="Times New Roman" w:cs="Arial"/>
        <w:sz w:val="19"/>
        <w:szCs w:val="19"/>
      </w:rPr>
      <w:t>and</w:t>
    </w:r>
    <w:proofErr w:type="spellEnd"/>
    <w:r w:rsidRPr="00442490">
      <w:rPr>
        <w:rFonts w:eastAsia="Times New Roman" w:cs="Arial"/>
        <w:sz w:val="19"/>
        <w:szCs w:val="19"/>
      </w:rPr>
      <w:t xml:space="preserve"> Development</w:t>
    </w:r>
  </w:p>
  <w:p w14:paraId="452EDA3E" w14:textId="77777777" w:rsidR="002C547A" w:rsidRDefault="002C547A">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44AA73" w14:textId="60A4AFAF" w:rsidR="002C547A" w:rsidRPr="000E7285" w:rsidRDefault="002C547A" w:rsidP="00DE5EF2">
    <w:pPr>
      <w:pBdr>
        <w:top w:val="single" w:sz="4" w:space="1" w:color="auto"/>
      </w:pBdr>
      <w:tabs>
        <w:tab w:val="center" w:pos="4153"/>
        <w:tab w:val="right" w:pos="9072"/>
      </w:tabs>
      <w:spacing w:after="0" w:line="240" w:lineRule="auto"/>
      <w:ind w:right="283"/>
      <w:rPr>
        <w:rFonts w:eastAsia="Times New Roman" w:cs="Times New Roman"/>
        <w:sz w:val="19"/>
        <w:szCs w:val="20"/>
      </w:rPr>
    </w:pPr>
    <w:r>
      <w:rPr>
        <w:rFonts w:eastAsia="Times New Roman" w:cs="Arial"/>
        <w:sz w:val="19"/>
        <w:szCs w:val="19"/>
      </w:rPr>
      <w:t>8</w:t>
    </w:r>
    <w:r w:rsidRPr="000E7285">
      <w:rPr>
        <w:rFonts w:eastAsia="Times New Roman" w:cs="Arial"/>
        <w:sz w:val="19"/>
        <w:szCs w:val="19"/>
      </w:rPr>
      <w:t xml:space="preserve">   </w:t>
    </w:r>
    <w:r w:rsidRPr="00442490">
      <w:rPr>
        <w:rFonts w:eastAsia="Times New Roman" w:cs="Arial"/>
        <w:sz w:val="19"/>
        <w:szCs w:val="19"/>
      </w:rPr>
      <w:t xml:space="preserve">Croatian Bank for </w:t>
    </w:r>
    <w:proofErr w:type="spellStart"/>
    <w:r w:rsidRPr="00442490">
      <w:rPr>
        <w:rFonts w:eastAsia="Times New Roman" w:cs="Arial"/>
        <w:sz w:val="19"/>
        <w:szCs w:val="19"/>
      </w:rPr>
      <w:t>Reconstruction</w:t>
    </w:r>
    <w:proofErr w:type="spellEnd"/>
    <w:r w:rsidRPr="00442490">
      <w:rPr>
        <w:rFonts w:eastAsia="Times New Roman" w:cs="Arial"/>
        <w:sz w:val="19"/>
        <w:szCs w:val="19"/>
      </w:rPr>
      <w:t xml:space="preserve"> </w:t>
    </w:r>
    <w:proofErr w:type="spellStart"/>
    <w:r w:rsidRPr="00442490">
      <w:rPr>
        <w:rFonts w:eastAsia="Times New Roman" w:cs="Arial"/>
        <w:sz w:val="19"/>
        <w:szCs w:val="19"/>
      </w:rPr>
      <w:t>and</w:t>
    </w:r>
    <w:proofErr w:type="spellEnd"/>
    <w:r w:rsidRPr="00442490">
      <w:rPr>
        <w:rFonts w:eastAsia="Times New Roman" w:cs="Arial"/>
        <w:sz w:val="19"/>
        <w:szCs w:val="19"/>
      </w:rPr>
      <w:t xml:space="preserve"> Development</w:t>
    </w:r>
  </w:p>
  <w:p w14:paraId="6A4BDC2F" w14:textId="77777777" w:rsidR="002C547A" w:rsidRDefault="002C547A">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395F5A" w14:textId="20207D7E" w:rsidR="002C547A" w:rsidRPr="000E7285" w:rsidRDefault="002C547A" w:rsidP="00DE5EF2">
    <w:pPr>
      <w:pBdr>
        <w:top w:val="single" w:sz="4" w:space="1" w:color="auto"/>
      </w:pBdr>
      <w:tabs>
        <w:tab w:val="center" w:pos="4153"/>
        <w:tab w:val="right" w:pos="9072"/>
      </w:tabs>
      <w:spacing w:after="0" w:line="240" w:lineRule="auto"/>
      <w:ind w:right="283"/>
      <w:rPr>
        <w:rFonts w:eastAsia="Times New Roman" w:cs="Times New Roman"/>
        <w:sz w:val="19"/>
        <w:szCs w:val="20"/>
      </w:rPr>
    </w:pPr>
    <w:r>
      <w:rPr>
        <w:rFonts w:eastAsia="Times New Roman" w:cs="Arial"/>
        <w:sz w:val="19"/>
        <w:szCs w:val="19"/>
      </w:rPr>
      <w:t>9</w:t>
    </w:r>
    <w:r w:rsidRPr="000E7285">
      <w:rPr>
        <w:rFonts w:eastAsia="Times New Roman" w:cs="Arial"/>
        <w:sz w:val="19"/>
        <w:szCs w:val="19"/>
      </w:rPr>
      <w:t xml:space="preserve">  </w:t>
    </w:r>
    <w:r w:rsidRPr="00442490">
      <w:rPr>
        <w:rFonts w:eastAsia="Times New Roman" w:cs="Arial"/>
        <w:sz w:val="19"/>
        <w:szCs w:val="19"/>
      </w:rPr>
      <w:t xml:space="preserve">Croatian Bank for </w:t>
    </w:r>
    <w:proofErr w:type="spellStart"/>
    <w:r w:rsidRPr="00442490">
      <w:rPr>
        <w:rFonts w:eastAsia="Times New Roman" w:cs="Arial"/>
        <w:sz w:val="19"/>
        <w:szCs w:val="19"/>
      </w:rPr>
      <w:t>Reconstruction</w:t>
    </w:r>
    <w:proofErr w:type="spellEnd"/>
    <w:r w:rsidRPr="00442490">
      <w:rPr>
        <w:rFonts w:eastAsia="Times New Roman" w:cs="Arial"/>
        <w:sz w:val="19"/>
        <w:szCs w:val="19"/>
      </w:rPr>
      <w:t xml:space="preserve"> </w:t>
    </w:r>
    <w:proofErr w:type="spellStart"/>
    <w:r w:rsidRPr="00442490">
      <w:rPr>
        <w:rFonts w:eastAsia="Times New Roman" w:cs="Arial"/>
        <w:sz w:val="19"/>
        <w:szCs w:val="19"/>
      </w:rPr>
      <w:t>and</w:t>
    </w:r>
    <w:proofErr w:type="spellEnd"/>
    <w:r w:rsidRPr="00442490">
      <w:rPr>
        <w:rFonts w:eastAsia="Times New Roman" w:cs="Arial"/>
        <w:sz w:val="19"/>
        <w:szCs w:val="19"/>
      </w:rPr>
      <w:t xml:space="preserve"> Development</w:t>
    </w:r>
  </w:p>
  <w:p w14:paraId="740BE080" w14:textId="77777777" w:rsidR="002C547A" w:rsidRDefault="002C54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EE4A03" w14:textId="77777777" w:rsidR="002C547A" w:rsidRDefault="002C547A" w:rsidP="00AE35D1">
      <w:pPr>
        <w:spacing w:after="0" w:line="240" w:lineRule="auto"/>
      </w:pPr>
      <w:r>
        <w:separator/>
      </w:r>
    </w:p>
  </w:footnote>
  <w:footnote w:type="continuationSeparator" w:id="0">
    <w:p w14:paraId="27D54F46" w14:textId="77777777" w:rsidR="002C547A" w:rsidRDefault="002C547A" w:rsidP="00AE35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2251B2" w14:textId="77777777" w:rsidR="002C547A" w:rsidRDefault="002C54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506E1"/>
    <w:multiLevelType w:val="hybridMultilevel"/>
    <w:tmpl w:val="42E84234"/>
    <w:lvl w:ilvl="0" w:tplc="63B24410">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38528D1"/>
    <w:multiLevelType w:val="hybridMultilevel"/>
    <w:tmpl w:val="E21AA264"/>
    <w:lvl w:ilvl="0" w:tplc="8E7E0666">
      <w:numFmt w:val="bullet"/>
      <w:lvlText w:val="-"/>
      <w:lvlJc w:val="left"/>
      <w:pPr>
        <w:ind w:left="720" w:hanging="360"/>
      </w:pPr>
      <w:rPr>
        <w:rFonts w:ascii="Calibri" w:eastAsia="Times New Roman"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BE204B0"/>
    <w:multiLevelType w:val="hybridMultilevel"/>
    <w:tmpl w:val="EFAE6A7A"/>
    <w:lvl w:ilvl="0" w:tplc="6BF287E6">
      <w:start w:val="1"/>
      <w:numFmt w:val="bullet"/>
      <w:lvlText w:val="-"/>
      <w:lvlJc w:val="left"/>
      <w:pPr>
        <w:ind w:left="720" w:hanging="360"/>
      </w:pPr>
      <w:rPr>
        <w:rFonts w:ascii="Times New Roman" w:hAnsi="Times New Roman" w:cs="Times New Roman" w:hint="default"/>
        <w:b w:val="0"/>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149D7404"/>
    <w:multiLevelType w:val="hybridMultilevel"/>
    <w:tmpl w:val="3306DFC8"/>
    <w:lvl w:ilvl="0" w:tplc="C0B42C0E">
      <w:start w:val="1"/>
      <w:numFmt w:val="bullet"/>
      <w:lvlText w:val="-"/>
      <w:lvlJc w:val="left"/>
      <w:pPr>
        <w:tabs>
          <w:tab w:val="num" w:pos="720"/>
        </w:tabs>
        <w:ind w:left="720" w:hanging="360"/>
      </w:pPr>
      <w:rPr>
        <w:rFonts w:ascii="Times New Roman" w:hAnsi="Times New Roman" w:hint="default"/>
      </w:rPr>
    </w:lvl>
    <w:lvl w:ilvl="1" w:tplc="8B9A28CC" w:tentative="1">
      <w:start w:val="1"/>
      <w:numFmt w:val="bullet"/>
      <w:lvlText w:val="-"/>
      <w:lvlJc w:val="left"/>
      <w:pPr>
        <w:tabs>
          <w:tab w:val="num" w:pos="1440"/>
        </w:tabs>
        <w:ind w:left="1440" w:hanging="360"/>
      </w:pPr>
      <w:rPr>
        <w:rFonts w:ascii="Times New Roman" w:hAnsi="Times New Roman" w:hint="default"/>
      </w:rPr>
    </w:lvl>
    <w:lvl w:ilvl="2" w:tplc="6394B170" w:tentative="1">
      <w:start w:val="1"/>
      <w:numFmt w:val="bullet"/>
      <w:lvlText w:val="-"/>
      <w:lvlJc w:val="left"/>
      <w:pPr>
        <w:tabs>
          <w:tab w:val="num" w:pos="2160"/>
        </w:tabs>
        <w:ind w:left="2160" w:hanging="360"/>
      </w:pPr>
      <w:rPr>
        <w:rFonts w:ascii="Times New Roman" w:hAnsi="Times New Roman" w:hint="default"/>
      </w:rPr>
    </w:lvl>
    <w:lvl w:ilvl="3" w:tplc="AF5CE85A" w:tentative="1">
      <w:start w:val="1"/>
      <w:numFmt w:val="bullet"/>
      <w:lvlText w:val="-"/>
      <w:lvlJc w:val="left"/>
      <w:pPr>
        <w:tabs>
          <w:tab w:val="num" w:pos="2880"/>
        </w:tabs>
        <w:ind w:left="2880" w:hanging="360"/>
      </w:pPr>
      <w:rPr>
        <w:rFonts w:ascii="Times New Roman" w:hAnsi="Times New Roman" w:hint="default"/>
      </w:rPr>
    </w:lvl>
    <w:lvl w:ilvl="4" w:tplc="47444D46" w:tentative="1">
      <w:start w:val="1"/>
      <w:numFmt w:val="bullet"/>
      <w:lvlText w:val="-"/>
      <w:lvlJc w:val="left"/>
      <w:pPr>
        <w:tabs>
          <w:tab w:val="num" w:pos="3600"/>
        </w:tabs>
        <w:ind w:left="3600" w:hanging="360"/>
      </w:pPr>
      <w:rPr>
        <w:rFonts w:ascii="Times New Roman" w:hAnsi="Times New Roman" w:hint="default"/>
      </w:rPr>
    </w:lvl>
    <w:lvl w:ilvl="5" w:tplc="EC0651E0" w:tentative="1">
      <w:start w:val="1"/>
      <w:numFmt w:val="bullet"/>
      <w:lvlText w:val="-"/>
      <w:lvlJc w:val="left"/>
      <w:pPr>
        <w:tabs>
          <w:tab w:val="num" w:pos="4320"/>
        </w:tabs>
        <w:ind w:left="4320" w:hanging="360"/>
      </w:pPr>
      <w:rPr>
        <w:rFonts w:ascii="Times New Roman" w:hAnsi="Times New Roman" w:hint="default"/>
      </w:rPr>
    </w:lvl>
    <w:lvl w:ilvl="6" w:tplc="4E740BFC" w:tentative="1">
      <w:start w:val="1"/>
      <w:numFmt w:val="bullet"/>
      <w:lvlText w:val="-"/>
      <w:lvlJc w:val="left"/>
      <w:pPr>
        <w:tabs>
          <w:tab w:val="num" w:pos="5040"/>
        </w:tabs>
        <w:ind w:left="5040" w:hanging="360"/>
      </w:pPr>
      <w:rPr>
        <w:rFonts w:ascii="Times New Roman" w:hAnsi="Times New Roman" w:hint="default"/>
      </w:rPr>
    </w:lvl>
    <w:lvl w:ilvl="7" w:tplc="0C8C9A76" w:tentative="1">
      <w:start w:val="1"/>
      <w:numFmt w:val="bullet"/>
      <w:lvlText w:val="-"/>
      <w:lvlJc w:val="left"/>
      <w:pPr>
        <w:tabs>
          <w:tab w:val="num" w:pos="5760"/>
        </w:tabs>
        <w:ind w:left="5760" w:hanging="360"/>
      </w:pPr>
      <w:rPr>
        <w:rFonts w:ascii="Times New Roman" w:hAnsi="Times New Roman" w:hint="default"/>
      </w:rPr>
    </w:lvl>
    <w:lvl w:ilvl="8" w:tplc="32F42282"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18442D6E"/>
    <w:multiLevelType w:val="hybridMultilevel"/>
    <w:tmpl w:val="63121E58"/>
    <w:lvl w:ilvl="0" w:tplc="D9FE7A5A">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1FC87048"/>
    <w:multiLevelType w:val="multilevel"/>
    <w:tmpl w:val="A2DC824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373E7C54"/>
    <w:multiLevelType w:val="hybridMultilevel"/>
    <w:tmpl w:val="D4541FFC"/>
    <w:lvl w:ilvl="0" w:tplc="80DCF648">
      <w:start w:val="1"/>
      <w:numFmt w:val="bullet"/>
      <w:lvlText w:val="•"/>
      <w:lvlJc w:val="left"/>
      <w:pPr>
        <w:tabs>
          <w:tab w:val="num" w:pos="720"/>
        </w:tabs>
        <w:ind w:left="720" w:hanging="360"/>
      </w:pPr>
      <w:rPr>
        <w:rFonts w:ascii="Arial" w:hAnsi="Arial" w:hint="default"/>
      </w:rPr>
    </w:lvl>
    <w:lvl w:ilvl="1" w:tplc="BA1AEC26" w:tentative="1">
      <w:start w:val="1"/>
      <w:numFmt w:val="bullet"/>
      <w:lvlText w:val="•"/>
      <w:lvlJc w:val="left"/>
      <w:pPr>
        <w:tabs>
          <w:tab w:val="num" w:pos="1440"/>
        </w:tabs>
        <w:ind w:left="1440" w:hanging="360"/>
      </w:pPr>
      <w:rPr>
        <w:rFonts w:ascii="Arial" w:hAnsi="Arial" w:hint="default"/>
      </w:rPr>
    </w:lvl>
    <w:lvl w:ilvl="2" w:tplc="F2DA5FD8" w:tentative="1">
      <w:start w:val="1"/>
      <w:numFmt w:val="bullet"/>
      <w:lvlText w:val="•"/>
      <w:lvlJc w:val="left"/>
      <w:pPr>
        <w:tabs>
          <w:tab w:val="num" w:pos="2160"/>
        </w:tabs>
        <w:ind w:left="2160" w:hanging="360"/>
      </w:pPr>
      <w:rPr>
        <w:rFonts w:ascii="Arial" w:hAnsi="Arial" w:hint="default"/>
      </w:rPr>
    </w:lvl>
    <w:lvl w:ilvl="3" w:tplc="74B4C232" w:tentative="1">
      <w:start w:val="1"/>
      <w:numFmt w:val="bullet"/>
      <w:lvlText w:val="•"/>
      <w:lvlJc w:val="left"/>
      <w:pPr>
        <w:tabs>
          <w:tab w:val="num" w:pos="2880"/>
        </w:tabs>
        <w:ind w:left="2880" w:hanging="360"/>
      </w:pPr>
      <w:rPr>
        <w:rFonts w:ascii="Arial" w:hAnsi="Arial" w:hint="default"/>
      </w:rPr>
    </w:lvl>
    <w:lvl w:ilvl="4" w:tplc="7D767C32" w:tentative="1">
      <w:start w:val="1"/>
      <w:numFmt w:val="bullet"/>
      <w:lvlText w:val="•"/>
      <w:lvlJc w:val="left"/>
      <w:pPr>
        <w:tabs>
          <w:tab w:val="num" w:pos="3600"/>
        </w:tabs>
        <w:ind w:left="3600" w:hanging="360"/>
      </w:pPr>
      <w:rPr>
        <w:rFonts w:ascii="Arial" w:hAnsi="Arial" w:hint="default"/>
      </w:rPr>
    </w:lvl>
    <w:lvl w:ilvl="5" w:tplc="2C50497A" w:tentative="1">
      <w:start w:val="1"/>
      <w:numFmt w:val="bullet"/>
      <w:lvlText w:val="•"/>
      <w:lvlJc w:val="left"/>
      <w:pPr>
        <w:tabs>
          <w:tab w:val="num" w:pos="4320"/>
        </w:tabs>
        <w:ind w:left="4320" w:hanging="360"/>
      </w:pPr>
      <w:rPr>
        <w:rFonts w:ascii="Arial" w:hAnsi="Arial" w:hint="default"/>
      </w:rPr>
    </w:lvl>
    <w:lvl w:ilvl="6" w:tplc="2A38ECC4" w:tentative="1">
      <w:start w:val="1"/>
      <w:numFmt w:val="bullet"/>
      <w:lvlText w:val="•"/>
      <w:lvlJc w:val="left"/>
      <w:pPr>
        <w:tabs>
          <w:tab w:val="num" w:pos="5040"/>
        </w:tabs>
        <w:ind w:left="5040" w:hanging="360"/>
      </w:pPr>
      <w:rPr>
        <w:rFonts w:ascii="Arial" w:hAnsi="Arial" w:hint="default"/>
      </w:rPr>
    </w:lvl>
    <w:lvl w:ilvl="7" w:tplc="D3F04322" w:tentative="1">
      <w:start w:val="1"/>
      <w:numFmt w:val="bullet"/>
      <w:lvlText w:val="•"/>
      <w:lvlJc w:val="left"/>
      <w:pPr>
        <w:tabs>
          <w:tab w:val="num" w:pos="5760"/>
        </w:tabs>
        <w:ind w:left="5760" w:hanging="360"/>
      </w:pPr>
      <w:rPr>
        <w:rFonts w:ascii="Arial" w:hAnsi="Arial" w:hint="default"/>
      </w:rPr>
    </w:lvl>
    <w:lvl w:ilvl="8" w:tplc="058037F4"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8834469"/>
    <w:multiLevelType w:val="hybridMultilevel"/>
    <w:tmpl w:val="5CBE5B10"/>
    <w:lvl w:ilvl="0" w:tplc="63B24410">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422016A9"/>
    <w:multiLevelType w:val="hybridMultilevel"/>
    <w:tmpl w:val="BB1CBF44"/>
    <w:lvl w:ilvl="0" w:tplc="041A0001">
      <w:start w:val="1"/>
      <w:numFmt w:val="bullet"/>
      <w:lvlText w:val=""/>
      <w:lvlJc w:val="left"/>
      <w:pPr>
        <w:tabs>
          <w:tab w:val="num" w:pos="1440"/>
        </w:tabs>
        <w:ind w:left="1440" w:hanging="360"/>
      </w:pPr>
      <w:rPr>
        <w:rFonts w:ascii="Symbol" w:hAnsi="Symbol" w:hint="default"/>
        <w:sz w:val="24"/>
        <w:szCs w:val="24"/>
      </w:rPr>
    </w:lvl>
    <w:lvl w:ilvl="1" w:tplc="D6C268AA">
      <w:start w:val="1"/>
      <w:numFmt w:val="bullet"/>
      <w:lvlText w:val="-"/>
      <w:lvlJc w:val="left"/>
      <w:pPr>
        <w:tabs>
          <w:tab w:val="num" w:pos="1440"/>
        </w:tabs>
        <w:ind w:left="1440" w:hanging="360"/>
      </w:pPr>
      <w:rPr>
        <w:rFonts w:ascii="Arial" w:hAnsi="Arial" w:cs="Bodoni MT Black" w:hint="default"/>
        <w:b w:val="0"/>
        <w:i w:val="0"/>
        <w:color w:val="auto"/>
        <w:sz w:val="20"/>
        <w:szCs w:val="24"/>
      </w:rPr>
    </w:lvl>
    <w:lvl w:ilvl="2" w:tplc="041A0005">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3CC1F9B"/>
    <w:multiLevelType w:val="hybridMultilevel"/>
    <w:tmpl w:val="90D6025C"/>
    <w:lvl w:ilvl="0" w:tplc="285CBC62">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46921CEB"/>
    <w:multiLevelType w:val="hybridMultilevel"/>
    <w:tmpl w:val="2EB4029C"/>
    <w:lvl w:ilvl="0" w:tplc="693A6236">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4A821690"/>
    <w:multiLevelType w:val="hybridMultilevel"/>
    <w:tmpl w:val="B1964BA0"/>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2" w15:restartNumberingAfterBreak="0">
    <w:nsid w:val="4B1D55DB"/>
    <w:multiLevelType w:val="hybridMultilevel"/>
    <w:tmpl w:val="35460D1C"/>
    <w:lvl w:ilvl="0" w:tplc="77846356">
      <w:numFmt w:val="bullet"/>
      <w:lvlText w:val="-"/>
      <w:lvlJc w:val="left"/>
      <w:pPr>
        <w:ind w:left="1440" w:hanging="360"/>
      </w:pPr>
      <w:rPr>
        <w:rFonts w:ascii="Calibri" w:eastAsia="Times New Roman" w:hAnsi="Calibri" w:cs="Calibri"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3" w15:restartNumberingAfterBreak="0">
    <w:nsid w:val="4D6C00B0"/>
    <w:multiLevelType w:val="hybridMultilevel"/>
    <w:tmpl w:val="2CECA942"/>
    <w:lvl w:ilvl="0" w:tplc="D4AE9798">
      <w:start w:val="1"/>
      <w:numFmt w:val="bullet"/>
      <w:lvlText w:val=""/>
      <w:lvlJc w:val="left"/>
      <w:pPr>
        <w:tabs>
          <w:tab w:val="num" w:pos="720"/>
        </w:tabs>
        <w:ind w:left="720" w:hanging="360"/>
      </w:pPr>
      <w:rPr>
        <w:rFonts w:ascii="Wingdings" w:hAnsi="Wingdings" w:hint="default"/>
      </w:rPr>
    </w:lvl>
    <w:lvl w:ilvl="1" w:tplc="3A0AF018">
      <w:start w:val="1"/>
      <w:numFmt w:val="bullet"/>
      <w:lvlText w:val=""/>
      <w:lvlJc w:val="left"/>
      <w:pPr>
        <w:tabs>
          <w:tab w:val="num" w:pos="1440"/>
        </w:tabs>
        <w:ind w:left="1440" w:hanging="360"/>
      </w:pPr>
      <w:rPr>
        <w:rFonts w:ascii="Wingdings" w:hAnsi="Wingdings" w:hint="default"/>
      </w:rPr>
    </w:lvl>
    <w:lvl w:ilvl="2" w:tplc="481E312A" w:tentative="1">
      <w:start w:val="1"/>
      <w:numFmt w:val="bullet"/>
      <w:lvlText w:val=""/>
      <w:lvlJc w:val="left"/>
      <w:pPr>
        <w:tabs>
          <w:tab w:val="num" w:pos="2160"/>
        </w:tabs>
        <w:ind w:left="2160" w:hanging="360"/>
      </w:pPr>
      <w:rPr>
        <w:rFonts w:ascii="Wingdings" w:hAnsi="Wingdings" w:hint="default"/>
      </w:rPr>
    </w:lvl>
    <w:lvl w:ilvl="3" w:tplc="A9046868" w:tentative="1">
      <w:start w:val="1"/>
      <w:numFmt w:val="bullet"/>
      <w:lvlText w:val=""/>
      <w:lvlJc w:val="left"/>
      <w:pPr>
        <w:tabs>
          <w:tab w:val="num" w:pos="2880"/>
        </w:tabs>
        <w:ind w:left="2880" w:hanging="360"/>
      </w:pPr>
      <w:rPr>
        <w:rFonts w:ascii="Wingdings" w:hAnsi="Wingdings" w:hint="default"/>
      </w:rPr>
    </w:lvl>
    <w:lvl w:ilvl="4" w:tplc="D6C03A8E" w:tentative="1">
      <w:start w:val="1"/>
      <w:numFmt w:val="bullet"/>
      <w:lvlText w:val=""/>
      <w:lvlJc w:val="left"/>
      <w:pPr>
        <w:tabs>
          <w:tab w:val="num" w:pos="3600"/>
        </w:tabs>
        <w:ind w:left="3600" w:hanging="360"/>
      </w:pPr>
      <w:rPr>
        <w:rFonts w:ascii="Wingdings" w:hAnsi="Wingdings" w:hint="default"/>
      </w:rPr>
    </w:lvl>
    <w:lvl w:ilvl="5" w:tplc="B9C68018" w:tentative="1">
      <w:start w:val="1"/>
      <w:numFmt w:val="bullet"/>
      <w:lvlText w:val=""/>
      <w:lvlJc w:val="left"/>
      <w:pPr>
        <w:tabs>
          <w:tab w:val="num" w:pos="4320"/>
        </w:tabs>
        <w:ind w:left="4320" w:hanging="360"/>
      </w:pPr>
      <w:rPr>
        <w:rFonts w:ascii="Wingdings" w:hAnsi="Wingdings" w:hint="default"/>
      </w:rPr>
    </w:lvl>
    <w:lvl w:ilvl="6" w:tplc="79FA081A" w:tentative="1">
      <w:start w:val="1"/>
      <w:numFmt w:val="bullet"/>
      <w:lvlText w:val=""/>
      <w:lvlJc w:val="left"/>
      <w:pPr>
        <w:tabs>
          <w:tab w:val="num" w:pos="5040"/>
        </w:tabs>
        <w:ind w:left="5040" w:hanging="360"/>
      </w:pPr>
      <w:rPr>
        <w:rFonts w:ascii="Wingdings" w:hAnsi="Wingdings" w:hint="default"/>
      </w:rPr>
    </w:lvl>
    <w:lvl w:ilvl="7" w:tplc="49D49C0C" w:tentative="1">
      <w:start w:val="1"/>
      <w:numFmt w:val="bullet"/>
      <w:lvlText w:val=""/>
      <w:lvlJc w:val="left"/>
      <w:pPr>
        <w:tabs>
          <w:tab w:val="num" w:pos="5760"/>
        </w:tabs>
        <w:ind w:left="5760" w:hanging="360"/>
      </w:pPr>
      <w:rPr>
        <w:rFonts w:ascii="Wingdings" w:hAnsi="Wingdings" w:hint="default"/>
      </w:rPr>
    </w:lvl>
    <w:lvl w:ilvl="8" w:tplc="E2AC8074"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EE90CAF"/>
    <w:multiLevelType w:val="hybridMultilevel"/>
    <w:tmpl w:val="7B54E0CA"/>
    <w:lvl w:ilvl="0" w:tplc="63B24410">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59DE58B6"/>
    <w:multiLevelType w:val="hybridMultilevel"/>
    <w:tmpl w:val="472E18EA"/>
    <w:lvl w:ilvl="0" w:tplc="69DA5940">
      <w:numFmt w:val="bullet"/>
      <w:lvlText w:val="-"/>
      <w:lvlJc w:val="left"/>
      <w:pPr>
        <w:ind w:left="1080" w:hanging="360"/>
      </w:pPr>
      <w:rPr>
        <w:rFonts w:ascii="Calibri" w:eastAsia="Times New Roman" w:hAnsi="Calibri" w:cs="Calibri"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6" w15:restartNumberingAfterBreak="0">
    <w:nsid w:val="64A301DC"/>
    <w:multiLevelType w:val="hybridMultilevel"/>
    <w:tmpl w:val="2C9CA894"/>
    <w:lvl w:ilvl="0" w:tplc="8E7E0666">
      <w:numFmt w:val="bullet"/>
      <w:lvlText w:val="-"/>
      <w:lvlJc w:val="left"/>
      <w:pPr>
        <w:ind w:left="720" w:hanging="360"/>
      </w:pPr>
      <w:rPr>
        <w:rFonts w:ascii="Calibri" w:eastAsia="Times New Roman"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66E7742B"/>
    <w:multiLevelType w:val="hybridMultilevel"/>
    <w:tmpl w:val="EA6A6A34"/>
    <w:lvl w:ilvl="0" w:tplc="D6C268AA">
      <w:start w:val="1"/>
      <w:numFmt w:val="bullet"/>
      <w:lvlText w:val="-"/>
      <w:lvlJc w:val="left"/>
      <w:pPr>
        <w:ind w:left="643" w:hanging="360"/>
      </w:pPr>
      <w:rPr>
        <w:rFonts w:ascii="Arial" w:hAnsi="Arial" w:cs="Bodoni MT Black" w:hint="default"/>
        <w:b w:val="0"/>
        <w:i w:val="0"/>
        <w:color w:val="auto"/>
        <w:sz w:val="20"/>
        <w:szCs w:val="24"/>
      </w:rPr>
    </w:lvl>
    <w:lvl w:ilvl="1" w:tplc="041A0003" w:tentative="1">
      <w:start w:val="1"/>
      <w:numFmt w:val="bullet"/>
      <w:lvlText w:val="o"/>
      <w:lvlJc w:val="left"/>
      <w:pPr>
        <w:ind w:left="1363" w:hanging="360"/>
      </w:pPr>
      <w:rPr>
        <w:rFonts w:ascii="Courier New" w:hAnsi="Courier New" w:cs="Courier New" w:hint="default"/>
      </w:rPr>
    </w:lvl>
    <w:lvl w:ilvl="2" w:tplc="041A0005" w:tentative="1">
      <w:start w:val="1"/>
      <w:numFmt w:val="bullet"/>
      <w:lvlText w:val=""/>
      <w:lvlJc w:val="left"/>
      <w:pPr>
        <w:ind w:left="2083" w:hanging="360"/>
      </w:pPr>
      <w:rPr>
        <w:rFonts w:ascii="Wingdings" w:hAnsi="Wingdings" w:hint="default"/>
      </w:rPr>
    </w:lvl>
    <w:lvl w:ilvl="3" w:tplc="041A0001" w:tentative="1">
      <w:start w:val="1"/>
      <w:numFmt w:val="bullet"/>
      <w:lvlText w:val=""/>
      <w:lvlJc w:val="left"/>
      <w:pPr>
        <w:ind w:left="2803" w:hanging="360"/>
      </w:pPr>
      <w:rPr>
        <w:rFonts w:ascii="Symbol" w:hAnsi="Symbol" w:hint="default"/>
      </w:rPr>
    </w:lvl>
    <w:lvl w:ilvl="4" w:tplc="041A0003" w:tentative="1">
      <w:start w:val="1"/>
      <w:numFmt w:val="bullet"/>
      <w:lvlText w:val="o"/>
      <w:lvlJc w:val="left"/>
      <w:pPr>
        <w:ind w:left="3523" w:hanging="360"/>
      </w:pPr>
      <w:rPr>
        <w:rFonts w:ascii="Courier New" w:hAnsi="Courier New" w:cs="Courier New" w:hint="default"/>
      </w:rPr>
    </w:lvl>
    <w:lvl w:ilvl="5" w:tplc="041A0005" w:tentative="1">
      <w:start w:val="1"/>
      <w:numFmt w:val="bullet"/>
      <w:lvlText w:val=""/>
      <w:lvlJc w:val="left"/>
      <w:pPr>
        <w:ind w:left="4243" w:hanging="360"/>
      </w:pPr>
      <w:rPr>
        <w:rFonts w:ascii="Wingdings" w:hAnsi="Wingdings" w:hint="default"/>
      </w:rPr>
    </w:lvl>
    <w:lvl w:ilvl="6" w:tplc="041A0001" w:tentative="1">
      <w:start w:val="1"/>
      <w:numFmt w:val="bullet"/>
      <w:lvlText w:val=""/>
      <w:lvlJc w:val="left"/>
      <w:pPr>
        <w:ind w:left="4963" w:hanging="360"/>
      </w:pPr>
      <w:rPr>
        <w:rFonts w:ascii="Symbol" w:hAnsi="Symbol" w:hint="default"/>
      </w:rPr>
    </w:lvl>
    <w:lvl w:ilvl="7" w:tplc="041A0003" w:tentative="1">
      <w:start w:val="1"/>
      <w:numFmt w:val="bullet"/>
      <w:lvlText w:val="o"/>
      <w:lvlJc w:val="left"/>
      <w:pPr>
        <w:ind w:left="5683" w:hanging="360"/>
      </w:pPr>
      <w:rPr>
        <w:rFonts w:ascii="Courier New" w:hAnsi="Courier New" w:cs="Courier New" w:hint="default"/>
      </w:rPr>
    </w:lvl>
    <w:lvl w:ilvl="8" w:tplc="041A0005" w:tentative="1">
      <w:start w:val="1"/>
      <w:numFmt w:val="bullet"/>
      <w:lvlText w:val=""/>
      <w:lvlJc w:val="left"/>
      <w:pPr>
        <w:ind w:left="6403" w:hanging="360"/>
      </w:pPr>
      <w:rPr>
        <w:rFonts w:ascii="Wingdings" w:hAnsi="Wingdings" w:hint="default"/>
      </w:rPr>
    </w:lvl>
  </w:abstractNum>
  <w:abstractNum w:abstractNumId="18" w15:restartNumberingAfterBreak="0">
    <w:nsid w:val="77B070B8"/>
    <w:multiLevelType w:val="hybridMultilevel"/>
    <w:tmpl w:val="2EBE879E"/>
    <w:lvl w:ilvl="0" w:tplc="E04C526A">
      <w:numFmt w:val="bullet"/>
      <w:lvlText w:val="-"/>
      <w:lvlJc w:val="left"/>
      <w:pPr>
        <w:ind w:left="786" w:hanging="360"/>
      </w:pPr>
      <w:rPr>
        <w:rFonts w:ascii="Calibri" w:eastAsiaTheme="minorHAnsi" w:hAnsi="Calibri" w:cstheme="minorHAnsi" w:hint="default"/>
      </w:rPr>
    </w:lvl>
    <w:lvl w:ilvl="1" w:tplc="041A0003" w:tentative="1">
      <w:start w:val="1"/>
      <w:numFmt w:val="bullet"/>
      <w:lvlText w:val="o"/>
      <w:lvlJc w:val="left"/>
      <w:pPr>
        <w:ind w:left="1506" w:hanging="360"/>
      </w:pPr>
      <w:rPr>
        <w:rFonts w:ascii="Courier New" w:hAnsi="Courier New" w:cs="Courier New" w:hint="default"/>
      </w:rPr>
    </w:lvl>
    <w:lvl w:ilvl="2" w:tplc="041A0005" w:tentative="1">
      <w:start w:val="1"/>
      <w:numFmt w:val="bullet"/>
      <w:lvlText w:val=""/>
      <w:lvlJc w:val="left"/>
      <w:pPr>
        <w:ind w:left="2226" w:hanging="360"/>
      </w:pPr>
      <w:rPr>
        <w:rFonts w:ascii="Wingdings" w:hAnsi="Wingdings" w:hint="default"/>
      </w:rPr>
    </w:lvl>
    <w:lvl w:ilvl="3" w:tplc="041A0001" w:tentative="1">
      <w:start w:val="1"/>
      <w:numFmt w:val="bullet"/>
      <w:lvlText w:val=""/>
      <w:lvlJc w:val="left"/>
      <w:pPr>
        <w:ind w:left="2946" w:hanging="360"/>
      </w:pPr>
      <w:rPr>
        <w:rFonts w:ascii="Symbol" w:hAnsi="Symbol" w:hint="default"/>
      </w:rPr>
    </w:lvl>
    <w:lvl w:ilvl="4" w:tplc="041A0003" w:tentative="1">
      <w:start w:val="1"/>
      <w:numFmt w:val="bullet"/>
      <w:lvlText w:val="o"/>
      <w:lvlJc w:val="left"/>
      <w:pPr>
        <w:ind w:left="3666" w:hanging="360"/>
      </w:pPr>
      <w:rPr>
        <w:rFonts w:ascii="Courier New" w:hAnsi="Courier New" w:cs="Courier New" w:hint="default"/>
      </w:rPr>
    </w:lvl>
    <w:lvl w:ilvl="5" w:tplc="041A0005" w:tentative="1">
      <w:start w:val="1"/>
      <w:numFmt w:val="bullet"/>
      <w:lvlText w:val=""/>
      <w:lvlJc w:val="left"/>
      <w:pPr>
        <w:ind w:left="4386" w:hanging="360"/>
      </w:pPr>
      <w:rPr>
        <w:rFonts w:ascii="Wingdings" w:hAnsi="Wingdings" w:hint="default"/>
      </w:rPr>
    </w:lvl>
    <w:lvl w:ilvl="6" w:tplc="041A0001" w:tentative="1">
      <w:start w:val="1"/>
      <w:numFmt w:val="bullet"/>
      <w:lvlText w:val=""/>
      <w:lvlJc w:val="left"/>
      <w:pPr>
        <w:ind w:left="5106" w:hanging="360"/>
      </w:pPr>
      <w:rPr>
        <w:rFonts w:ascii="Symbol" w:hAnsi="Symbol" w:hint="default"/>
      </w:rPr>
    </w:lvl>
    <w:lvl w:ilvl="7" w:tplc="041A0003" w:tentative="1">
      <w:start w:val="1"/>
      <w:numFmt w:val="bullet"/>
      <w:lvlText w:val="o"/>
      <w:lvlJc w:val="left"/>
      <w:pPr>
        <w:ind w:left="5826" w:hanging="360"/>
      </w:pPr>
      <w:rPr>
        <w:rFonts w:ascii="Courier New" w:hAnsi="Courier New" w:cs="Courier New" w:hint="default"/>
      </w:rPr>
    </w:lvl>
    <w:lvl w:ilvl="8" w:tplc="041A0005" w:tentative="1">
      <w:start w:val="1"/>
      <w:numFmt w:val="bullet"/>
      <w:lvlText w:val=""/>
      <w:lvlJc w:val="left"/>
      <w:pPr>
        <w:ind w:left="6546" w:hanging="360"/>
      </w:pPr>
      <w:rPr>
        <w:rFonts w:ascii="Wingdings" w:hAnsi="Wingdings" w:hint="default"/>
      </w:rPr>
    </w:lvl>
  </w:abstractNum>
  <w:abstractNum w:abstractNumId="19" w15:restartNumberingAfterBreak="0">
    <w:nsid w:val="7F4C6D7C"/>
    <w:multiLevelType w:val="hybridMultilevel"/>
    <w:tmpl w:val="F626AB22"/>
    <w:lvl w:ilvl="0" w:tplc="63B24410">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6"/>
  </w:num>
  <w:num w:numId="2">
    <w:abstractNumId w:val="13"/>
  </w:num>
  <w:num w:numId="3">
    <w:abstractNumId w:val="3"/>
  </w:num>
  <w:num w:numId="4">
    <w:abstractNumId w:val="1"/>
  </w:num>
  <w:num w:numId="5">
    <w:abstractNumId w:val="7"/>
  </w:num>
  <w:num w:numId="6">
    <w:abstractNumId w:val="0"/>
  </w:num>
  <w:num w:numId="7">
    <w:abstractNumId w:val="19"/>
  </w:num>
  <w:num w:numId="8">
    <w:abstractNumId w:val="8"/>
  </w:num>
  <w:num w:numId="9">
    <w:abstractNumId w:val="2"/>
  </w:num>
  <w:num w:numId="10">
    <w:abstractNumId w:val="11"/>
  </w:num>
  <w:num w:numId="11">
    <w:abstractNumId w:val="16"/>
  </w:num>
  <w:num w:numId="12">
    <w:abstractNumId w:val="14"/>
  </w:num>
  <w:num w:numId="13">
    <w:abstractNumId w:val="17"/>
  </w:num>
  <w:num w:numId="14">
    <w:abstractNumId w:val="18"/>
  </w:num>
  <w:num w:numId="15">
    <w:abstractNumId w:val="4"/>
  </w:num>
  <w:num w:numId="16">
    <w:abstractNumId w:val="15"/>
  </w:num>
  <w:num w:numId="17">
    <w:abstractNumId w:val="12"/>
  </w:num>
  <w:num w:numId="18">
    <w:abstractNumId w:val="9"/>
  </w:num>
  <w:num w:numId="19">
    <w:abstractNumId w:val="10"/>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222A"/>
    <w:rsid w:val="000008C2"/>
    <w:rsid w:val="00005E96"/>
    <w:rsid w:val="00006EF5"/>
    <w:rsid w:val="00011681"/>
    <w:rsid w:val="0001281B"/>
    <w:rsid w:val="0001297D"/>
    <w:rsid w:val="00013CB8"/>
    <w:rsid w:val="0001410A"/>
    <w:rsid w:val="000149E9"/>
    <w:rsid w:val="00015A3C"/>
    <w:rsid w:val="00022C04"/>
    <w:rsid w:val="00022EB0"/>
    <w:rsid w:val="000241D5"/>
    <w:rsid w:val="000244BE"/>
    <w:rsid w:val="000250FE"/>
    <w:rsid w:val="00031476"/>
    <w:rsid w:val="00031979"/>
    <w:rsid w:val="00035E8F"/>
    <w:rsid w:val="00035EEC"/>
    <w:rsid w:val="00037EC8"/>
    <w:rsid w:val="00041197"/>
    <w:rsid w:val="000411AD"/>
    <w:rsid w:val="00041D20"/>
    <w:rsid w:val="00042D33"/>
    <w:rsid w:val="0004513C"/>
    <w:rsid w:val="000454B4"/>
    <w:rsid w:val="00045721"/>
    <w:rsid w:val="00045CCC"/>
    <w:rsid w:val="00047F32"/>
    <w:rsid w:val="0005277D"/>
    <w:rsid w:val="000562A8"/>
    <w:rsid w:val="00057C14"/>
    <w:rsid w:val="000617E0"/>
    <w:rsid w:val="00062A07"/>
    <w:rsid w:val="00062E57"/>
    <w:rsid w:val="00067D16"/>
    <w:rsid w:val="00072C81"/>
    <w:rsid w:val="00073263"/>
    <w:rsid w:val="000737D9"/>
    <w:rsid w:val="000743E9"/>
    <w:rsid w:val="00075515"/>
    <w:rsid w:val="00075D3D"/>
    <w:rsid w:val="000800B5"/>
    <w:rsid w:val="00081940"/>
    <w:rsid w:val="00085E8C"/>
    <w:rsid w:val="00090260"/>
    <w:rsid w:val="00090F12"/>
    <w:rsid w:val="00092DFD"/>
    <w:rsid w:val="00093893"/>
    <w:rsid w:val="00093FFC"/>
    <w:rsid w:val="00094C98"/>
    <w:rsid w:val="000A14D2"/>
    <w:rsid w:val="000A211F"/>
    <w:rsid w:val="000A516A"/>
    <w:rsid w:val="000A523F"/>
    <w:rsid w:val="000A6D8E"/>
    <w:rsid w:val="000A76E4"/>
    <w:rsid w:val="000A7CB4"/>
    <w:rsid w:val="000A7CE2"/>
    <w:rsid w:val="000B0090"/>
    <w:rsid w:val="000B3FE6"/>
    <w:rsid w:val="000B56CC"/>
    <w:rsid w:val="000B7946"/>
    <w:rsid w:val="000B7E5F"/>
    <w:rsid w:val="000C2B06"/>
    <w:rsid w:val="000C3336"/>
    <w:rsid w:val="000C63F0"/>
    <w:rsid w:val="000C7868"/>
    <w:rsid w:val="000D555D"/>
    <w:rsid w:val="000D7ADE"/>
    <w:rsid w:val="000E13CC"/>
    <w:rsid w:val="000E3A01"/>
    <w:rsid w:val="000E4ABB"/>
    <w:rsid w:val="000E7285"/>
    <w:rsid w:val="000F04E1"/>
    <w:rsid w:val="000F09ED"/>
    <w:rsid w:val="000F54DA"/>
    <w:rsid w:val="000F59D5"/>
    <w:rsid w:val="000F670B"/>
    <w:rsid w:val="000F7480"/>
    <w:rsid w:val="001002A2"/>
    <w:rsid w:val="0010063A"/>
    <w:rsid w:val="001014AC"/>
    <w:rsid w:val="00102A38"/>
    <w:rsid w:val="00105C1F"/>
    <w:rsid w:val="001101C0"/>
    <w:rsid w:val="00111FB4"/>
    <w:rsid w:val="0011250C"/>
    <w:rsid w:val="0011293B"/>
    <w:rsid w:val="00113256"/>
    <w:rsid w:val="00122A35"/>
    <w:rsid w:val="001230A2"/>
    <w:rsid w:val="00124861"/>
    <w:rsid w:val="0012542F"/>
    <w:rsid w:val="001312B5"/>
    <w:rsid w:val="001314B6"/>
    <w:rsid w:val="001320B3"/>
    <w:rsid w:val="001320FF"/>
    <w:rsid w:val="00132877"/>
    <w:rsid w:val="0013477D"/>
    <w:rsid w:val="0013644E"/>
    <w:rsid w:val="00140D1A"/>
    <w:rsid w:val="001432B3"/>
    <w:rsid w:val="0014476E"/>
    <w:rsid w:val="0014550E"/>
    <w:rsid w:val="00147A3B"/>
    <w:rsid w:val="00147BED"/>
    <w:rsid w:val="00152275"/>
    <w:rsid w:val="001526BF"/>
    <w:rsid w:val="00153A85"/>
    <w:rsid w:val="00154A76"/>
    <w:rsid w:val="001564EC"/>
    <w:rsid w:val="00156F4B"/>
    <w:rsid w:val="00157AA7"/>
    <w:rsid w:val="001607DE"/>
    <w:rsid w:val="001637D9"/>
    <w:rsid w:val="00165954"/>
    <w:rsid w:val="00165E58"/>
    <w:rsid w:val="00166F19"/>
    <w:rsid w:val="00171348"/>
    <w:rsid w:val="00171573"/>
    <w:rsid w:val="001718A7"/>
    <w:rsid w:val="00171E49"/>
    <w:rsid w:val="001721EA"/>
    <w:rsid w:val="00172E99"/>
    <w:rsid w:val="00174B17"/>
    <w:rsid w:val="00174EDE"/>
    <w:rsid w:val="001755C7"/>
    <w:rsid w:val="001756A5"/>
    <w:rsid w:val="001771E0"/>
    <w:rsid w:val="00177EA8"/>
    <w:rsid w:val="00180B86"/>
    <w:rsid w:val="00182752"/>
    <w:rsid w:val="0018377C"/>
    <w:rsid w:val="00184C66"/>
    <w:rsid w:val="00187D89"/>
    <w:rsid w:val="00192218"/>
    <w:rsid w:val="00192451"/>
    <w:rsid w:val="00192762"/>
    <w:rsid w:val="00192D81"/>
    <w:rsid w:val="0019558E"/>
    <w:rsid w:val="001966AA"/>
    <w:rsid w:val="001A05CD"/>
    <w:rsid w:val="001A0A37"/>
    <w:rsid w:val="001A2E50"/>
    <w:rsid w:val="001A41FE"/>
    <w:rsid w:val="001A4847"/>
    <w:rsid w:val="001A60B3"/>
    <w:rsid w:val="001A621E"/>
    <w:rsid w:val="001B0533"/>
    <w:rsid w:val="001B0B2A"/>
    <w:rsid w:val="001B0E3E"/>
    <w:rsid w:val="001B1A65"/>
    <w:rsid w:val="001B3C94"/>
    <w:rsid w:val="001B641B"/>
    <w:rsid w:val="001C1FDF"/>
    <w:rsid w:val="001C3F5F"/>
    <w:rsid w:val="001C559B"/>
    <w:rsid w:val="001C5C3D"/>
    <w:rsid w:val="001C6D63"/>
    <w:rsid w:val="001C75C2"/>
    <w:rsid w:val="001C7CA1"/>
    <w:rsid w:val="001D2396"/>
    <w:rsid w:val="001D478E"/>
    <w:rsid w:val="001D607A"/>
    <w:rsid w:val="001D613D"/>
    <w:rsid w:val="001D736C"/>
    <w:rsid w:val="001E06D4"/>
    <w:rsid w:val="001E329C"/>
    <w:rsid w:val="001F19FB"/>
    <w:rsid w:val="001F28BE"/>
    <w:rsid w:val="001F5041"/>
    <w:rsid w:val="001F5378"/>
    <w:rsid w:val="00204142"/>
    <w:rsid w:val="00204945"/>
    <w:rsid w:val="00205E14"/>
    <w:rsid w:val="00207E12"/>
    <w:rsid w:val="002105C2"/>
    <w:rsid w:val="002105E8"/>
    <w:rsid w:val="00210D54"/>
    <w:rsid w:val="0021296D"/>
    <w:rsid w:val="00212DE6"/>
    <w:rsid w:val="002138C6"/>
    <w:rsid w:val="002139EA"/>
    <w:rsid w:val="00214829"/>
    <w:rsid w:val="00214D08"/>
    <w:rsid w:val="002211A4"/>
    <w:rsid w:val="00221BB0"/>
    <w:rsid w:val="00221E48"/>
    <w:rsid w:val="002237F3"/>
    <w:rsid w:val="00223DA7"/>
    <w:rsid w:val="002260BD"/>
    <w:rsid w:val="00226C6E"/>
    <w:rsid w:val="00232DB9"/>
    <w:rsid w:val="00234396"/>
    <w:rsid w:val="00236FE9"/>
    <w:rsid w:val="002417E1"/>
    <w:rsid w:val="00244B32"/>
    <w:rsid w:val="00244FF9"/>
    <w:rsid w:val="00245666"/>
    <w:rsid w:val="00246384"/>
    <w:rsid w:val="0024653F"/>
    <w:rsid w:val="00253C97"/>
    <w:rsid w:val="002563D1"/>
    <w:rsid w:val="00257EE2"/>
    <w:rsid w:val="00264224"/>
    <w:rsid w:val="0026752C"/>
    <w:rsid w:val="002714FC"/>
    <w:rsid w:val="00272CA5"/>
    <w:rsid w:val="00273E6D"/>
    <w:rsid w:val="002744E8"/>
    <w:rsid w:val="002754A5"/>
    <w:rsid w:val="00275D45"/>
    <w:rsid w:val="0027798B"/>
    <w:rsid w:val="00277B1C"/>
    <w:rsid w:val="00280418"/>
    <w:rsid w:val="00280FD9"/>
    <w:rsid w:val="00282E66"/>
    <w:rsid w:val="002834B1"/>
    <w:rsid w:val="00285B02"/>
    <w:rsid w:val="00285B71"/>
    <w:rsid w:val="00290697"/>
    <w:rsid w:val="002910FC"/>
    <w:rsid w:val="002915DB"/>
    <w:rsid w:val="00292FAF"/>
    <w:rsid w:val="002969B8"/>
    <w:rsid w:val="002A0507"/>
    <w:rsid w:val="002A10E9"/>
    <w:rsid w:val="002A38D0"/>
    <w:rsid w:val="002A599E"/>
    <w:rsid w:val="002B1A0D"/>
    <w:rsid w:val="002B3CC1"/>
    <w:rsid w:val="002B45D9"/>
    <w:rsid w:val="002B4AC1"/>
    <w:rsid w:val="002B6016"/>
    <w:rsid w:val="002B7D68"/>
    <w:rsid w:val="002C11A1"/>
    <w:rsid w:val="002C3634"/>
    <w:rsid w:val="002C48CB"/>
    <w:rsid w:val="002C4FED"/>
    <w:rsid w:val="002C547A"/>
    <w:rsid w:val="002C64CB"/>
    <w:rsid w:val="002D1C76"/>
    <w:rsid w:val="002D23C5"/>
    <w:rsid w:val="002D3BA1"/>
    <w:rsid w:val="002D5848"/>
    <w:rsid w:val="002D5C34"/>
    <w:rsid w:val="002E121E"/>
    <w:rsid w:val="002E269E"/>
    <w:rsid w:val="002E6DE1"/>
    <w:rsid w:val="002E7EA9"/>
    <w:rsid w:val="002F0A29"/>
    <w:rsid w:val="002F28C8"/>
    <w:rsid w:val="002F4419"/>
    <w:rsid w:val="002F52CD"/>
    <w:rsid w:val="002F66C5"/>
    <w:rsid w:val="0030186D"/>
    <w:rsid w:val="0030270F"/>
    <w:rsid w:val="00304DC3"/>
    <w:rsid w:val="00304FB3"/>
    <w:rsid w:val="0030575E"/>
    <w:rsid w:val="00306D3A"/>
    <w:rsid w:val="00306F85"/>
    <w:rsid w:val="00310146"/>
    <w:rsid w:val="00310F96"/>
    <w:rsid w:val="003132C3"/>
    <w:rsid w:val="00317B07"/>
    <w:rsid w:val="00317B7A"/>
    <w:rsid w:val="00317F7D"/>
    <w:rsid w:val="00320B48"/>
    <w:rsid w:val="003213D1"/>
    <w:rsid w:val="003222CF"/>
    <w:rsid w:val="003234B8"/>
    <w:rsid w:val="00324025"/>
    <w:rsid w:val="00324D27"/>
    <w:rsid w:val="00331DF5"/>
    <w:rsid w:val="0033403B"/>
    <w:rsid w:val="003358AA"/>
    <w:rsid w:val="003378CD"/>
    <w:rsid w:val="003439D3"/>
    <w:rsid w:val="00344F38"/>
    <w:rsid w:val="00346285"/>
    <w:rsid w:val="00347BB2"/>
    <w:rsid w:val="003513FA"/>
    <w:rsid w:val="003516A1"/>
    <w:rsid w:val="0035238F"/>
    <w:rsid w:val="0035268A"/>
    <w:rsid w:val="003571EC"/>
    <w:rsid w:val="003603A1"/>
    <w:rsid w:val="003661CA"/>
    <w:rsid w:val="00366BCB"/>
    <w:rsid w:val="00366CEB"/>
    <w:rsid w:val="00370E5A"/>
    <w:rsid w:val="00371E4D"/>
    <w:rsid w:val="003727B4"/>
    <w:rsid w:val="00373D3F"/>
    <w:rsid w:val="00374300"/>
    <w:rsid w:val="00375495"/>
    <w:rsid w:val="0037736C"/>
    <w:rsid w:val="0038011D"/>
    <w:rsid w:val="003869DA"/>
    <w:rsid w:val="00386C27"/>
    <w:rsid w:val="00392C03"/>
    <w:rsid w:val="00393647"/>
    <w:rsid w:val="003979AE"/>
    <w:rsid w:val="003A36A8"/>
    <w:rsid w:val="003A411B"/>
    <w:rsid w:val="003B25C7"/>
    <w:rsid w:val="003C5F0E"/>
    <w:rsid w:val="003C7367"/>
    <w:rsid w:val="003D010A"/>
    <w:rsid w:val="003D01A5"/>
    <w:rsid w:val="003D0E4F"/>
    <w:rsid w:val="003D407D"/>
    <w:rsid w:val="003D57BB"/>
    <w:rsid w:val="003D583C"/>
    <w:rsid w:val="003D5E90"/>
    <w:rsid w:val="003D636C"/>
    <w:rsid w:val="003E2CC0"/>
    <w:rsid w:val="003E2CF9"/>
    <w:rsid w:val="003E303E"/>
    <w:rsid w:val="003E3F30"/>
    <w:rsid w:val="003E432B"/>
    <w:rsid w:val="003E5F5C"/>
    <w:rsid w:val="003F0B76"/>
    <w:rsid w:val="003F2303"/>
    <w:rsid w:val="003F5B42"/>
    <w:rsid w:val="003F679B"/>
    <w:rsid w:val="004006DC"/>
    <w:rsid w:val="00400E1E"/>
    <w:rsid w:val="00402103"/>
    <w:rsid w:val="00402611"/>
    <w:rsid w:val="004037B0"/>
    <w:rsid w:val="004065CD"/>
    <w:rsid w:val="004066BD"/>
    <w:rsid w:val="00410152"/>
    <w:rsid w:val="0041096C"/>
    <w:rsid w:val="0041359D"/>
    <w:rsid w:val="00414463"/>
    <w:rsid w:val="00414491"/>
    <w:rsid w:val="00416526"/>
    <w:rsid w:val="00416F51"/>
    <w:rsid w:val="00417B56"/>
    <w:rsid w:val="00420392"/>
    <w:rsid w:val="0042106D"/>
    <w:rsid w:val="00422588"/>
    <w:rsid w:val="00422C5C"/>
    <w:rsid w:val="00425395"/>
    <w:rsid w:val="00425C36"/>
    <w:rsid w:val="00426055"/>
    <w:rsid w:val="00427B00"/>
    <w:rsid w:val="00427B54"/>
    <w:rsid w:val="00431335"/>
    <w:rsid w:val="004317DB"/>
    <w:rsid w:val="004343FA"/>
    <w:rsid w:val="004405CD"/>
    <w:rsid w:val="004420A9"/>
    <w:rsid w:val="0044218B"/>
    <w:rsid w:val="00442490"/>
    <w:rsid w:val="00443722"/>
    <w:rsid w:val="00443A7D"/>
    <w:rsid w:val="004447FC"/>
    <w:rsid w:val="0044748D"/>
    <w:rsid w:val="004475EE"/>
    <w:rsid w:val="00451544"/>
    <w:rsid w:val="0045213B"/>
    <w:rsid w:val="004521D8"/>
    <w:rsid w:val="00452EC2"/>
    <w:rsid w:val="00452F29"/>
    <w:rsid w:val="00454956"/>
    <w:rsid w:val="004566F4"/>
    <w:rsid w:val="004567B5"/>
    <w:rsid w:val="00460613"/>
    <w:rsid w:val="00461388"/>
    <w:rsid w:val="00461505"/>
    <w:rsid w:val="00461D3C"/>
    <w:rsid w:val="004643C9"/>
    <w:rsid w:val="00467093"/>
    <w:rsid w:val="004671B3"/>
    <w:rsid w:val="00470278"/>
    <w:rsid w:val="00471ABD"/>
    <w:rsid w:val="00472355"/>
    <w:rsid w:val="0047257D"/>
    <w:rsid w:val="00473488"/>
    <w:rsid w:val="0047434B"/>
    <w:rsid w:val="00477432"/>
    <w:rsid w:val="00481DEF"/>
    <w:rsid w:val="0048362C"/>
    <w:rsid w:val="004861F7"/>
    <w:rsid w:val="0048635F"/>
    <w:rsid w:val="00486FCF"/>
    <w:rsid w:val="00494386"/>
    <w:rsid w:val="00494449"/>
    <w:rsid w:val="004A2189"/>
    <w:rsid w:val="004A5658"/>
    <w:rsid w:val="004B02BC"/>
    <w:rsid w:val="004B339A"/>
    <w:rsid w:val="004C00E3"/>
    <w:rsid w:val="004C0C3A"/>
    <w:rsid w:val="004C4CAA"/>
    <w:rsid w:val="004C5C55"/>
    <w:rsid w:val="004C6F63"/>
    <w:rsid w:val="004D585C"/>
    <w:rsid w:val="004E082D"/>
    <w:rsid w:val="004E0E04"/>
    <w:rsid w:val="004E1E60"/>
    <w:rsid w:val="004E4CD5"/>
    <w:rsid w:val="004E588A"/>
    <w:rsid w:val="004F3415"/>
    <w:rsid w:val="004F726B"/>
    <w:rsid w:val="005014DC"/>
    <w:rsid w:val="00502A0A"/>
    <w:rsid w:val="00503167"/>
    <w:rsid w:val="0050347C"/>
    <w:rsid w:val="00504C3A"/>
    <w:rsid w:val="00505702"/>
    <w:rsid w:val="00514881"/>
    <w:rsid w:val="005201C6"/>
    <w:rsid w:val="00520922"/>
    <w:rsid w:val="00520D37"/>
    <w:rsid w:val="005236B6"/>
    <w:rsid w:val="00525A6E"/>
    <w:rsid w:val="00527F1B"/>
    <w:rsid w:val="00530BDD"/>
    <w:rsid w:val="00531434"/>
    <w:rsid w:val="00531C98"/>
    <w:rsid w:val="005320C3"/>
    <w:rsid w:val="00532BBD"/>
    <w:rsid w:val="005371EE"/>
    <w:rsid w:val="00544A1D"/>
    <w:rsid w:val="00551AFB"/>
    <w:rsid w:val="005522A6"/>
    <w:rsid w:val="0055291F"/>
    <w:rsid w:val="00555F2D"/>
    <w:rsid w:val="0056041B"/>
    <w:rsid w:val="005609E5"/>
    <w:rsid w:val="00562C3A"/>
    <w:rsid w:val="005654E7"/>
    <w:rsid w:val="00572377"/>
    <w:rsid w:val="005744F8"/>
    <w:rsid w:val="00576D51"/>
    <w:rsid w:val="00582992"/>
    <w:rsid w:val="00582BB8"/>
    <w:rsid w:val="0058795F"/>
    <w:rsid w:val="00587994"/>
    <w:rsid w:val="0059334C"/>
    <w:rsid w:val="00596884"/>
    <w:rsid w:val="00597DCD"/>
    <w:rsid w:val="005A01C0"/>
    <w:rsid w:val="005A184D"/>
    <w:rsid w:val="005A190F"/>
    <w:rsid w:val="005A35C6"/>
    <w:rsid w:val="005A6619"/>
    <w:rsid w:val="005A6D6B"/>
    <w:rsid w:val="005A7C68"/>
    <w:rsid w:val="005B58C5"/>
    <w:rsid w:val="005B5C42"/>
    <w:rsid w:val="005B7AB5"/>
    <w:rsid w:val="005C047B"/>
    <w:rsid w:val="005C0CE8"/>
    <w:rsid w:val="005C1D07"/>
    <w:rsid w:val="005C324A"/>
    <w:rsid w:val="005C6BB4"/>
    <w:rsid w:val="005D019F"/>
    <w:rsid w:val="005D4178"/>
    <w:rsid w:val="005D453B"/>
    <w:rsid w:val="005D4C16"/>
    <w:rsid w:val="005D559F"/>
    <w:rsid w:val="005D5AFF"/>
    <w:rsid w:val="005D5D73"/>
    <w:rsid w:val="005D71A4"/>
    <w:rsid w:val="005E0386"/>
    <w:rsid w:val="005E236B"/>
    <w:rsid w:val="005E2D42"/>
    <w:rsid w:val="005E2E17"/>
    <w:rsid w:val="005E471B"/>
    <w:rsid w:val="005E4AC8"/>
    <w:rsid w:val="005E5574"/>
    <w:rsid w:val="005E6C3C"/>
    <w:rsid w:val="005E7AFD"/>
    <w:rsid w:val="005F0AE9"/>
    <w:rsid w:val="005F39E1"/>
    <w:rsid w:val="005F627E"/>
    <w:rsid w:val="005F6F84"/>
    <w:rsid w:val="005F7270"/>
    <w:rsid w:val="005F78AB"/>
    <w:rsid w:val="006003B1"/>
    <w:rsid w:val="00601BA3"/>
    <w:rsid w:val="00602844"/>
    <w:rsid w:val="00603925"/>
    <w:rsid w:val="00606B35"/>
    <w:rsid w:val="006071E3"/>
    <w:rsid w:val="00607A0A"/>
    <w:rsid w:val="00610C8C"/>
    <w:rsid w:val="00611CCD"/>
    <w:rsid w:val="00613FE4"/>
    <w:rsid w:val="00615087"/>
    <w:rsid w:val="00620373"/>
    <w:rsid w:val="00621CA0"/>
    <w:rsid w:val="006220C1"/>
    <w:rsid w:val="006220D7"/>
    <w:rsid w:val="00623C82"/>
    <w:rsid w:val="00624312"/>
    <w:rsid w:val="00626449"/>
    <w:rsid w:val="00627E2C"/>
    <w:rsid w:val="0063028C"/>
    <w:rsid w:val="00630BEF"/>
    <w:rsid w:val="00631E61"/>
    <w:rsid w:val="00634A7C"/>
    <w:rsid w:val="00644808"/>
    <w:rsid w:val="00644E14"/>
    <w:rsid w:val="00645528"/>
    <w:rsid w:val="00645771"/>
    <w:rsid w:val="00647585"/>
    <w:rsid w:val="006476A4"/>
    <w:rsid w:val="006549BA"/>
    <w:rsid w:val="0065565B"/>
    <w:rsid w:val="006561B5"/>
    <w:rsid w:val="0065688C"/>
    <w:rsid w:val="006571CF"/>
    <w:rsid w:val="006571D0"/>
    <w:rsid w:val="006574F4"/>
    <w:rsid w:val="00662B68"/>
    <w:rsid w:val="00662C57"/>
    <w:rsid w:val="00665728"/>
    <w:rsid w:val="006672AE"/>
    <w:rsid w:val="00667312"/>
    <w:rsid w:val="00671E0F"/>
    <w:rsid w:val="006738F5"/>
    <w:rsid w:val="00676976"/>
    <w:rsid w:val="00677EA0"/>
    <w:rsid w:val="006827A2"/>
    <w:rsid w:val="006847BD"/>
    <w:rsid w:val="00685E73"/>
    <w:rsid w:val="00687D1A"/>
    <w:rsid w:val="00690BAA"/>
    <w:rsid w:val="00691C7C"/>
    <w:rsid w:val="0069232C"/>
    <w:rsid w:val="00692862"/>
    <w:rsid w:val="0069544A"/>
    <w:rsid w:val="00695460"/>
    <w:rsid w:val="00696B13"/>
    <w:rsid w:val="00696C5A"/>
    <w:rsid w:val="00696D5B"/>
    <w:rsid w:val="00696E5A"/>
    <w:rsid w:val="006A02AF"/>
    <w:rsid w:val="006A02FD"/>
    <w:rsid w:val="006A1C18"/>
    <w:rsid w:val="006A2C02"/>
    <w:rsid w:val="006A387A"/>
    <w:rsid w:val="006A42A6"/>
    <w:rsid w:val="006A43DB"/>
    <w:rsid w:val="006A55DE"/>
    <w:rsid w:val="006B08BC"/>
    <w:rsid w:val="006B10CF"/>
    <w:rsid w:val="006B126F"/>
    <w:rsid w:val="006B1B39"/>
    <w:rsid w:val="006B1BE5"/>
    <w:rsid w:val="006B2629"/>
    <w:rsid w:val="006B2826"/>
    <w:rsid w:val="006B3F2F"/>
    <w:rsid w:val="006B44F9"/>
    <w:rsid w:val="006B531C"/>
    <w:rsid w:val="006B7572"/>
    <w:rsid w:val="006C6102"/>
    <w:rsid w:val="006C6A89"/>
    <w:rsid w:val="006D614F"/>
    <w:rsid w:val="006D63F0"/>
    <w:rsid w:val="006E3E83"/>
    <w:rsid w:val="006E54A3"/>
    <w:rsid w:val="006F26D9"/>
    <w:rsid w:val="006F2B22"/>
    <w:rsid w:val="006F535B"/>
    <w:rsid w:val="007004E5"/>
    <w:rsid w:val="00700998"/>
    <w:rsid w:val="00700ED8"/>
    <w:rsid w:val="00702B3D"/>
    <w:rsid w:val="00702E48"/>
    <w:rsid w:val="00704716"/>
    <w:rsid w:val="00705185"/>
    <w:rsid w:val="00707E68"/>
    <w:rsid w:val="0071073D"/>
    <w:rsid w:val="00710AC0"/>
    <w:rsid w:val="00710AE5"/>
    <w:rsid w:val="00711902"/>
    <w:rsid w:val="00714F1D"/>
    <w:rsid w:val="007162FD"/>
    <w:rsid w:val="00720F3F"/>
    <w:rsid w:val="007217DE"/>
    <w:rsid w:val="007221ED"/>
    <w:rsid w:val="00724057"/>
    <w:rsid w:val="0072650F"/>
    <w:rsid w:val="007304E2"/>
    <w:rsid w:val="007305EA"/>
    <w:rsid w:val="00733D40"/>
    <w:rsid w:val="007342C2"/>
    <w:rsid w:val="007350C0"/>
    <w:rsid w:val="0073540C"/>
    <w:rsid w:val="00735B63"/>
    <w:rsid w:val="00735F2B"/>
    <w:rsid w:val="0073733E"/>
    <w:rsid w:val="0074086A"/>
    <w:rsid w:val="007429C3"/>
    <w:rsid w:val="00742D45"/>
    <w:rsid w:val="00744109"/>
    <w:rsid w:val="007446A8"/>
    <w:rsid w:val="00746BE9"/>
    <w:rsid w:val="00747579"/>
    <w:rsid w:val="00755255"/>
    <w:rsid w:val="0075772D"/>
    <w:rsid w:val="00761417"/>
    <w:rsid w:val="00765976"/>
    <w:rsid w:val="00765AC6"/>
    <w:rsid w:val="007667DB"/>
    <w:rsid w:val="0076739E"/>
    <w:rsid w:val="00767E36"/>
    <w:rsid w:val="0077024A"/>
    <w:rsid w:val="00777891"/>
    <w:rsid w:val="00777D96"/>
    <w:rsid w:val="00781556"/>
    <w:rsid w:val="00783A4F"/>
    <w:rsid w:val="00783AEC"/>
    <w:rsid w:val="007859D5"/>
    <w:rsid w:val="00786303"/>
    <w:rsid w:val="007866A7"/>
    <w:rsid w:val="00786C65"/>
    <w:rsid w:val="007937A8"/>
    <w:rsid w:val="00794772"/>
    <w:rsid w:val="007955CC"/>
    <w:rsid w:val="00796388"/>
    <w:rsid w:val="00797994"/>
    <w:rsid w:val="00797BC9"/>
    <w:rsid w:val="007A13D3"/>
    <w:rsid w:val="007A3135"/>
    <w:rsid w:val="007A3C54"/>
    <w:rsid w:val="007A4BD0"/>
    <w:rsid w:val="007A681A"/>
    <w:rsid w:val="007B069A"/>
    <w:rsid w:val="007B0AE6"/>
    <w:rsid w:val="007B19AC"/>
    <w:rsid w:val="007B4B96"/>
    <w:rsid w:val="007B5D75"/>
    <w:rsid w:val="007B5F64"/>
    <w:rsid w:val="007B7548"/>
    <w:rsid w:val="007C058B"/>
    <w:rsid w:val="007C2B60"/>
    <w:rsid w:val="007C2FFB"/>
    <w:rsid w:val="007C598D"/>
    <w:rsid w:val="007C61D5"/>
    <w:rsid w:val="007C6460"/>
    <w:rsid w:val="007C74A7"/>
    <w:rsid w:val="007D0E13"/>
    <w:rsid w:val="007D3F76"/>
    <w:rsid w:val="007D44F0"/>
    <w:rsid w:val="007D45F1"/>
    <w:rsid w:val="007D690E"/>
    <w:rsid w:val="007D7208"/>
    <w:rsid w:val="007E1C2B"/>
    <w:rsid w:val="007E222A"/>
    <w:rsid w:val="007E582D"/>
    <w:rsid w:val="007F1E67"/>
    <w:rsid w:val="007F3D20"/>
    <w:rsid w:val="007F5394"/>
    <w:rsid w:val="007F60A8"/>
    <w:rsid w:val="0080046D"/>
    <w:rsid w:val="00801EB8"/>
    <w:rsid w:val="00804698"/>
    <w:rsid w:val="008047C6"/>
    <w:rsid w:val="00807D5B"/>
    <w:rsid w:val="00810A4B"/>
    <w:rsid w:val="00810E4D"/>
    <w:rsid w:val="008117C3"/>
    <w:rsid w:val="00811935"/>
    <w:rsid w:val="0081235D"/>
    <w:rsid w:val="00821087"/>
    <w:rsid w:val="00822F9F"/>
    <w:rsid w:val="00833BDB"/>
    <w:rsid w:val="008340CD"/>
    <w:rsid w:val="00835BFB"/>
    <w:rsid w:val="00836038"/>
    <w:rsid w:val="00837123"/>
    <w:rsid w:val="008374B8"/>
    <w:rsid w:val="00842C40"/>
    <w:rsid w:val="00847298"/>
    <w:rsid w:val="00847EFF"/>
    <w:rsid w:val="008506C4"/>
    <w:rsid w:val="00855C93"/>
    <w:rsid w:val="008560DB"/>
    <w:rsid w:val="0085643B"/>
    <w:rsid w:val="00857DE2"/>
    <w:rsid w:val="00857E8B"/>
    <w:rsid w:val="008646D7"/>
    <w:rsid w:val="00864CDC"/>
    <w:rsid w:val="00867F86"/>
    <w:rsid w:val="00871618"/>
    <w:rsid w:val="00871BFC"/>
    <w:rsid w:val="00872418"/>
    <w:rsid w:val="00872C56"/>
    <w:rsid w:val="008748A6"/>
    <w:rsid w:val="00875B03"/>
    <w:rsid w:val="00884FF3"/>
    <w:rsid w:val="00886818"/>
    <w:rsid w:val="008909B3"/>
    <w:rsid w:val="0089170B"/>
    <w:rsid w:val="0089181E"/>
    <w:rsid w:val="00893743"/>
    <w:rsid w:val="008940CA"/>
    <w:rsid w:val="0089707B"/>
    <w:rsid w:val="008A048B"/>
    <w:rsid w:val="008A1CA5"/>
    <w:rsid w:val="008A2936"/>
    <w:rsid w:val="008A29AA"/>
    <w:rsid w:val="008A7B17"/>
    <w:rsid w:val="008B03DC"/>
    <w:rsid w:val="008B47FA"/>
    <w:rsid w:val="008C05EC"/>
    <w:rsid w:val="008C2923"/>
    <w:rsid w:val="008C3E02"/>
    <w:rsid w:val="008C5513"/>
    <w:rsid w:val="008C5B68"/>
    <w:rsid w:val="008C6CBC"/>
    <w:rsid w:val="008C6E0E"/>
    <w:rsid w:val="008C7242"/>
    <w:rsid w:val="008D0A9C"/>
    <w:rsid w:val="008D2B4D"/>
    <w:rsid w:val="008D2EE6"/>
    <w:rsid w:val="008D4255"/>
    <w:rsid w:val="008D5E7E"/>
    <w:rsid w:val="008D71E9"/>
    <w:rsid w:val="008E2648"/>
    <w:rsid w:val="008E3305"/>
    <w:rsid w:val="008E3982"/>
    <w:rsid w:val="008E3ABC"/>
    <w:rsid w:val="008E433D"/>
    <w:rsid w:val="008E662D"/>
    <w:rsid w:val="008F69C5"/>
    <w:rsid w:val="008F7EA3"/>
    <w:rsid w:val="009012D9"/>
    <w:rsid w:val="00903BF3"/>
    <w:rsid w:val="0090429D"/>
    <w:rsid w:val="00906C2D"/>
    <w:rsid w:val="009076F6"/>
    <w:rsid w:val="00910678"/>
    <w:rsid w:val="009106D2"/>
    <w:rsid w:val="00910C9B"/>
    <w:rsid w:val="00910DBE"/>
    <w:rsid w:val="009110C4"/>
    <w:rsid w:val="00912440"/>
    <w:rsid w:val="00912FB2"/>
    <w:rsid w:val="00914021"/>
    <w:rsid w:val="00917ABC"/>
    <w:rsid w:val="00922693"/>
    <w:rsid w:val="00922833"/>
    <w:rsid w:val="00924415"/>
    <w:rsid w:val="0092537E"/>
    <w:rsid w:val="00925616"/>
    <w:rsid w:val="00926B74"/>
    <w:rsid w:val="00927610"/>
    <w:rsid w:val="00931110"/>
    <w:rsid w:val="00934BFE"/>
    <w:rsid w:val="009373E1"/>
    <w:rsid w:val="009423D3"/>
    <w:rsid w:val="00943C6F"/>
    <w:rsid w:val="009456C8"/>
    <w:rsid w:val="00945DA9"/>
    <w:rsid w:val="00947AC0"/>
    <w:rsid w:val="00955BB2"/>
    <w:rsid w:val="009606D4"/>
    <w:rsid w:val="00961DA1"/>
    <w:rsid w:val="009626AB"/>
    <w:rsid w:val="009636B6"/>
    <w:rsid w:val="00966632"/>
    <w:rsid w:val="0097104D"/>
    <w:rsid w:val="0097153D"/>
    <w:rsid w:val="00972038"/>
    <w:rsid w:val="00972857"/>
    <w:rsid w:val="0097460C"/>
    <w:rsid w:val="00976DDC"/>
    <w:rsid w:val="00983403"/>
    <w:rsid w:val="009874F8"/>
    <w:rsid w:val="00990EF1"/>
    <w:rsid w:val="00996C02"/>
    <w:rsid w:val="009A0571"/>
    <w:rsid w:val="009A0C0F"/>
    <w:rsid w:val="009A0FF2"/>
    <w:rsid w:val="009A2486"/>
    <w:rsid w:val="009A3270"/>
    <w:rsid w:val="009A6023"/>
    <w:rsid w:val="009B1CCB"/>
    <w:rsid w:val="009B1DCC"/>
    <w:rsid w:val="009B3074"/>
    <w:rsid w:val="009B3E8B"/>
    <w:rsid w:val="009B4285"/>
    <w:rsid w:val="009B4C6C"/>
    <w:rsid w:val="009B53FC"/>
    <w:rsid w:val="009B5BDD"/>
    <w:rsid w:val="009B6F97"/>
    <w:rsid w:val="009C2C42"/>
    <w:rsid w:val="009C6A57"/>
    <w:rsid w:val="009D0846"/>
    <w:rsid w:val="009D08A2"/>
    <w:rsid w:val="009D17A3"/>
    <w:rsid w:val="009D1EE4"/>
    <w:rsid w:val="009D24FB"/>
    <w:rsid w:val="009D3DCB"/>
    <w:rsid w:val="009D5228"/>
    <w:rsid w:val="009D594D"/>
    <w:rsid w:val="009D6018"/>
    <w:rsid w:val="009D7FE2"/>
    <w:rsid w:val="009E0F86"/>
    <w:rsid w:val="009E3641"/>
    <w:rsid w:val="009E3F77"/>
    <w:rsid w:val="009E53C8"/>
    <w:rsid w:val="009E60BE"/>
    <w:rsid w:val="009E6A41"/>
    <w:rsid w:val="009E6AB6"/>
    <w:rsid w:val="009E78D5"/>
    <w:rsid w:val="009F2049"/>
    <w:rsid w:val="009F6178"/>
    <w:rsid w:val="00A0118A"/>
    <w:rsid w:val="00A04CB8"/>
    <w:rsid w:val="00A11570"/>
    <w:rsid w:val="00A150B3"/>
    <w:rsid w:val="00A1635C"/>
    <w:rsid w:val="00A166D0"/>
    <w:rsid w:val="00A22253"/>
    <w:rsid w:val="00A23ABA"/>
    <w:rsid w:val="00A240E5"/>
    <w:rsid w:val="00A244EE"/>
    <w:rsid w:val="00A258D9"/>
    <w:rsid w:val="00A303C5"/>
    <w:rsid w:val="00A30F50"/>
    <w:rsid w:val="00A3128E"/>
    <w:rsid w:val="00A3224F"/>
    <w:rsid w:val="00A33140"/>
    <w:rsid w:val="00A333C7"/>
    <w:rsid w:val="00A33CBE"/>
    <w:rsid w:val="00A35432"/>
    <w:rsid w:val="00A37829"/>
    <w:rsid w:val="00A40969"/>
    <w:rsid w:val="00A42266"/>
    <w:rsid w:val="00A4311E"/>
    <w:rsid w:val="00A4364C"/>
    <w:rsid w:val="00A43AFA"/>
    <w:rsid w:val="00A43BF0"/>
    <w:rsid w:val="00A43D17"/>
    <w:rsid w:val="00A4411B"/>
    <w:rsid w:val="00A45F18"/>
    <w:rsid w:val="00A47130"/>
    <w:rsid w:val="00A478A1"/>
    <w:rsid w:val="00A50DB3"/>
    <w:rsid w:val="00A5245E"/>
    <w:rsid w:val="00A52A3C"/>
    <w:rsid w:val="00A532EC"/>
    <w:rsid w:val="00A55AAE"/>
    <w:rsid w:val="00A5639F"/>
    <w:rsid w:val="00A57699"/>
    <w:rsid w:val="00A57E5F"/>
    <w:rsid w:val="00A60DAD"/>
    <w:rsid w:val="00A612EF"/>
    <w:rsid w:val="00A63AB2"/>
    <w:rsid w:val="00A6433E"/>
    <w:rsid w:val="00A64BB4"/>
    <w:rsid w:val="00A65B50"/>
    <w:rsid w:val="00A66E01"/>
    <w:rsid w:val="00A67B12"/>
    <w:rsid w:val="00A7097C"/>
    <w:rsid w:val="00A724CA"/>
    <w:rsid w:val="00A72F02"/>
    <w:rsid w:val="00A7444C"/>
    <w:rsid w:val="00A745A2"/>
    <w:rsid w:val="00A747E3"/>
    <w:rsid w:val="00A80C70"/>
    <w:rsid w:val="00A861A4"/>
    <w:rsid w:val="00A871F0"/>
    <w:rsid w:val="00A87386"/>
    <w:rsid w:val="00A907C1"/>
    <w:rsid w:val="00A915C9"/>
    <w:rsid w:val="00A92D58"/>
    <w:rsid w:val="00A933E5"/>
    <w:rsid w:val="00A94EDA"/>
    <w:rsid w:val="00A95A73"/>
    <w:rsid w:val="00A969C6"/>
    <w:rsid w:val="00A969CE"/>
    <w:rsid w:val="00AA0B2B"/>
    <w:rsid w:val="00AA2E68"/>
    <w:rsid w:val="00AA3292"/>
    <w:rsid w:val="00AA7675"/>
    <w:rsid w:val="00AB02E4"/>
    <w:rsid w:val="00AB1A3C"/>
    <w:rsid w:val="00AB1DE2"/>
    <w:rsid w:val="00AB41C7"/>
    <w:rsid w:val="00AB4317"/>
    <w:rsid w:val="00AC5E5D"/>
    <w:rsid w:val="00AC6915"/>
    <w:rsid w:val="00AD1876"/>
    <w:rsid w:val="00AD316C"/>
    <w:rsid w:val="00AD3726"/>
    <w:rsid w:val="00AD6556"/>
    <w:rsid w:val="00AD7C87"/>
    <w:rsid w:val="00AE1C6E"/>
    <w:rsid w:val="00AE35D1"/>
    <w:rsid w:val="00AE36EF"/>
    <w:rsid w:val="00AE4A2A"/>
    <w:rsid w:val="00AE5757"/>
    <w:rsid w:val="00AE785D"/>
    <w:rsid w:val="00AF3519"/>
    <w:rsid w:val="00AF3E5A"/>
    <w:rsid w:val="00AF4EE7"/>
    <w:rsid w:val="00AF7010"/>
    <w:rsid w:val="00B00198"/>
    <w:rsid w:val="00B03185"/>
    <w:rsid w:val="00B03442"/>
    <w:rsid w:val="00B03785"/>
    <w:rsid w:val="00B03D11"/>
    <w:rsid w:val="00B0511C"/>
    <w:rsid w:val="00B07119"/>
    <w:rsid w:val="00B12267"/>
    <w:rsid w:val="00B157D4"/>
    <w:rsid w:val="00B166A8"/>
    <w:rsid w:val="00B23DAF"/>
    <w:rsid w:val="00B2425C"/>
    <w:rsid w:val="00B2659C"/>
    <w:rsid w:val="00B276F2"/>
    <w:rsid w:val="00B27A86"/>
    <w:rsid w:val="00B305E7"/>
    <w:rsid w:val="00B30A24"/>
    <w:rsid w:val="00B32E88"/>
    <w:rsid w:val="00B33057"/>
    <w:rsid w:val="00B33072"/>
    <w:rsid w:val="00B3422F"/>
    <w:rsid w:val="00B3557B"/>
    <w:rsid w:val="00B355A8"/>
    <w:rsid w:val="00B36C23"/>
    <w:rsid w:val="00B37082"/>
    <w:rsid w:val="00B37B58"/>
    <w:rsid w:val="00B41F46"/>
    <w:rsid w:val="00B421AB"/>
    <w:rsid w:val="00B442A3"/>
    <w:rsid w:val="00B455CC"/>
    <w:rsid w:val="00B4585A"/>
    <w:rsid w:val="00B46B1F"/>
    <w:rsid w:val="00B46E41"/>
    <w:rsid w:val="00B506BD"/>
    <w:rsid w:val="00B51445"/>
    <w:rsid w:val="00B5455B"/>
    <w:rsid w:val="00B54566"/>
    <w:rsid w:val="00B54C8F"/>
    <w:rsid w:val="00B55221"/>
    <w:rsid w:val="00B559E5"/>
    <w:rsid w:val="00B55B9C"/>
    <w:rsid w:val="00B5610A"/>
    <w:rsid w:val="00B57DFA"/>
    <w:rsid w:val="00B57ECC"/>
    <w:rsid w:val="00B608B9"/>
    <w:rsid w:val="00B611DC"/>
    <w:rsid w:val="00B6175B"/>
    <w:rsid w:val="00B62C2F"/>
    <w:rsid w:val="00B62D78"/>
    <w:rsid w:val="00B63691"/>
    <w:rsid w:val="00B637B2"/>
    <w:rsid w:val="00B64E18"/>
    <w:rsid w:val="00B66C6D"/>
    <w:rsid w:val="00B6799C"/>
    <w:rsid w:val="00B70257"/>
    <w:rsid w:val="00B702F8"/>
    <w:rsid w:val="00B7101B"/>
    <w:rsid w:val="00B7103C"/>
    <w:rsid w:val="00B72C39"/>
    <w:rsid w:val="00B755B8"/>
    <w:rsid w:val="00B75F87"/>
    <w:rsid w:val="00B77DB9"/>
    <w:rsid w:val="00B8096F"/>
    <w:rsid w:val="00B80B83"/>
    <w:rsid w:val="00B81116"/>
    <w:rsid w:val="00B81C8B"/>
    <w:rsid w:val="00B81E20"/>
    <w:rsid w:val="00B81EB3"/>
    <w:rsid w:val="00B832FD"/>
    <w:rsid w:val="00B84393"/>
    <w:rsid w:val="00B8570D"/>
    <w:rsid w:val="00B864DE"/>
    <w:rsid w:val="00B865F9"/>
    <w:rsid w:val="00B86B0B"/>
    <w:rsid w:val="00B92E84"/>
    <w:rsid w:val="00B933AB"/>
    <w:rsid w:val="00B94B83"/>
    <w:rsid w:val="00B9646B"/>
    <w:rsid w:val="00BA16E8"/>
    <w:rsid w:val="00BA6269"/>
    <w:rsid w:val="00BB0260"/>
    <w:rsid w:val="00BB0300"/>
    <w:rsid w:val="00BB336B"/>
    <w:rsid w:val="00BB346E"/>
    <w:rsid w:val="00BB3BB6"/>
    <w:rsid w:val="00BB655D"/>
    <w:rsid w:val="00BB68B9"/>
    <w:rsid w:val="00BC0A89"/>
    <w:rsid w:val="00BC104E"/>
    <w:rsid w:val="00BC412E"/>
    <w:rsid w:val="00BD2FCB"/>
    <w:rsid w:val="00BD4F29"/>
    <w:rsid w:val="00BD6436"/>
    <w:rsid w:val="00BD6888"/>
    <w:rsid w:val="00BE0B4B"/>
    <w:rsid w:val="00BE1A75"/>
    <w:rsid w:val="00BE2841"/>
    <w:rsid w:val="00BE2A95"/>
    <w:rsid w:val="00BE6420"/>
    <w:rsid w:val="00BE778F"/>
    <w:rsid w:val="00BF0922"/>
    <w:rsid w:val="00BF17D9"/>
    <w:rsid w:val="00BF311F"/>
    <w:rsid w:val="00BF5A16"/>
    <w:rsid w:val="00BF7262"/>
    <w:rsid w:val="00C020AF"/>
    <w:rsid w:val="00C02F4E"/>
    <w:rsid w:val="00C03903"/>
    <w:rsid w:val="00C03C29"/>
    <w:rsid w:val="00C05CD0"/>
    <w:rsid w:val="00C06295"/>
    <w:rsid w:val="00C069B0"/>
    <w:rsid w:val="00C10C0E"/>
    <w:rsid w:val="00C11727"/>
    <w:rsid w:val="00C13550"/>
    <w:rsid w:val="00C138AC"/>
    <w:rsid w:val="00C144CE"/>
    <w:rsid w:val="00C146AB"/>
    <w:rsid w:val="00C16028"/>
    <w:rsid w:val="00C16945"/>
    <w:rsid w:val="00C16DA8"/>
    <w:rsid w:val="00C17F06"/>
    <w:rsid w:val="00C21778"/>
    <w:rsid w:val="00C22AD6"/>
    <w:rsid w:val="00C23C95"/>
    <w:rsid w:val="00C242D6"/>
    <w:rsid w:val="00C2491F"/>
    <w:rsid w:val="00C31DF1"/>
    <w:rsid w:val="00C31F69"/>
    <w:rsid w:val="00C3502E"/>
    <w:rsid w:val="00C3504D"/>
    <w:rsid w:val="00C3619E"/>
    <w:rsid w:val="00C4189D"/>
    <w:rsid w:val="00C41BCC"/>
    <w:rsid w:val="00C4323C"/>
    <w:rsid w:val="00C4459C"/>
    <w:rsid w:val="00C47C4C"/>
    <w:rsid w:val="00C511F9"/>
    <w:rsid w:val="00C51E2A"/>
    <w:rsid w:val="00C52580"/>
    <w:rsid w:val="00C5419E"/>
    <w:rsid w:val="00C5425F"/>
    <w:rsid w:val="00C56C16"/>
    <w:rsid w:val="00C57FCA"/>
    <w:rsid w:val="00C606A2"/>
    <w:rsid w:val="00C61753"/>
    <w:rsid w:val="00C620EE"/>
    <w:rsid w:val="00C6286A"/>
    <w:rsid w:val="00C65DD0"/>
    <w:rsid w:val="00C662EF"/>
    <w:rsid w:val="00C66DD7"/>
    <w:rsid w:val="00C672B3"/>
    <w:rsid w:val="00C70D18"/>
    <w:rsid w:val="00C71598"/>
    <w:rsid w:val="00C7174B"/>
    <w:rsid w:val="00C71EEA"/>
    <w:rsid w:val="00C731DD"/>
    <w:rsid w:val="00C733D3"/>
    <w:rsid w:val="00C744B9"/>
    <w:rsid w:val="00C750E0"/>
    <w:rsid w:val="00C753C2"/>
    <w:rsid w:val="00C802B6"/>
    <w:rsid w:val="00C80C9F"/>
    <w:rsid w:val="00C85D58"/>
    <w:rsid w:val="00C86222"/>
    <w:rsid w:val="00C8731E"/>
    <w:rsid w:val="00C92D53"/>
    <w:rsid w:val="00C92E03"/>
    <w:rsid w:val="00C93EFD"/>
    <w:rsid w:val="00C9422F"/>
    <w:rsid w:val="00C94693"/>
    <w:rsid w:val="00C958BE"/>
    <w:rsid w:val="00CA0759"/>
    <w:rsid w:val="00CA08FA"/>
    <w:rsid w:val="00CA448A"/>
    <w:rsid w:val="00CA461F"/>
    <w:rsid w:val="00CA5EF5"/>
    <w:rsid w:val="00CA6FF0"/>
    <w:rsid w:val="00CA7A39"/>
    <w:rsid w:val="00CB074D"/>
    <w:rsid w:val="00CB54BF"/>
    <w:rsid w:val="00CB67EC"/>
    <w:rsid w:val="00CB75CB"/>
    <w:rsid w:val="00CB76B5"/>
    <w:rsid w:val="00CB79CD"/>
    <w:rsid w:val="00CC21B1"/>
    <w:rsid w:val="00CC275B"/>
    <w:rsid w:val="00CC309B"/>
    <w:rsid w:val="00CC7FE1"/>
    <w:rsid w:val="00CD03F8"/>
    <w:rsid w:val="00CD2131"/>
    <w:rsid w:val="00CD21AF"/>
    <w:rsid w:val="00CD402B"/>
    <w:rsid w:val="00CD41C7"/>
    <w:rsid w:val="00CD5158"/>
    <w:rsid w:val="00CD5783"/>
    <w:rsid w:val="00CE3241"/>
    <w:rsid w:val="00CE6C3F"/>
    <w:rsid w:val="00CF14D9"/>
    <w:rsid w:val="00CF7E76"/>
    <w:rsid w:val="00D00012"/>
    <w:rsid w:val="00D00EE3"/>
    <w:rsid w:val="00D01244"/>
    <w:rsid w:val="00D028B6"/>
    <w:rsid w:val="00D02D2E"/>
    <w:rsid w:val="00D03A9F"/>
    <w:rsid w:val="00D03DDB"/>
    <w:rsid w:val="00D041FF"/>
    <w:rsid w:val="00D06365"/>
    <w:rsid w:val="00D10DEE"/>
    <w:rsid w:val="00D13066"/>
    <w:rsid w:val="00D15431"/>
    <w:rsid w:val="00D16BD8"/>
    <w:rsid w:val="00D17BD2"/>
    <w:rsid w:val="00D210B3"/>
    <w:rsid w:val="00D23843"/>
    <w:rsid w:val="00D23ADF"/>
    <w:rsid w:val="00D24055"/>
    <w:rsid w:val="00D25999"/>
    <w:rsid w:val="00D26ABB"/>
    <w:rsid w:val="00D309DE"/>
    <w:rsid w:val="00D31F95"/>
    <w:rsid w:val="00D3254D"/>
    <w:rsid w:val="00D3346B"/>
    <w:rsid w:val="00D34D2C"/>
    <w:rsid w:val="00D3606D"/>
    <w:rsid w:val="00D36DB0"/>
    <w:rsid w:val="00D3766B"/>
    <w:rsid w:val="00D415FF"/>
    <w:rsid w:val="00D429D5"/>
    <w:rsid w:val="00D44F67"/>
    <w:rsid w:val="00D46AB4"/>
    <w:rsid w:val="00D50E1B"/>
    <w:rsid w:val="00D5109C"/>
    <w:rsid w:val="00D51B7B"/>
    <w:rsid w:val="00D53DBE"/>
    <w:rsid w:val="00D55A88"/>
    <w:rsid w:val="00D5702E"/>
    <w:rsid w:val="00D61F7D"/>
    <w:rsid w:val="00D6362F"/>
    <w:rsid w:val="00D63FE9"/>
    <w:rsid w:val="00D65A34"/>
    <w:rsid w:val="00D70147"/>
    <w:rsid w:val="00D732FB"/>
    <w:rsid w:val="00D75A21"/>
    <w:rsid w:val="00D760A5"/>
    <w:rsid w:val="00D776C6"/>
    <w:rsid w:val="00D81452"/>
    <w:rsid w:val="00D81B23"/>
    <w:rsid w:val="00D834DB"/>
    <w:rsid w:val="00D83DCC"/>
    <w:rsid w:val="00D845FC"/>
    <w:rsid w:val="00D84764"/>
    <w:rsid w:val="00D850CB"/>
    <w:rsid w:val="00D85255"/>
    <w:rsid w:val="00D85449"/>
    <w:rsid w:val="00D86611"/>
    <w:rsid w:val="00D868BB"/>
    <w:rsid w:val="00D87260"/>
    <w:rsid w:val="00D916B2"/>
    <w:rsid w:val="00D94BE1"/>
    <w:rsid w:val="00D94C54"/>
    <w:rsid w:val="00D94E40"/>
    <w:rsid w:val="00D957B1"/>
    <w:rsid w:val="00D96ED6"/>
    <w:rsid w:val="00DA01DF"/>
    <w:rsid w:val="00DA2001"/>
    <w:rsid w:val="00DA2F32"/>
    <w:rsid w:val="00DA5B1C"/>
    <w:rsid w:val="00DA641F"/>
    <w:rsid w:val="00DA7633"/>
    <w:rsid w:val="00DA775E"/>
    <w:rsid w:val="00DB09B4"/>
    <w:rsid w:val="00DB2E7C"/>
    <w:rsid w:val="00DB38B6"/>
    <w:rsid w:val="00DB4852"/>
    <w:rsid w:val="00DB4969"/>
    <w:rsid w:val="00DB5770"/>
    <w:rsid w:val="00DB5B3A"/>
    <w:rsid w:val="00DB6E3A"/>
    <w:rsid w:val="00DB7995"/>
    <w:rsid w:val="00DC05AE"/>
    <w:rsid w:val="00DC132C"/>
    <w:rsid w:val="00DC251A"/>
    <w:rsid w:val="00DC64C3"/>
    <w:rsid w:val="00DD02F2"/>
    <w:rsid w:val="00DD1315"/>
    <w:rsid w:val="00DD1BE9"/>
    <w:rsid w:val="00DD26FD"/>
    <w:rsid w:val="00DD43A9"/>
    <w:rsid w:val="00DD5058"/>
    <w:rsid w:val="00DD5DD5"/>
    <w:rsid w:val="00DE2D21"/>
    <w:rsid w:val="00DE30C6"/>
    <w:rsid w:val="00DE4960"/>
    <w:rsid w:val="00DE52B5"/>
    <w:rsid w:val="00DE5B2C"/>
    <w:rsid w:val="00DE5EF2"/>
    <w:rsid w:val="00DE65A2"/>
    <w:rsid w:val="00DE700B"/>
    <w:rsid w:val="00DE7950"/>
    <w:rsid w:val="00DF00E8"/>
    <w:rsid w:val="00DF01CC"/>
    <w:rsid w:val="00DF30AE"/>
    <w:rsid w:val="00DF4D5C"/>
    <w:rsid w:val="00E04A7C"/>
    <w:rsid w:val="00E1283F"/>
    <w:rsid w:val="00E13B27"/>
    <w:rsid w:val="00E13D4A"/>
    <w:rsid w:val="00E162B3"/>
    <w:rsid w:val="00E20184"/>
    <w:rsid w:val="00E20718"/>
    <w:rsid w:val="00E20A62"/>
    <w:rsid w:val="00E22320"/>
    <w:rsid w:val="00E232AD"/>
    <w:rsid w:val="00E251B1"/>
    <w:rsid w:val="00E33080"/>
    <w:rsid w:val="00E33732"/>
    <w:rsid w:val="00E35A04"/>
    <w:rsid w:val="00E35E55"/>
    <w:rsid w:val="00E3743C"/>
    <w:rsid w:val="00E415EC"/>
    <w:rsid w:val="00E415F5"/>
    <w:rsid w:val="00E44AD4"/>
    <w:rsid w:val="00E502A6"/>
    <w:rsid w:val="00E51784"/>
    <w:rsid w:val="00E52290"/>
    <w:rsid w:val="00E52BAC"/>
    <w:rsid w:val="00E53580"/>
    <w:rsid w:val="00E540AB"/>
    <w:rsid w:val="00E540B2"/>
    <w:rsid w:val="00E5427F"/>
    <w:rsid w:val="00E574D5"/>
    <w:rsid w:val="00E57A64"/>
    <w:rsid w:val="00E6283A"/>
    <w:rsid w:val="00E65201"/>
    <w:rsid w:val="00E658AC"/>
    <w:rsid w:val="00E66EED"/>
    <w:rsid w:val="00E6735F"/>
    <w:rsid w:val="00E70207"/>
    <w:rsid w:val="00E70A27"/>
    <w:rsid w:val="00E71D31"/>
    <w:rsid w:val="00E730D1"/>
    <w:rsid w:val="00E7412A"/>
    <w:rsid w:val="00E75759"/>
    <w:rsid w:val="00E803FD"/>
    <w:rsid w:val="00E81817"/>
    <w:rsid w:val="00E842F7"/>
    <w:rsid w:val="00E85F2A"/>
    <w:rsid w:val="00E86735"/>
    <w:rsid w:val="00E95227"/>
    <w:rsid w:val="00E9550F"/>
    <w:rsid w:val="00E96499"/>
    <w:rsid w:val="00E96992"/>
    <w:rsid w:val="00E9766B"/>
    <w:rsid w:val="00EA25B0"/>
    <w:rsid w:val="00EA54EE"/>
    <w:rsid w:val="00EA5E7A"/>
    <w:rsid w:val="00EB02A0"/>
    <w:rsid w:val="00EB224C"/>
    <w:rsid w:val="00EB334F"/>
    <w:rsid w:val="00EB3A33"/>
    <w:rsid w:val="00EB3AAA"/>
    <w:rsid w:val="00EB5E6C"/>
    <w:rsid w:val="00EC0452"/>
    <w:rsid w:val="00EC1094"/>
    <w:rsid w:val="00EC28B8"/>
    <w:rsid w:val="00EC3408"/>
    <w:rsid w:val="00EC3410"/>
    <w:rsid w:val="00EC55C7"/>
    <w:rsid w:val="00EC57E5"/>
    <w:rsid w:val="00EC5F24"/>
    <w:rsid w:val="00ED032C"/>
    <w:rsid w:val="00ED091B"/>
    <w:rsid w:val="00ED1AC7"/>
    <w:rsid w:val="00ED5065"/>
    <w:rsid w:val="00ED62A0"/>
    <w:rsid w:val="00ED65F1"/>
    <w:rsid w:val="00ED72B4"/>
    <w:rsid w:val="00ED7C49"/>
    <w:rsid w:val="00EE37C3"/>
    <w:rsid w:val="00EE3896"/>
    <w:rsid w:val="00EE60B0"/>
    <w:rsid w:val="00EE66A6"/>
    <w:rsid w:val="00EF0BE2"/>
    <w:rsid w:val="00EF2AF8"/>
    <w:rsid w:val="00EF2D35"/>
    <w:rsid w:val="00EF3A0B"/>
    <w:rsid w:val="00EF621E"/>
    <w:rsid w:val="00F00AB7"/>
    <w:rsid w:val="00F02F84"/>
    <w:rsid w:val="00F04274"/>
    <w:rsid w:val="00F053D9"/>
    <w:rsid w:val="00F0671B"/>
    <w:rsid w:val="00F110D7"/>
    <w:rsid w:val="00F11426"/>
    <w:rsid w:val="00F13DAE"/>
    <w:rsid w:val="00F20111"/>
    <w:rsid w:val="00F23B41"/>
    <w:rsid w:val="00F2459C"/>
    <w:rsid w:val="00F24D36"/>
    <w:rsid w:val="00F25BB1"/>
    <w:rsid w:val="00F27182"/>
    <w:rsid w:val="00F317FB"/>
    <w:rsid w:val="00F31A59"/>
    <w:rsid w:val="00F37B13"/>
    <w:rsid w:val="00F40A57"/>
    <w:rsid w:val="00F40C90"/>
    <w:rsid w:val="00F41EE1"/>
    <w:rsid w:val="00F42B35"/>
    <w:rsid w:val="00F449AE"/>
    <w:rsid w:val="00F4670A"/>
    <w:rsid w:val="00F477AB"/>
    <w:rsid w:val="00F504BC"/>
    <w:rsid w:val="00F504CF"/>
    <w:rsid w:val="00F52B18"/>
    <w:rsid w:val="00F57EB6"/>
    <w:rsid w:val="00F601D0"/>
    <w:rsid w:val="00F62C26"/>
    <w:rsid w:val="00F6773D"/>
    <w:rsid w:val="00F7182E"/>
    <w:rsid w:val="00F71BEC"/>
    <w:rsid w:val="00F72D0A"/>
    <w:rsid w:val="00F74EF5"/>
    <w:rsid w:val="00F75536"/>
    <w:rsid w:val="00F77604"/>
    <w:rsid w:val="00F81D85"/>
    <w:rsid w:val="00F8363B"/>
    <w:rsid w:val="00F83B36"/>
    <w:rsid w:val="00F91E78"/>
    <w:rsid w:val="00F937F0"/>
    <w:rsid w:val="00F94CEF"/>
    <w:rsid w:val="00F979E3"/>
    <w:rsid w:val="00FA066F"/>
    <w:rsid w:val="00FA11E8"/>
    <w:rsid w:val="00FA1AE8"/>
    <w:rsid w:val="00FA39ED"/>
    <w:rsid w:val="00FA3B6F"/>
    <w:rsid w:val="00FA6684"/>
    <w:rsid w:val="00FA78FA"/>
    <w:rsid w:val="00FB0704"/>
    <w:rsid w:val="00FB36EA"/>
    <w:rsid w:val="00FB3A47"/>
    <w:rsid w:val="00FB561F"/>
    <w:rsid w:val="00FC1AD8"/>
    <w:rsid w:val="00FC237D"/>
    <w:rsid w:val="00FC2FC1"/>
    <w:rsid w:val="00FC3544"/>
    <w:rsid w:val="00FC51A4"/>
    <w:rsid w:val="00FC617B"/>
    <w:rsid w:val="00FC65E4"/>
    <w:rsid w:val="00FC7E2E"/>
    <w:rsid w:val="00FD01D0"/>
    <w:rsid w:val="00FD0B63"/>
    <w:rsid w:val="00FD21DC"/>
    <w:rsid w:val="00FD3D87"/>
    <w:rsid w:val="00FD4BAE"/>
    <w:rsid w:val="00FD4C02"/>
    <w:rsid w:val="00FD4E05"/>
    <w:rsid w:val="00FD5254"/>
    <w:rsid w:val="00FD6B6D"/>
    <w:rsid w:val="00FE06F1"/>
    <w:rsid w:val="00FE0E05"/>
    <w:rsid w:val="00FE34EF"/>
    <w:rsid w:val="00FE55B2"/>
    <w:rsid w:val="00FE6658"/>
    <w:rsid w:val="00FE6CA9"/>
    <w:rsid w:val="00FF02C3"/>
    <w:rsid w:val="00FF23CD"/>
    <w:rsid w:val="00FF28FF"/>
    <w:rsid w:val="00FF4EE9"/>
    <w:rsid w:val="00FF6EA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2981ACAC"/>
  <w15:docId w15:val="{A36781F0-18B3-4D50-B5F9-F8F4C3306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E222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E6420"/>
    <w:rPr>
      <w:sz w:val="16"/>
      <w:szCs w:val="16"/>
    </w:rPr>
  </w:style>
  <w:style w:type="paragraph" w:styleId="CommentText">
    <w:name w:val="annotation text"/>
    <w:basedOn w:val="Normal"/>
    <w:link w:val="CommentTextChar"/>
    <w:uiPriority w:val="99"/>
    <w:unhideWhenUsed/>
    <w:rsid w:val="00BE6420"/>
    <w:pPr>
      <w:spacing w:line="240" w:lineRule="auto"/>
    </w:pPr>
    <w:rPr>
      <w:sz w:val="20"/>
      <w:szCs w:val="20"/>
    </w:rPr>
  </w:style>
  <w:style w:type="character" w:customStyle="1" w:styleId="CommentTextChar">
    <w:name w:val="Comment Text Char"/>
    <w:basedOn w:val="DefaultParagraphFont"/>
    <w:link w:val="CommentText"/>
    <w:uiPriority w:val="99"/>
    <w:rsid w:val="00BE6420"/>
    <w:rPr>
      <w:sz w:val="20"/>
      <w:szCs w:val="20"/>
    </w:rPr>
  </w:style>
  <w:style w:type="paragraph" w:styleId="BalloonText">
    <w:name w:val="Balloon Text"/>
    <w:basedOn w:val="Normal"/>
    <w:link w:val="BalloonTextChar"/>
    <w:uiPriority w:val="99"/>
    <w:semiHidden/>
    <w:unhideWhenUsed/>
    <w:rsid w:val="00BE64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6420"/>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422588"/>
    <w:rPr>
      <w:b/>
      <w:bCs/>
    </w:rPr>
  </w:style>
  <w:style w:type="character" w:customStyle="1" w:styleId="CommentSubjectChar">
    <w:name w:val="Comment Subject Char"/>
    <w:basedOn w:val="CommentTextChar"/>
    <w:link w:val="CommentSubject"/>
    <w:uiPriority w:val="99"/>
    <w:semiHidden/>
    <w:rsid w:val="00422588"/>
    <w:rPr>
      <w:b/>
      <w:bCs/>
      <w:sz w:val="20"/>
      <w:szCs w:val="20"/>
    </w:rPr>
  </w:style>
  <w:style w:type="paragraph" w:styleId="Header">
    <w:name w:val="header"/>
    <w:basedOn w:val="Normal"/>
    <w:link w:val="HeaderChar"/>
    <w:uiPriority w:val="99"/>
    <w:unhideWhenUsed/>
    <w:rsid w:val="00AE35D1"/>
    <w:pPr>
      <w:tabs>
        <w:tab w:val="center" w:pos="4536"/>
        <w:tab w:val="right" w:pos="9072"/>
      </w:tabs>
      <w:spacing w:after="0" w:line="240" w:lineRule="auto"/>
    </w:pPr>
  </w:style>
  <w:style w:type="character" w:customStyle="1" w:styleId="HeaderChar">
    <w:name w:val="Header Char"/>
    <w:basedOn w:val="DefaultParagraphFont"/>
    <w:link w:val="Header"/>
    <w:uiPriority w:val="99"/>
    <w:rsid w:val="00AE35D1"/>
  </w:style>
  <w:style w:type="paragraph" w:styleId="Footer">
    <w:name w:val="footer"/>
    <w:basedOn w:val="Normal"/>
    <w:link w:val="FooterChar"/>
    <w:uiPriority w:val="99"/>
    <w:unhideWhenUsed/>
    <w:rsid w:val="00AE35D1"/>
    <w:pPr>
      <w:tabs>
        <w:tab w:val="center" w:pos="4536"/>
        <w:tab w:val="right" w:pos="9072"/>
      </w:tabs>
      <w:spacing w:after="0" w:line="240" w:lineRule="auto"/>
    </w:pPr>
  </w:style>
  <w:style w:type="character" w:customStyle="1" w:styleId="FooterChar">
    <w:name w:val="Footer Char"/>
    <w:basedOn w:val="DefaultParagraphFont"/>
    <w:link w:val="Footer"/>
    <w:uiPriority w:val="99"/>
    <w:rsid w:val="00AE35D1"/>
  </w:style>
  <w:style w:type="table" w:styleId="TableGrid">
    <w:name w:val="Table Grid"/>
    <w:basedOn w:val="TableNormal"/>
    <w:uiPriority w:val="59"/>
    <w:rsid w:val="00DD02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70147"/>
    <w:pPr>
      <w:spacing w:after="0" w:line="240" w:lineRule="auto"/>
    </w:pPr>
  </w:style>
  <w:style w:type="paragraph" w:styleId="ListParagraph">
    <w:name w:val="List Paragraph"/>
    <w:basedOn w:val="Normal"/>
    <w:link w:val="ListParagraphChar"/>
    <w:uiPriority w:val="34"/>
    <w:qFormat/>
    <w:rsid w:val="00E20A62"/>
    <w:pPr>
      <w:spacing w:after="0" w:line="240" w:lineRule="auto"/>
      <w:ind w:left="720"/>
      <w:contextualSpacing/>
    </w:pPr>
    <w:rPr>
      <w:rFonts w:ascii="Times New Roman" w:eastAsia="Times New Roman" w:hAnsi="Times New Roman" w:cs="Times New Roman"/>
      <w:sz w:val="24"/>
      <w:szCs w:val="24"/>
      <w:lang w:eastAsia="hr-HR"/>
    </w:rPr>
  </w:style>
  <w:style w:type="paragraph" w:styleId="NormalWeb">
    <w:name w:val="Normal (Web)"/>
    <w:basedOn w:val="Normal"/>
    <w:uiPriority w:val="99"/>
    <w:semiHidden/>
    <w:unhideWhenUsed/>
    <w:rsid w:val="00562C3A"/>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ListParagraphChar">
    <w:name w:val="List Paragraph Char"/>
    <w:link w:val="ListParagraph"/>
    <w:uiPriority w:val="34"/>
    <w:rsid w:val="00BE2A95"/>
    <w:rPr>
      <w:rFonts w:ascii="Times New Roman" w:eastAsia="Times New Roman" w:hAnsi="Times New Roman" w:cs="Times New Roman"/>
      <w:sz w:val="24"/>
      <w:szCs w:val="24"/>
      <w:lang w:eastAsia="hr-HR"/>
    </w:rPr>
  </w:style>
  <w:style w:type="table" w:styleId="GridTable1Light">
    <w:name w:val="Grid Table 1 Light"/>
    <w:basedOn w:val="TableNormal"/>
    <w:uiPriority w:val="46"/>
    <w:rsid w:val="004E1E60"/>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065425">
      <w:bodyDiv w:val="1"/>
      <w:marLeft w:val="0"/>
      <w:marRight w:val="0"/>
      <w:marTop w:val="0"/>
      <w:marBottom w:val="0"/>
      <w:divBdr>
        <w:top w:val="none" w:sz="0" w:space="0" w:color="auto"/>
        <w:left w:val="none" w:sz="0" w:space="0" w:color="auto"/>
        <w:bottom w:val="none" w:sz="0" w:space="0" w:color="auto"/>
        <w:right w:val="none" w:sz="0" w:space="0" w:color="auto"/>
      </w:divBdr>
    </w:div>
    <w:div w:id="94715728">
      <w:bodyDiv w:val="1"/>
      <w:marLeft w:val="0"/>
      <w:marRight w:val="0"/>
      <w:marTop w:val="0"/>
      <w:marBottom w:val="0"/>
      <w:divBdr>
        <w:top w:val="none" w:sz="0" w:space="0" w:color="auto"/>
        <w:left w:val="none" w:sz="0" w:space="0" w:color="auto"/>
        <w:bottom w:val="none" w:sz="0" w:space="0" w:color="auto"/>
        <w:right w:val="none" w:sz="0" w:space="0" w:color="auto"/>
      </w:divBdr>
    </w:div>
    <w:div w:id="100689856">
      <w:bodyDiv w:val="1"/>
      <w:marLeft w:val="0"/>
      <w:marRight w:val="0"/>
      <w:marTop w:val="0"/>
      <w:marBottom w:val="0"/>
      <w:divBdr>
        <w:top w:val="none" w:sz="0" w:space="0" w:color="auto"/>
        <w:left w:val="none" w:sz="0" w:space="0" w:color="auto"/>
        <w:bottom w:val="none" w:sz="0" w:space="0" w:color="auto"/>
        <w:right w:val="none" w:sz="0" w:space="0" w:color="auto"/>
      </w:divBdr>
    </w:div>
    <w:div w:id="126708512">
      <w:bodyDiv w:val="1"/>
      <w:marLeft w:val="0"/>
      <w:marRight w:val="0"/>
      <w:marTop w:val="0"/>
      <w:marBottom w:val="0"/>
      <w:divBdr>
        <w:top w:val="none" w:sz="0" w:space="0" w:color="auto"/>
        <w:left w:val="none" w:sz="0" w:space="0" w:color="auto"/>
        <w:bottom w:val="none" w:sz="0" w:space="0" w:color="auto"/>
        <w:right w:val="none" w:sz="0" w:space="0" w:color="auto"/>
      </w:divBdr>
      <w:divsChild>
        <w:div w:id="1968463235">
          <w:marLeft w:val="274"/>
          <w:marRight w:val="0"/>
          <w:marTop w:val="72"/>
          <w:marBottom w:val="0"/>
          <w:divBdr>
            <w:top w:val="none" w:sz="0" w:space="0" w:color="auto"/>
            <w:left w:val="none" w:sz="0" w:space="0" w:color="auto"/>
            <w:bottom w:val="none" w:sz="0" w:space="0" w:color="auto"/>
            <w:right w:val="none" w:sz="0" w:space="0" w:color="auto"/>
          </w:divBdr>
        </w:div>
      </w:divsChild>
    </w:div>
    <w:div w:id="136536539">
      <w:bodyDiv w:val="1"/>
      <w:marLeft w:val="0"/>
      <w:marRight w:val="0"/>
      <w:marTop w:val="0"/>
      <w:marBottom w:val="0"/>
      <w:divBdr>
        <w:top w:val="none" w:sz="0" w:space="0" w:color="auto"/>
        <w:left w:val="none" w:sz="0" w:space="0" w:color="auto"/>
        <w:bottom w:val="none" w:sz="0" w:space="0" w:color="auto"/>
        <w:right w:val="none" w:sz="0" w:space="0" w:color="auto"/>
      </w:divBdr>
    </w:div>
    <w:div w:id="188952968">
      <w:bodyDiv w:val="1"/>
      <w:marLeft w:val="0"/>
      <w:marRight w:val="0"/>
      <w:marTop w:val="0"/>
      <w:marBottom w:val="0"/>
      <w:divBdr>
        <w:top w:val="none" w:sz="0" w:space="0" w:color="auto"/>
        <w:left w:val="none" w:sz="0" w:space="0" w:color="auto"/>
        <w:bottom w:val="none" w:sz="0" w:space="0" w:color="auto"/>
        <w:right w:val="none" w:sz="0" w:space="0" w:color="auto"/>
      </w:divBdr>
    </w:div>
    <w:div w:id="210306833">
      <w:bodyDiv w:val="1"/>
      <w:marLeft w:val="0"/>
      <w:marRight w:val="0"/>
      <w:marTop w:val="0"/>
      <w:marBottom w:val="0"/>
      <w:divBdr>
        <w:top w:val="none" w:sz="0" w:space="0" w:color="auto"/>
        <w:left w:val="none" w:sz="0" w:space="0" w:color="auto"/>
        <w:bottom w:val="none" w:sz="0" w:space="0" w:color="auto"/>
        <w:right w:val="none" w:sz="0" w:space="0" w:color="auto"/>
      </w:divBdr>
    </w:div>
    <w:div w:id="233130324">
      <w:bodyDiv w:val="1"/>
      <w:marLeft w:val="0"/>
      <w:marRight w:val="0"/>
      <w:marTop w:val="0"/>
      <w:marBottom w:val="0"/>
      <w:divBdr>
        <w:top w:val="none" w:sz="0" w:space="0" w:color="auto"/>
        <w:left w:val="none" w:sz="0" w:space="0" w:color="auto"/>
        <w:bottom w:val="none" w:sz="0" w:space="0" w:color="auto"/>
        <w:right w:val="none" w:sz="0" w:space="0" w:color="auto"/>
      </w:divBdr>
    </w:div>
    <w:div w:id="254436716">
      <w:bodyDiv w:val="1"/>
      <w:marLeft w:val="0"/>
      <w:marRight w:val="0"/>
      <w:marTop w:val="0"/>
      <w:marBottom w:val="0"/>
      <w:divBdr>
        <w:top w:val="none" w:sz="0" w:space="0" w:color="auto"/>
        <w:left w:val="none" w:sz="0" w:space="0" w:color="auto"/>
        <w:bottom w:val="none" w:sz="0" w:space="0" w:color="auto"/>
        <w:right w:val="none" w:sz="0" w:space="0" w:color="auto"/>
      </w:divBdr>
    </w:div>
    <w:div w:id="378867503">
      <w:bodyDiv w:val="1"/>
      <w:marLeft w:val="0"/>
      <w:marRight w:val="0"/>
      <w:marTop w:val="0"/>
      <w:marBottom w:val="0"/>
      <w:divBdr>
        <w:top w:val="none" w:sz="0" w:space="0" w:color="auto"/>
        <w:left w:val="none" w:sz="0" w:space="0" w:color="auto"/>
        <w:bottom w:val="none" w:sz="0" w:space="0" w:color="auto"/>
        <w:right w:val="none" w:sz="0" w:space="0" w:color="auto"/>
      </w:divBdr>
    </w:div>
    <w:div w:id="418796242">
      <w:bodyDiv w:val="1"/>
      <w:marLeft w:val="0"/>
      <w:marRight w:val="0"/>
      <w:marTop w:val="0"/>
      <w:marBottom w:val="0"/>
      <w:divBdr>
        <w:top w:val="none" w:sz="0" w:space="0" w:color="auto"/>
        <w:left w:val="none" w:sz="0" w:space="0" w:color="auto"/>
        <w:bottom w:val="none" w:sz="0" w:space="0" w:color="auto"/>
        <w:right w:val="none" w:sz="0" w:space="0" w:color="auto"/>
      </w:divBdr>
    </w:div>
    <w:div w:id="464274006">
      <w:bodyDiv w:val="1"/>
      <w:marLeft w:val="0"/>
      <w:marRight w:val="0"/>
      <w:marTop w:val="0"/>
      <w:marBottom w:val="0"/>
      <w:divBdr>
        <w:top w:val="none" w:sz="0" w:space="0" w:color="auto"/>
        <w:left w:val="none" w:sz="0" w:space="0" w:color="auto"/>
        <w:bottom w:val="none" w:sz="0" w:space="0" w:color="auto"/>
        <w:right w:val="none" w:sz="0" w:space="0" w:color="auto"/>
      </w:divBdr>
    </w:div>
    <w:div w:id="503328242">
      <w:bodyDiv w:val="1"/>
      <w:marLeft w:val="0"/>
      <w:marRight w:val="0"/>
      <w:marTop w:val="0"/>
      <w:marBottom w:val="0"/>
      <w:divBdr>
        <w:top w:val="none" w:sz="0" w:space="0" w:color="auto"/>
        <w:left w:val="none" w:sz="0" w:space="0" w:color="auto"/>
        <w:bottom w:val="none" w:sz="0" w:space="0" w:color="auto"/>
        <w:right w:val="none" w:sz="0" w:space="0" w:color="auto"/>
      </w:divBdr>
    </w:div>
    <w:div w:id="648949253">
      <w:bodyDiv w:val="1"/>
      <w:marLeft w:val="0"/>
      <w:marRight w:val="0"/>
      <w:marTop w:val="0"/>
      <w:marBottom w:val="0"/>
      <w:divBdr>
        <w:top w:val="none" w:sz="0" w:space="0" w:color="auto"/>
        <w:left w:val="none" w:sz="0" w:space="0" w:color="auto"/>
        <w:bottom w:val="none" w:sz="0" w:space="0" w:color="auto"/>
        <w:right w:val="none" w:sz="0" w:space="0" w:color="auto"/>
      </w:divBdr>
    </w:div>
    <w:div w:id="779766023">
      <w:bodyDiv w:val="1"/>
      <w:marLeft w:val="0"/>
      <w:marRight w:val="0"/>
      <w:marTop w:val="0"/>
      <w:marBottom w:val="0"/>
      <w:divBdr>
        <w:top w:val="none" w:sz="0" w:space="0" w:color="auto"/>
        <w:left w:val="none" w:sz="0" w:space="0" w:color="auto"/>
        <w:bottom w:val="none" w:sz="0" w:space="0" w:color="auto"/>
        <w:right w:val="none" w:sz="0" w:space="0" w:color="auto"/>
      </w:divBdr>
      <w:divsChild>
        <w:div w:id="1200120850">
          <w:marLeft w:val="274"/>
          <w:marRight w:val="0"/>
          <w:marTop w:val="0"/>
          <w:marBottom w:val="0"/>
          <w:divBdr>
            <w:top w:val="none" w:sz="0" w:space="0" w:color="auto"/>
            <w:left w:val="none" w:sz="0" w:space="0" w:color="auto"/>
            <w:bottom w:val="none" w:sz="0" w:space="0" w:color="auto"/>
            <w:right w:val="none" w:sz="0" w:space="0" w:color="auto"/>
          </w:divBdr>
        </w:div>
      </w:divsChild>
    </w:div>
    <w:div w:id="858355739">
      <w:bodyDiv w:val="1"/>
      <w:marLeft w:val="0"/>
      <w:marRight w:val="0"/>
      <w:marTop w:val="0"/>
      <w:marBottom w:val="0"/>
      <w:divBdr>
        <w:top w:val="none" w:sz="0" w:space="0" w:color="auto"/>
        <w:left w:val="none" w:sz="0" w:space="0" w:color="auto"/>
        <w:bottom w:val="none" w:sz="0" w:space="0" w:color="auto"/>
        <w:right w:val="none" w:sz="0" w:space="0" w:color="auto"/>
      </w:divBdr>
    </w:div>
    <w:div w:id="885602644">
      <w:bodyDiv w:val="1"/>
      <w:marLeft w:val="0"/>
      <w:marRight w:val="0"/>
      <w:marTop w:val="0"/>
      <w:marBottom w:val="0"/>
      <w:divBdr>
        <w:top w:val="none" w:sz="0" w:space="0" w:color="auto"/>
        <w:left w:val="none" w:sz="0" w:space="0" w:color="auto"/>
        <w:bottom w:val="none" w:sz="0" w:space="0" w:color="auto"/>
        <w:right w:val="none" w:sz="0" w:space="0" w:color="auto"/>
      </w:divBdr>
    </w:div>
    <w:div w:id="891113311">
      <w:bodyDiv w:val="1"/>
      <w:marLeft w:val="0"/>
      <w:marRight w:val="0"/>
      <w:marTop w:val="0"/>
      <w:marBottom w:val="0"/>
      <w:divBdr>
        <w:top w:val="none" w:sz="0" w:space="0" w:color="auto"/>
        <w:left w:val="none" w:sz="0" w:space="0" w:color="auto"/>
        <w:bottom w:val="none" w:sz="0" w:space="0" w:color="auto"/>
        <w:right w:val="none" w:sz="0" w:space="0" w:color="auto"/>
      </w:divBdr>
    </w:div>
    <w:div w:id="954945306">
      <w:bodyDiv w:val="1"/>
      <w:marLeft w:val="0"/>
      <w:marRight w:val="0"/>
      <w:marTop w:val="0"/>
      <w:marBottom w:val="0"/>
      <w:divBdr>
        <w:top w:val="none" w:sz="0" w:space="0" w:color="auto"/>
        <w:left w:val="none" w:sz="0" w:space="0" w:color="auto"/>
        <w:bottom w:val="none" w:sz="0" w:space="0" w:color="auto"/>
        <w:right w:val="none" w:sz="0" w:space="0" w:color="auto"/>
      </w:divBdr>
      <w:divsChild>
        <w:div w:id="86314447">
          <w:marLeft w:val="1627"/>
          <w:marRight w:val="0"/>
          <w:marTop w:val="67"/>
          <w:marBottom w:val="0"/>
          <w:divBdr>
            <w:top w:val="none" w:sz="0" w:space="0" w:color="auto"/>
            <w:left w:val="none" w:sz="0" w:space="0" w:color="auto"/>
            <w:bottom w:val="none" w:sz="0" w:space="0" w:color="auto"/>
            <w:right w:val="none" w:sz="0" w:space="0" w:color="auto"/>
          </w:divBdr>
        </w:div>
      </w:divsChild>
    </w:div>
    <w:div w:id="1099251892">
      <w:bodyDiv w:val="1"/>
      <w:marLeft w:val="0"/>
      <w:marRight w:val="0"/>
      <w:marTop w:val="0"/>
      <w:marBottom w:val="0"/>
      <w:divBdr>
        <w:top w:val="none" w:sz="0" w:space="0" w:color="auto"/>
        <w:left w:val="none" w:sz="0" w:space="0" w:color="auto"/>
        <w:bottom w:val="none" w:sz="0" w:space="0" w:color="auto"/>
        <w:right w:val="none" w:sz="0" w:space="0" w:color="auto"/>
      </w:divBdr>
    </w:div>
    <w:div w:id="1265191518">
      <w:bodyDiv w:val="1"/>
      <w:marLeft w:val="0"/>
      <w:marRight w:val="0"/>
      <w:marTop w:val="0"/>
      <w:marBottom w:val="0"/>
      <w:divBdr>
        <w:top w:val="none" w:sz="0" w:space="0" w:color="auto"/>
        <w:left w:val="none" w:sz="0" w:space="0" w:color="auto"/>
        <w:bottom w:val="none" w:sz="0" w:space="0" w:color="auto"/>
        <w:right w:val="none" w:sz="0" w:space="0" w:color="auto"/>
      </w:divBdr>
    </w:div>
    <w:div w:id="1372340736">
      <w:bodyDiv w:val="1"/>
      <w:marLeft w:val="0"/>
      <w:marRight w:val="0"/>
      <w:marTop w:val="0"/>
      <w:marBottom w:val="0"/>
      <w:divBdr>
        <w:top w:val="none" w:sz="0" w:space="0" w:color="auto"/>
        <w:left w:val="none" w:sz="0" w:space="0" w:color="auto"/>
        <w:bottom w:val="none" w:sz="0" w:space="0" w:color="auto"/>
        <w:right w:val="none" w:sz="0" w:space="0" w:color="auto"/>
      </w:divBdr>
    </w:div>
    <w:div w:id="1521429905">
      <w:bodyDiv w:val="1"/>
      <w:marLeft w:val="0"/>
      <w:marRight w:val="0"/>
      <w:marTop w:val="0"/>
      <w:marBottom w:val="0"/>
      <w:divBdr>
        <w:top w:val="none" w:sz="0" w:space="0" w:color="auto"/>
        <w:left w:val="none" w:sz="0" w:space="0" w:color="auto"/>
        <w:bottom w:val="none" w:sz="0" w:space="0" w:color="auto"/>
        <w:right w:val="none" w:sz="0" w:space="0" w:color="auto"/>
      </w:divBdr>
    </w:div>
    <w:div w:id="1537808756">
      <w:bodyDiv w:val="1"/>
      <w:marLeft w:val="0"/>
      <w:marRight w:val="0"/>
      <w:marTop w:val="0"/>
      <w:marBottom w:val="0"/>
      <w:divBdr>
        <w:top w:val="none" w:sz="0" w:space="0" w:color="auto"/>
        <w:left w:val="none" w:sz="0" w:space="0" w:color="auto"/>
        <w:bottom w:val="none" w:sz="0" w:space="0" w:color="auto"/>
        <w:right w:val="none" w:sz="0" w:space="0" w:color="auto"/>
      </w:divBdr>
    </w:div>
    <w:div w:id="1641111486">
      <w:bodyDiv w:val="1"/>
      <w:marLeft w:val="0"/>
      <w:marRight w:val="0"/>
      <w:marTop w:val="0"/>
      <w:marBottom w:val="0"/>
      <w:divBdr>
        <w:top w:val="none" w:sz="0" w:space="0" w:color="auto"/>
        <w:left w:val="none" w:sz="0" w:space="0" w:color="auto"/>
        <w:bottom w:val="none" w:sz="0" w:space="0" w:color="auto"/>
        <w:right w:val="none" w:sz="0" w:space="0" w:color="auto"/>
      </w:divBdr>
    </w:div>
    <w:div w:id="1698431005">
      <w:bodyDiv w:val="1"/>
      <w:marLeft w:val="0"/>
      <w:marRight w:val="0"/>
      <w:marTop w:val="0"/>
      <w:marBottom w:val="0"/>
      <w:divBdr>
        <w:top w:val="none" w:sz="0" w:space="0" w:color="auto"/>
        <w:left w:val="none" w:sz="0" w:space="0" w:color="auto"/>
        <w:bottom w:val="none" w:sz="0" w:space="0" w:color="auto"/>
        <w:right w:val="none" w:sz="0" w:space="0" w:color="auto"/>
      </w:divBdr>
    </w:div>
    <w:div w:id="1767195069">
      <w:bodyDiv w:val="1"/>
      <w:marLeft w:val="0"/>
      <w:marRight w:val="0"/>
      <w:marTop w:val="0"/>
      <w:marBottom w:val="0"/>
      <w:divBdr>
        <w:top w:val="none" w:sz="0" w:space="0" w:color="auto"/>
        <w:left w:val="none" w:sz="0" w:space="0" w:color="auto"/>
        <w:bottom w:val="none" w:sz="0" w:space="0" w:color="auto"/>
        <w:right w:val="none" w:sz="0" w:space="0" w:color="auto"/>
      </w:divBdr>
    </w:div>
    <w:div w:id="1793598880">
      <w:bodyDiv w:val="1"/>
      <w:marLeft w:val="0"/>
      <w:marRight w:val="0"/>
      <w:marTop w:val="0"/>
      <w:marBottom w:val="0"/>
      <w:divBdr>
        <w:top w:val="none" w:sz="0" w:space="0" w:color="auto"/>
        <w:left w:val="none" w:sz="0" w:space="0" w:color="auto"/>
        <w:bottom w:val="none" w:sz="0" w:space="0" w:color="auto"/>
        <w:right w:val="none" w:sz="0" w:space="0" w:color="auto"/>
      </w:divBdr>
    </w:div>
    <w:div w:id="1869248367">
      <w:bodyDiv w:val="1"/>
      <w:marLeft w:val="0"/>
      <w:marRight w:val="0"/>
      <w:marTop w:val="0"/>
      <w:marBottom w:val="0"/>
      <w:divBdr>
        <w:top w:val="none" w:sz="0" w:space="0" w:color="auto"/>
        <w:left w:val="none" w:sz="0" w:space="0" w:color="auto"/>
        <w:bottom w:val="none" w:sz="0" w:space="0" w:color="auto"/>
        <w:right w:val="none" w:sz="0" w:space="0" w:color="auto"/>
      </w:divBdr>
    </w:div>
    <w:div w:id="2031442459">
      <w:bodyDiv w:val="1"/>
      <w:marLeft w:val="0"/>
      <w:marRight w:val="0"/>
      <w:marTop w:val="0"/>
      <w:marBottom w:val="0"/>
      <w:divBdr>
        <w:top w:val="none" w:sz="0" w:space="0" w:color="auto"/>
        <w:left w:val="none" w:sz="0" w:space="0" w:color="auto"/>
        <w:bottom w:val="none" w:sz="0" w:space="0" w:color="auto"/>
        <w:right w:val="none" w:sz="0" w:space="0" w:color="auto"/>
      </w:divBdr>
    </w:div>
    <w:div w:id="2044134113">
      <w:bodyDiv w:val="1"/>
      <w:marLeft w:val="0"/>
      <w:marRight w:val="0"/>
      <w:marTop w:val="0"/>
      <w:marBottom w:val="0"/>
      <w:divBdr>
        <w:top w:val="none" w:sz="0" w:space="0" w:color="auto"/>
        <w:left w:val="none" w:sz="0" w:space="0" w:color="auto"/>
        <w:bottom w:val="none" w:sz="0" w:space="0" w:color="auto"/>
        <w:right w:val="none" w:sz="0" w:space="0" w:color="auto"/>
      </w:divBdr>
    </w:div>
    <w:div w:id="2100560953">
      <w:bodyDiv w:val="1"/>
      <w:marLeft w:val="0"/>
      <w:marRight w:val="0"/>
      <w:marTop w:val="0"/>
      <w:marBottom w:val="0"/>
      <w:divBdr>
        <w:top w:val="none" w:sz="0" w:space="0" w:color="auto"/>
        <w:left w:val="none" w:sz="0" w:space="0" w:color="auto"/>
        <w:bottom w:val="none" w:sz="0" w:space="0" w:color="auto"/>
        <w:right w:val="none" w:sz="0" w:space="0" w:color="auto"/>
      </w:divBdr>
    </w:div>
    <w:div w:id="2117627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7.png"/><Relationship Id="rId26" Type="http://schemas.openxmlformats.org/officeDocument/2006/relationships/image" Target="media/image12.png"/><Relationship Id="rId39" Type="http://schemas.openxmlformats.org/officeDocument/2006/relationships/image" Target="media/image19.png"/><Relationship Id="rId3" Type="http://schemas.openxmlformats.org/officeDocument/2006/relationships/styles" Target="styles.xml"/><Relationship Id="rId21" Type="http://schemas.openxmlformats.org/officeDocument/2006/relationships/footer" Target="footer5.xml"/><Relationship Id="rId34" Type="http://schemas.openxmlformats.org/officeDocument/2006/relationships/image" Target="media/image17.png"/><Relationship Id="rId42" Type="http://schemas.openxmlformats.org/officeDocument/2006/relationships/footer" Target="footer14.xml"/><Relationship Id="rId47" Type="http://schemas.openxmlformats.org/officeDocument/2006/relationships/image" Target="media/image24.png"/><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6.png"/><Relationship Id="rId25" Type="http://schemas.openxmlformats.org/officeDocument/2006/relationships/image" Target="media/image11.png"/><Relationship Id="rId33" Type="http://schemas.openxmlformats.org/officeDocument/2006/relationships/image" Target="media/image16.png"/><Relationship Id="rId38" Type="http://schemas.openxmlformats.org/officeDocument/2006/relationships/image" Target="media/image18.png"/><Relationship Id="rId46" Type="http://schemas.openxmlformats.org/officeDocument/2006/relationships/image" Target="media/image23.png"/><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image" Target="media/image9.png"/><Relationship Id="rId29" Type="http://schemas.openxmlformats.org/officeDocument/2006/relationships/footer" Target="footer9.xml"/><Relationship Id="rId41" Type="http://schemas.openxmlformats.org/officeDocument/2006/relationships/image" Target="media/image2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image" Target="media/image10.png"/><Relationship Id="rId32" Type="http://schemas.openxmlformats.org/officeDocument/2006/relationships/footer" Target="footer10.xml"/><Relationship Id="rId37" Type="http://schemas.openxmlformats.org/officeDocument/2006/relationships/footer" Target="footer13.xml"/><Relationship Id="rId40" Type="http://schemas.openxmlformats.org/officeDocument/2006/relationships/image" Target="media/image20.png"/><Relationship Id="rId45" Type="http://schemas.openxmlformats.org/officeDocument/2006/relationships/image" Target="media/image22.png"/><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7.xml"/><Relationship Id="rId28" Type="http://schemas.openxmlformats.org/officeDocument/2006/relationships/footer" Target="footer8.xml"/><Relationship Id="rId36" Type="http://schemas.openxmlformats.org/officeDocument/2006/relationships/footer" Target="footer12.xml"/><Relationship Id="rId49" Type="http://schemas.openxmlformats.org/officeDocument/2006/relationships/footer" Target="footer16.xml"/><Relationship Id="rId10" Type="http://schemas.openxmlformats.org/officeDocument/2006/relationships/footer" Target="footer2.xml"/><Relationship Id="rId19" Type="http://schemas.openxmlformats.org/officeDocument/2006/relationships/image" Target="media/image8.png"/><Relationship Id="rId31" Type="http://schemas.openxmlformats.org/officeDocument/2006/relationships/image" Target="media/image15.png"/><Relationship Id="rId44" Type="http://schemas.openxmlformats.org/officeDocument/2006/relationships/footer" Target="footer1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png"/><Relationship Id="rId22" Type="http://schemas.openxmlformats.org/officeDocument/2006/relationships/footer" Target="footer6.xml"/><Relationship Id="rId27" Type="http://schemas.openxmlformats.org/officeDocument/2006/relationships/image" Target="media/image13.png"/><Relationship Id="rId30" Type="http://schemas.openxmlformats.org/officeDocument/2006/relationships/image" Target="media/image14.png"/><Relationship Id="rId35" Type="http://schemas.openxmlformats.org/officeDocument/2006/relationships/footer" Target="footer11.xml"/><Relationship Id="rId43" Type="http://schemas.openxmlformats.org/officeDocument/2006/relationships/header" Target="header1.xml"/><Relationship Id="rId48" Type="http://schemas.openxmlformats.org/officeDocument/2006/relationships/image" Target="media/image25.png"/><Relationship Id="rId8" Type="http://schemas.openxmlformats.org/officeDocument/2006/relationships/image" Target="media/image1.png"/><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3FE64B-4D17-40FF-93E1-17A08D4BF0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352</TotalTime>
  <Pages>16</Pages>
  <Words>2086</Words>
  <Characters>11891</Characters>
  <Application>Microsoft Office Word</Application>
  <DocSecurity>0</DocSecurity>
  <Lines>99</Lines>
  <Paragraphs>27</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HBOR</Company>
  <LinksUpToDate>false</LinksUpToDate>
  <CharactersWithSpaces>13950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Ivanjko Renata</dc:creator>
  <cp:keywords/>
  <dc:description/>
  <cp:lastModifiedBy>Juras Mirjana</cp:lastModifiedBy>
  <cp:revision>40</cp:revision>
  <cp:lastPrinted>2019-05-30T10:03:00Z</cp:lastPrinted>
  <dcterms:created xsi:type="dcterms:W3CDTF">2020-05-13T13:54:00Z</dcterms:created>
  <dcterms:modified xsi:type="dcterms:W3CDTF">2020-05-22T08:48:00Z</dcterms:modified>
</cp:coreProperties>
</file>