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AAC9F8" w14:textId="77777777" w:rsidR="00917765" w:rsidRPr="00FC6062" w:rsidRDefault="00917765" w:rsidP="00917765">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REPORT ON FINANCIAL PERFORMANCE</w:t>
      </w:r>
    </w:p>
    <w:p w14:paraId="2612D682" w14:textId="77777777" w:rsidR="00917765" w:rsidRPr="00FC6062" w:rsidRDefault="00917765" w:rsidP="00917765">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3BBC0188" w14:textId="09817CDA" w:rsidR="00917765" w:rsidRPr="00DE5D49" w:rsidRDefault="00917765" w:rsidP="00917765">
      <w:pPr>
        <w:tabs>
          <w:tab w:val="left" w:pos="-720"/>
          <w:tab w:val="left" w:pos="0"/>
        </w:tabs>
        <w:suppressAutoHyphens/>
        <w:spacing w:after="0" w:line="240" w:lineRule="auto"/>
        <w:jc w:val="center"/>
        <w:rPr>
          <w:rFonts w:eastAsia="Times New Roman" w:cs="Calibri"/>
          <w:b/>
          <w:spacing w:val="-3"/>
          <w:sz w:val="32"/>
          <w:szCs w:val="32"/>
          <w:lang w:val="en-GB" w:eastAsia="hr-HR"/>
        </w:rPr>
      </w:pPr>
      <w:r w:rsidRPr="00DE5D49">
        <w:rPr>
          <w:rFonts w:eastAsia="Times New Roman" w:cs="Calibri"/>
          <w:b/>
          <w:spacing w:val="-3"/>
          <w:sz w:val="32"/>
          <w:szCs w:val="32"/>
          <w:lang w:val="en-GB" w:eastAsia="hr-HR"/>
        </w:rPr>
        <w:t>FOR THE PERIOD 1 JANUARY – 3</w:t>
      </w:r>
      <w:r w:rsidR="00DE5D49" w:rsidRPr="00DE5D49">
        <w:rPr>
          <w:rFonts w:eastAsia="Times New Roman" w:cs="Calibri"/>
          <w:b/>
          <w:spacing w:val="-3"/>
          <w:sz w:val="32"/>
          <w:szCs w:val="32"/>
          <w:lang w:val="en-GB" w:eastAsia="hr-HR"/>
        </w:rPr>
        <w:t>1</w:t>
      </w:r>
      <w:r w:rsidRPr="00DE5D49">
        <w:rPr>
          <w:rFonts w:eastAsia="Times New Roman" w:cs="Calibri"/>
          <w:b/>
          <w:spacing w:val="-3"/>
          <w:sz w:val="32"/>
          <w:szCs w:val="32"/>
          <w:lang w:val="en-GB" w:eastAsia="hr-HR"/>
        </w:rPr>
        <w:t xml:space="preserve"> </w:t>
      </w:r>
      <w:r w:rsidR="00DE5D49" w:rsidRPr="00DE5D49">
        <w:rPr>
          <w:rFonts w:eastAsia="Times New Roman" w:cs="Calibri"/>
          <w:b/>
          <w:spacing w:val="-3"/>
          <w:sz w:val="32"/>
          <w:szCs w:val="32"/>
          <w:lang w:val="en-GB" w:eastAsia="hr-HR"/>
        </w:rPr>
        <w:t>MARCH</w:t>
      </w:r>
      <w:r w:rsidRPr="00DE5D49">
        <w:rPr>
          <w:rFonts w:eastAsia="Times New Roman" w:cs="Calibri"/>
          <w:b/>
          <w:spacing w:val="-3"/>
          <w:sz w:val="32"/>
          <w:szCs w:val="32"/>
          <w:lang w:val="en-GB" w:eastAsia="hr-HR"/>
        </w:rPr>
        <w:t xml:space="preserve"> 202</w:t>
      </w:r>
      <w:r w:rsidR="00DE5D49" w:rsidRPr="00DE5D49">
        <w:rPr>
          <w:rFonts w:eastAsia="Times New Roman" w:cs="Calibri"/>
          <w:b/>
          <w:spacing w:val="-3"/>
          <w:sz w:val="32"/>
          <w:szCs w:val="32"/>
          <w:lang w:val="en-GB" w:eastAsia="hr-HR"/>
        </w:rPr>
        <w:t>1</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30E9FDCE"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DE5D49">
        <w:rPr>
          <w:rFonts w:eastAsia="Times New Roman" w:cs="Calibri"/>
          <w:b/>
          <w:spacing w:val="-3"/>
          <w:sz w:val="24"/>
          <w:szCs w:val="24"/>
          <w:lang w:val="en-GB" w:eastAsia="hr-HR"/>
        </w:rPr>
        <w:t>May</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DE5D49">
        <w:rPr>
          <w:rFonts w:eastAsia="Times New Roman" w:cs="Calibri"/>
          <w:b/>
          <w:spacing w:val="-3"/>
          <w:sz w:val="24"/>
          <w:szCs w:val="24"/>
          <w:lang w:val="en-GB" w:eastAsia="hr-HR"/>
        </w:rPr>
        <w:t>1</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6CA2EFD3" w14:textId="0C4C2DF7" w:rsidR="00EC2777" w:rsidRPr="00EC2777" w:rsidRDefault="00EC2777" w:rsidP="000E279A">
      <w:pPr>
        <w:rPr>
          <w:rFonts w:eastAsia="Times New Roman" w:cs="Calibri"/>
          <w:bCs/>
          <w:spacing w:val="-3"/>
          <w:sz w:val="24"/>
          <w:szCs w:val="24"/>
          <w:lang w:val="en-GB" w:eastAsia="hr-HR"/>
        </w:rPr>
      </w:pPr>
    </w:p>
    <w:p w14:paraId="2D467EC9" w14:textId="77777777" w:rsidR="00EC2777" w:rsidRDefault="00EC2777">
      <w:pPr>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77F58D61"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6DA5BCC3" w14:textId="77777777" w:rsidR="00784F6E" w:rsidRDefault="00784F6E" w:rsidP="00784F6E">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7343BA20" w14:textId="77777777" w:rsidR="00784F6E" w:rsidRDefault="00784F6E" w:rsidP="00784F6E">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0A477AEE" w:rsidR="00431B44" w:rsidRPr="00041197" w:rsidRDefault="00431B44" w:rsidP="00784F6E">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344" w:type="dxa"/>
        <w:tblLayout w:type="fixed"/>
        <w:tblLook w:val="04A0" w:firstRow="1" w:lastRow="0" w:firstColumn="1" w:lastColumn="0" w:noHBand="0" w:noVBand="1"/>
      </w:tblPr>
      <w:tblGrid>
        <w:gridCol w:w="2518"/>
        <w:gridCol w:w="2374"/>
        <w:gridCol w:w="2226"/>
        <w:gridCol w:w="2226"/>
      </w:tblGrid>
      <w:tr w:rsidR="00536FBE" w:rsidRPr="00041197" w14:paraId="13453D8D" w14:textId="3063E5ED" w:rsidTr="00DE5D4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808080" w:themeColor="background1" w:themeShade="80"/>
            </w:tcBorders>
            <w:hideMark/>
          </w:tcPr>
          <w:p w14:paraId="3C8F73DC" w14:textId="77777777" w:rsidR="00536FBE" w:rsidRPr="00041197" w:rsidRDefault="00536FBE" w:rsidP="00536FBE">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374" w:type="dxa"/>
            <w:tcBorders>
              <w:left w:val="single" w:sz="4" w:space="0" w:color="A6A6A6" w:themeColor="background1" w:themeShade="A6"/>
              <w:bottom w:val="single" w:sz="4" w:space="0" w:color="808080" w:themeColor="background1" w:themeShade="80"/>
            </w:tcBorders>
            <w:vAlign w:val="bottom"/>
          </w:tcPr>
          <w:p w14:paraId="077D381D" w14:textId="35B0B892" w:rsidR="00536FBE" w:rsidRPr="00041197" w:rsidRDefault="00536FBE" w:rsidP="00536FBE">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226" w:type="dxa"/>
            <w:tcBorders>
              <w:left w:val="single" w:sz="4" w:space="0" w:color="A6A6A6" w:themeColor="background1" w:themeShade="A6"/>
              <w:bottom w:val="single" w:sz="4" w:space="0" w:color="808080" w:themeColor="background1" w:themeShade="80"/>
            </w:tcBorders>
            <w:vAlign w:val="bottom"/>
          </w:tcPr>
          <w:p w14:paraId="69DE613C" w14:textId="1D47D841" w:rsidR="00536FBE" w:rsidRPr="00041197" w:rsidRDefault="00536FBE" w:rsidP="00536FB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w:t>
            </w:r>
            <w:r>
              <w:rPr>
                <w:rFonts w:ascii="Calibri" w:eastAsia="Times New Roman" w:hAnsi="Calibri" w:cs="Times New Roman"/>
                <w:color w:val="000000"/>
                <w:sz w:val="24"/>
                <w:szCs w:val="24"/>
                <w:lang w:val="en-GB" w:eastAsia="hr-HR"/>
              </w:rPr>
              <w:t>20</w:t>
            </w:r>
          </w:p>
        </w:tc>
        <w:tc>
          <w:tcPr>
            <w:tcW w:w="2226" w:type="dxa"/>
            <w:tcBorders>
              <w:left w:val="single" w:sz="4" w:space="0" w:color="A6A6A6" w:themeColor="background1" w:themeShade="A6"/>
              <w:bottom w:val="single" w:sz="4" w:space="0" w:color="808080" w:themeColor="background1" w:themeShade="80"/>
            </w:tcBorders>
          </w:tcPr>
          <w:p w14:paraId="03787278" w14:textId="7D4D9EC7" w:rsidR="00536FBE" w:rsidRPr="00041197" w:rsidRDefault="00536FBE" w:rsidP="00536FB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val="en-GB" w:eastAsia="hr-HR"/>
              </w:rPr>
              <w:t>31 March 2021</w:t>
            </w:r>
          </w:p>
        </w:tc>
      </w:tr>
      <w:tr w:rsidR="00077216" w:rsidRPr="00041197" w14:paraId="435C76D3" w14:textId="3ECC1001" w:rsidTr="006A6766">
        <w:trPr>
          <w:trHeight w:val="274"/>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808080" w:themeColor="background1" w:themeShade="80"/>
            </w:tcBorders>
            <w:hideMark/>
          </w:tcPr>
          <w:p w14:paraId="6256FC46"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Total assets</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26" w:type="dxa"/>
            <w:tcBorders>
              <w:bottom w:val="single" w:sz="8" w:space="0" w:color="999999"/>
              <w:right w:val="single" w:sz="8" w:space="0" w:color="999999"/>
            </w:tcBorders>
            <w:shd w:val="clear" w:color="auto" w:fill="FFFFFF"/>
            <w:vAlign w:val="bottom"/>
          </w:tcPr>
          <w:p w14:paraId="77F3143E" w14:textId="1CECCDB0"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28,706.5</w:t>
            </w:r>
          </w:p>
        </w:tc>
        <w:tc>
          <w:tcPr>
            <w:tcW w:w="2226" w:type="dxa"/>
            <w:tcBorders>
              <w:bottom w:val="single" w:sz="8" w:space="0" w:color="999999"/>
              <w:right w:val="single" w:sz="8" w:space="0" w:color="999999"/>
            </w:tcBorders>
            <w:shd w:val="clear" w:color="auto" w:fill="FFFFFF"/>
            <w:vAlign w:val="bottom"/>
          </w:tcPr>
          <w:p w14:paraId="358EC8DC" w14:textId="1251B8BE"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29,450.5</w:t>
            </w:r>
          </w:p>
        </w:tc>
      </w:tr>
      <w:tr w:rsidR="00077216" w:rsidRPr="00041197" w14:paraId="37DB500C" w14:textId="41BC793D" w:rsidTr="006A6766">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4D47507F"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Gross loans</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226" w:type="dxa"/>
            <w:tcBorders>
              <w:bottom w:val="single" w:sz="8" w:space="0" w:color="999999"/>
              <w:right w:val="single" w:sz="8" w:space="0" w:color="999999"/>
            </w:tcBorders>
            <w:shd w:val="clear" w:color="auto" w:fill="FFFFFF"/>
            <w:vAlign w:val="bottom"/>
          </w:tcPr>
          <w:p w14:paraId="3E254BD7" w14:textId="439B94F5"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27,197.3</w:t>
            </w:r>
          </w:p>
        </w:tc>
        <w:tc>
          <w:tcPr>
            <w:tcW w:w="2226" w:type="dxa"/>
            <w:tcBorders>
              <w:bottom w:val="single" w:sz="8" w:space="0" w:color="999999"/>
              <w:right w:val="single" w:sz="8" w:space="0" w:color="999999"/>
            </w:tcBorders>
            <w:shd w:val="clear" w:color="auto" w:fill="FFFFFF"/>
            <w:vAlign w:val="bottom"/>
          </w:tcPr>
          <w:p w14:paraId="7683E06A" w14:textId="26359B10"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27,287.1</w:t>
            </w:r>
          </w:p>
        </w:tc>
      </w:tr>
      <w:tr w:rsidR="00077216" w:rsidRPr="00041197" w14:paraId="22CEE40F" w14:textId="3C4538BF" w:rsidTr="006A6766">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739AA723"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Total equity</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26" w:type="dxa"/>
            <w:tcBorders>
              <w:bottom w:val="single" w:sz="8" w:space="0" w:color="999999"/>
              <w:right w:val="single" w:sz="8" w:space="0" w:color="999999"/>
            </w:tcBorders>
            <w:shd w:val="clear" w:color="auto" w:fill="FFFFFF"/>
            <w:vAlign w:val="bottom"/>
          </w:tcPr>
          <w:p w14:paraId="6FAB89B5" w14:textId="42AE4170"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10,363.7</w:t>
            </w:r>
          </w:p>
        </w:tc>
        <w:tc>
          <w:tcPr>
            <w:tcW w:w="2226" w:type="dxa"/>
            <w:tcBorders>
              <w:bottom w:val="single" w:sz="8" w:space="0" w:color="999999"/>
              <w:right w:val="single" w:sz="8" w:space="0" w:color="999999"/>
            </w:tcBorders>
            <w:shd w:val="clear" w:color="auto" w:fill="FFFFFF"/>
            <w:vAlign w:val="bottom"/>
          </w:tcPr>
          <w:p w14:paraId="469EC324" w14:textId="340F7E60"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10,446.4</w:t>
            </w:r>
          </w:p>
        </w:tc>
      </w:tr>
      <w:tr w:rsidR="00DE5D49" w:rsidRPr="00041197" w14:paraId="58F26018" w14:textId="53B1080E" w:rsidTr="00DE5D49">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760FDE4D" w14:textId="77777777" w:rsidR="00DE5D49" w:rsidRPr="00DE5D49" w:rsidRDefault="00DE5D49" w:rsidP="00AB1CBC">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 </w:t>
            </w:r>
          </w:p>
        </w:tc>
        <w:tc>
          <w:tcPr>
            <w:tcW w:w="2374" w:type="dxa"/>
            <w:tcBorders>
              <w:left w:val="single" w:sz="4" w:space="0" w:color="A6A6A6" w:themeColor="background1" w:themeShade="A6"/>
            </w:tcBorders>
            <w:vAlign w:val="bottom"/>
          </w:tcPr>
          <w:p w14:paraId="1FB8C3FF" w14:textId="77777777" w:rsidR="00DE5D49" w:rsidRPr="00041197" w:rsidRDefault="00DE5D49" w:rsidP="00AB1CB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26" w:type="dxa"/>
            <w:tcBorders>
              <w:left w:val="single" w:sz="4" w:space="0" w:color="A6A6A6" w:themeColor="background1" w:themeShade="A6"/>
            </w:tcBorders>
            <w:vAlign w:val="bottom"/>
          </w:tcPr>
          <w:p w14:paraId="0E43C53D" w14:textId="77777777" w:rsidR="00DE5D49" w:rsidRPr="00041197" w:rsidRDefault="00DE5D49"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26" w:type="dxa"/>
            <w:tcBorders>
              <w:left w:val="single" w:sz="4" w:space="0" w:color="A6A6A6" w:themeColor="background1" w:themeShade="A6"/>
            </w:tcBorders>
          </w:tcPr>
          <w:p w14:paraId="498EE1F8" w14:textId="77777777" w:rsidR="00DE5D49" w:rsidRPr="00041197" w:rsidRDefault="00DE5D49"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536FBE" w:rsidRPr="00041197" w14:paraId="7EDEBC92" w14:textId="097FBB9E" w:rsidTr="007013FB">
        <w:trPr>
          <w:trHeight w:val="274"/>
        </w:trPr>
        <w:tc>
          <w:tcPr>
            <w:cnfStyle w:val="001000000000" w:firstRow="0" w:lastRow="0" w:firstColumn="1" w:lastColumn="0" w:oddVBand="0" w:evenVBand="0" w:oddHBand="0" w:evenHBand="0" w:firstRowFirstColumn="0" w:firstRowLastColumn="0" w:lastRowFirstColumn="0" w:lastRowLastColumn="0"/>
            <w:tcW w:w="2518" w:type="dxa"/>
          </w:tcPr>
          <w:p w14:paraId="655D55A1" w14:textId="77777777" w:rsidR="00536FBE" w:rsidRPr="00DE5D49" w:rsidRDefault="00536FBE" w:rsidP="00536FBE">
            <w:pPr>
              <w:rPr>
                <w:rFonts w:ascii="Calibri" w:eastAsia="Times New Roman" w:hAnsi="Calibri" w:cs="Times New Roman"/>
                <w:b w:val="0"/>
                <w:bCs w:val="0"/>
                <w:color w:val="000000"/>
                <w:sz w:val="24"/>
                <w:szCs w:val="24"/>
                <w:lang w:val="en-GB" w:eastAsia="hr-HR"/>
              </w:rPr>
            </w:pPr>
          </w:p>
        </w:tc>
        <w:tc>
          <w:tcPr>
            <w:tcW w:w="2374"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043511E" w14:textId="77777777" w:rsidR="00536FBE" w:rsidRPr="00FC6062" w:rsidRDefault="00536FBE" w:rsidP="00536FB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ascii="Calibri" w:hAnsi="Calibri"/>
                <w:b/>
                <w:bCs/>
                <w:color w:val="000000"/>
                <w:sz w:val="24"/>
                <w:szCs w:val="24"/>
                <w:lang w:val="en-GB"/>
              </w:rPr>
              <w:t xml:space="preserve">1 January – </w:t>
            </w:r>
          </w:p>
          <w:p w14:paraId="5F05E7AB" w14:textId="7CF2A6E1" w:rsidR="00536FBE" w:rsidRPr="00041197" w:rsidRDefault="00536FBE" w:rsidP="00536FBE">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FC6062">
              <w:rPr>
                <w:rFonts w:ascii="Calibri" w:hAnsi="Calibri"/>
                <w:b/>
                <w:bCs/>
                <w:color w:val="000000"/>
                <w:sz w:val="24"/>
                <w:szCs w:val="24"/>
                <w:lang w:val="en-GB"/>
              </w:rPr>
              <w:t>3</w:t>
            </w:r>
            <w:r>
              <w:rPr>
                <w:rFonts w:ascii="Calibri" w:hAnsi="Calibri"/>
                <w:b/>
                <w:bCs/>
                <w:color w:val="000000"/>
                <w:sz w:val="24"/>
                <w:szCs w:val="24"/>
                <w:lang w:val="en-GB"/>
              </w:rPr>
              <w:t>1</w:t>
            </w:r>
            <w:r w:rsidRPr="00FC6062">
              <w:rPr>
                <w:rFonts w:ascii="Calibri" w:hAnsi="Calibri"/>
                <w:b/>
                <w:bCs/>
                <w:color w:val="000000"/>
                <w:sz w:val="24"/>
                <w:szCs w:val="24"/>
                <w:lang w:val="en-GB"/>
              </w:rPr>
              <w:t xml:space="preserve"> </w:t>
            </w:r>
            <w:r>
              <w:rPr>
                <w:rFonts w:ascii="Calibri" w:hAnsi="Calibri"/>
                <w:b/>
                <w:bCs/>
                <w:color w:val="000000"/>
                <w:sz w:val="24"/>
                <w:szCs w:val="24"/>
                <w:lang w:val="en-GB"/>
              </w:rPr>
              <w:t>March</w:t>
            </w:r>
            <w:r w:rsidRPr="00FC6062">
              <w:rPr>
                <w:rFonts w:ascii="Calibri" w:hAnsi="Calibri"/>
                <w:b/>
                <w:bCs/>
                <w:color w:val="000000"/>
                <w:sz w:val="24"/>
                <w:szCs w:val="24"/>
                <w:lang w:val="en-GB"/>
              </w:rPr>
              <w:t xml:space="preserve"> 2019</w:t>
            </w:r>
          </w:p>
        </w:tc>
        <w:tc>
          <w:tcPr>
            <w:tcW w:w="2226" w:type="dxa"/>
            <w:tcBorders>
              <w:left w:val="single" w:sz="4" w:space="0" w:color="A6A6A6" w:themeColor="background1" w:themeShade="A6"/>
              <w:bottom w:val="single" w:sz="4" w:space="0" w:color="999999" w:themeColor="text1" w:themeTint="66"/>
            </w:tcBorders>
            <w:vAlign w:val="bottom"/>
          </w:tcPr>
          <w:p w14:paraId="69FEC5E7" w14:textId="648C73D6" w:rsidR="00536FBE" w:rsidRDefault="00536FBE" w:rsidP="00536FB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09568B6" w14:textId="66CD1193" w:rsidR="00536FBE" w:rsidRPr="00041197" w:rsidRDefault="00536FBE" w:rsidP="00536F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784F6E">
              <w:rPr>
                <w:rFonts w:ascii="Calibri" w:hAnsi="Calibri"/>
                <w:b/>
                <w:bCs/>
                <w:color w:val="000000"/>
                <w:sz w:val="24"/>
                <w:szCs w:val="24"/>
                <w:lang w:val="en-GB"/>
              </w:rPr>
              <w:t>3</w:t>
            </w:r>
            <w:r>
              <w:rPr>
                <w:rFonts w:ascii="Calibri" w:hAnsi="Calibri"/>
                <w:b/>
                <w:bCs/>
                <w:color w:val="000000"/>
                <w:sz w:val="24"/>
                <w:szCs w:val="24"/>
                <w:lang w:val="en-GB"/>
              </w:rPr>
              <w:t>1 March</w:t>
            </w:r>
            <w:r w:rsidRPr="00784F6E">
              <w:rPr>
                <w:rFonts w:ascii="Calibri" w:hAnsi="Calibri"/>
                <w:b/>
                <w:bCs/>
                <w:color w:val="000000"/>
                <w:sz w:val="24"/>
                <w:szCs w:val="24"/>
                <w:lang w:val="en-GB"/>
              </w:rPr>
              <w:t xml:space="preserve"> 20</w:t>
            </w:r>
            <w:r>
              <w:rPr>
                <w:rFonts w:ascii="Calibri" w:hAnsi="Calibri"/>
                <w:b/>
                <w:bCs/>
                <w:color w:val="000000"/>
                <w:sz w:val="24"/>
                <w:szCs w:val="24"/>
                <w:lang w:val="en-GB"/>
              </w:rPr>
              <w:t>20</w:t>
            </w:r>
          </w:p>
        </w:tc>
        <w:tc>
          <w:tcPr>
            <w:tcW w:w="2226" w:type="dxa"/>
            <w:tcBorders>
              <w:left w:val="single" w:sz="4" w:space="0" w:color="A6A6A6" w:themeColor="background1" w:themeShade="A6"/>
              <w:bottom w:val="single" w:sz="4" w:space="0" w:color="999999" w:themeColor="text1" w:themeTint="66"/>
            </w:tcBorders>
            <w:vAlign w:val="bottom"/>
          </w:tcPr>
          <w:p w14:paraId="22DFF59E" w14:textId="77777777" w:rsidR="00536FBE" w:rsidRDefault="00536FBE" w:rsidP="00536FB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44D4BAF" w14:textId="545F2528" w:rsidR="00536FBE" w:rsidRDefault="00536FBE" w:rsidP="00536FB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784F6E">
              <w:rPr>
                <w:rFonts w:ascii="Calibri" w:hAnsi="Calibri"/>
                <w:b/>
                <w:bCs/>
                <w:color w:val="000000"/>
                <w:sz w:val="24"/>
                <w:szCs w:val="24"/>
                <w:lang w:val="en-GB"/>
              </w:rPr>
              <w:t>3</w:t>
            </w:r>
            <w:r>
              <w:rPr>
                <w:rFonts w:ascii="Calibri" w:hAnsi="Calibri"/>
                <w:b/>
                <w:bCs/>
                <w:color w:val="000000"/>
                <w:sz w:val="24"/>
                <w:szCs w:val="24"/>
                <w:lang w:val="en-GB"/>
              </w:rPr>
              <w:t>1 March</w:t>
            </w:r>
            <w:r w:rsidRPr="00784F6E">
              <w:rPr>
                <w:rFonts w:ascii="Calibri" w:hAnsi="Calibri"/>
                <w:b/>
                <w:bCs/>
                <w:color w:val="000000"/>
                <w:sz w:val="24"/>
                <w:szCs w:val="24"/>
                <w:lang w:val="en-GB"/>
              </w:rPr>
              <w:t xml:space="preserve"> 20</w:t>
            </w:r>
            <w:r>
              <w:rPr>
                <w:rFonts w:ascii="Calibri" w:hAnsi="Calibri"/>
                <w:b/>
                <w:bCs/>
                <w:color w:val="000000"/>
                <w:sz w:val="24"/>
                <w:szCs w:val="24"/>
                <w:lang w:val="en-GB"/>
              </w:rPr>
              <w:t>21</w:t>
            </w:r>
          </w:p>
        </w:tc>
      </w:tr>
      <w:tr w:rsidR="00077216" w:rsidRPr="00041197" w14:paraId="2181DB6C" w14:textId="245D1D4B" w:rsidTr="00DA64D8">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41F51E8F"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Total income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D251F1" w14:textId="321135A3"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Pr>
                <w:rFonts w:ascii="Calibri" w:eastAsia="Times New Roman" w:hAnsi="Calibri" w:cs="Times New Roman"/>
                <w:color w:val="000000"/>
                <w:sz w:val="24"/>
                <w:szCs w:val="24"/>
                <w:lang w:eastAsia="hr-HR"/>
              </w:rPr>
              <w:t>177.</w:t>
            </w:r>
            <w:r w:rsidRPr="00105122">
              <w:rPr>
                <w:rFonts w:ascii="Calibri" w:hAnsi="Calibri"/>
                <w:color w:val="000000"/>
                <w:sz w:val="24"/>
              </w:rPr>
              <w:t>4</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594380C9"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170</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3</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33979E0" w14:textId="4DC0DF35"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193.9</w:t>
            </w:r>
          </w:p>
        </w:tc>
      </w:tr>
      <w:tr w:rsidR="00077216" w:rsidRPr="00041197" w14:paraId="6FD2D16E" w14:textId="6F053F9E" w:rsidTr="00DA64D8">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0DCB8BF0"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Total expense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0692F882" w14:textId="0DB07F4E"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105122">
              <w:rPr>
                <w:rFonts w:ascii="Calibri" w:hAnsi="Calibri"/>
                <w:color w:val="000000"/>
                <w:sz w:val="24"/>
              </w:rPr>
              <w:t>(</w:t>
            </w:r>
            <w:r>
              <w:rPr>
                <w:rFonts w:ascii="Calibri" w:eastAsia="Times New Roman" w:hAnsi="Calibri" w:cs="Times New Roman"/>
                <w:color w:val="000000"/>
                <w:sz w:val="24"/>
                <w:szCs w:val="24"/>
                <w:lang w:eastAsia="hr-HR"/>
              </w:rPr>
              <w:t>155.8</w:t>
            </w:r>
            <w:r w:rsidRPr="00105122">
              <w:rPr>
                <w:rFonts w:ascii="Calibri" w:hAnsi="Calibri"/>
                <w:color w:val="000000"/>
                <w:sz w:val="24"/>
              </w:rPr>
              <w:t>)</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47109679"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148</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1</w:t>
            </w:r>
            <w:r>
              <w:rPr>
                <w:rFonts w:ascii="Calibri" w:eastAsia="Times New Roman" w:hAnsi="Calibri" w:cs="Times New Roman"/>
                <w:color w:val="000000"/>
                <w:sz w:val="24"/>
                <w:szCs w:val="24"/>
                <w:lang w:eastAsia="hr-HR"/>
              </w:rPr>
              <w:t>)</w:t>
            </w:r>
          </w:p>
        </w:tc>
        <w:tc>
          <w:tcPr>
            <w:tcW w:w="2226" w:type="dxa"/>
            <w:tcBorders>
              <w:bottom w:val="single" w:sz="8" w:space="0" w:color="999999"/>
              <w:right w:val="single" w:sz="8" w:space="0" w:color="999999"/>
            </w:tcBorders>
            <w:shd w:val="clear" w:color="auto" w:fill="FFFFFF"/>
            <w:vAlign w:val="bottom"/>
          </w:tcPr>
          <w:p w14:paraId="376687E9" w14:textId="5C4AA3F0"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(105.3)</w:t>
            </w:r>
          </w:p>
        </w:tc>
      </w:tr>
      <w:tr w:rsidR="00077216" w:rsidRPr="00041197" w14:paraId="6DCC78EF" w14:textId="7378C4B1" w:rsidTr="00DA64D8">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05B95BC1"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Profit</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6426166B" w14:textId="62697034"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ascii="Calibri" w:eastAsia="Times New Roman" w:hAnsi="Calibri" w:cs="Times New Roman"/>
                <w:color w:val="000000"/>
                <w:sz w:val="24"/>
                <w:szCs w:val="24"/>
                <w:lang w:eastAsia="hr-HR"/>
              </w:rPr>
              <w:t>21</w:t>
            </w:r>
            <w:r>
              <w:rPr>
                <w:rFonts w:ascii="Calibri" w:eastAsia="Times New Roman" w:hAnsi="Calibri" w:cs="Times New Roman"/>
                <w:color w:val="000000"/>
                <w:sz w:val="24"/>
                <w:szCs w:val="24"/>
                <w:lang w:eastAsia="hr-HR"/>
              </w:rPr>
              <w:t>.</w:t>
            </w:r>
            <w:r w:rsidRPr="00677419">
              <w:rPr>
                <w:rFonts w:ascii="Calibri" w:eastAsia="Times New Roman" w:hAnsi="Calibri" w:cs="Times New Roman"/>
                <w:color w:val="000000"/>
                <w:sz w:val="24"/>
                <w:szCs w:val="24"/>
                <w:lang w:eastAsia="hr-HR"/>
              </w:rPr>
              <w:t>6</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02026957"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22</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2</w:t>
            </w:r>
          </w:p>
        </w:tc>
        <w:tc>
          <w:tcPr>
            <w:tcW w:w="2226" w:type="dxa"/>
            <w:tcBorders>
              <w:bottom w:val="single" w:sz="8" w:space="0" w:color="999999"/>
              <w:right w:val="single" w:sz="8" w:space="0" w:color="999999"/>
            </w:tcBorders>
            <w:shd w:val="clear" w:color="auto" w:fill="FFFFFF"/>
            <w:vAlign w:val="bottom"/>
          </w:tcPr>
          <w:p w14:paraId="7B1EAC57" w14:textId="6AD1AE6B"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88.6</w:t>
            </w:r>
          </w:p>
        </w:tc>
      </w:tr>
      <w:tr w:rsidR="00DE5D49" w:rsidRPr="00041197" w14:paraId="3F07B508" w14:textId="62C67120" w:rsidTr="00DE5D49">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584860A2" w14:textId="77777777" w:rsidR="00DE5D49" w:rsidRPr="00DE5D49" w:rsidRDefault="00DE5D49" w:rsidP="001A6968">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 </w:t>
            </w:r>
          </w:p>
        </w:tc>
        <w:tc>
          <w:tcPr>
            <w:tcW w:w="2374"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CA6BA7C" w14:textId="77777777" w:rsidR="00DE5D49" w:rsidRPr="00041197" w:rsidRDefault="00DE5D49"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DE5D49" w:rsidRPr="00041197" w:rsidRDefault="00DE5D49"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tcPr>
          <w:p w14:paraId="71EECBA3" w14:textId="77777777" w:rsidR="00DE5D49" w:rsidRPr="00041197" w:rsidRDefault="00DE5D49"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077216" w:rsidRPr="00041197" w14:paraId="7243E433" w14:textId="71072572" w:rsidTr="009279B8">
        <w:trPr>
          <w:trHeight w:val="274"/>
        </w:trPr>
        <w:tc>
          <w:tcPr>
            <w:cnfStyle w:val="001000000000" w:firstRow="0" w:lastRow="0" w:firstColumn="1" w:lastColumn="0" w:oddVBand="0" w:evenVBand="0" w:oddHBand="0" w:evenHBand="0" w:firstRowFirstColumn="0" w:firstRowLastColumn="0" w:lastRowFirstColumn="0" w:lastRowLastColumn="0"/>
            <w:tcW w:w="2518" w:type="dxa"/>
            <w:tcBorders>
              <w:left w:val="single" w:sz="8" w:space="0" w:color="808080"/>
              <w:bottom w:val="single" w:sz="8" w:space="0" w:color="999999"/>
              <w:right w:val="single" w:sz="8" w:space="0" w:color="999999"/>
            </w:tcBorders>
            <w:shd w:val="clear" w:color="auto" w:fill="FFFFFF"/>
            <w:vAlign w:val="center"/>
            <w:hideMark/>
          </w:tcPr>
          <w:p w14:paraId="25B8BA1E" w14:textId="4C2454FB"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eastAsia="Times New Roman"/>
                <w:b w:val="0"/>
                <w:bCs w:val="0"/>
                <w:color w:val="000000"/>
                <w:sz w:val="24"/>
                <w:szCs w:val="24"/>
                <w:lang w:val="en-GB" w:eastAsia="hr-HR"/>
              </w:rPr>
              <w:t xml:space="preserve">Interest income calculated </w:t>
            </w:r>
            <w:proofErr w:type="gramStart"/>
            <w:r w:rsidRPr="00DE5D49">
              <w:rPr>
                <w:rFonts w:eastAsia="Times New Roman"/>
                <w:b w:val="0"/>
                <w:bCs w:val="0"/>
                <w:color w:val="000000"/>
                <w:sz w:val="24"/>
                <w:szCs w:val="24"/>
                <w:lang w:val="en-GB" w:eastAsia="hr-HR"/>
              </w:rPr>
              <w:t>on the basis of</w:t>
            </w:r>
            <w:proofErr w:type="gramEnd"/>
            <w:r w:rsidRPr="00DE5D49">
              <w:rPr>
                <w:rFonts w:eastAsia="Times New Roman"/>
                <w:b w:val="0"/>
                <w:bCs w:val="0"/>
                <w:color w:val="000000"/>
                <w:sz w:val="24"/>
                <w:szCs w:val="24"/>
                <w:lang w:val="en-GB" w:eastAsia="hr-HR"/>
              </w:rPr>
              <w:t xml:space="preserve"> effective interest rate method</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7B733C8" w14:textId="318FD80B"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ascii="Calibri" w:eastAsia="Times New Roman" w:hAnsi="Calibri" w:cs="Times New Roman"/>
                <w:color w:val="000000"/>
                <w:sz w:val="24"/>
                <w:szCs w:val="24"/>
                <w:lang w:eastAsia="hr-HR"/>
              </w:rPr>
              <w:t>163</w:t>
            </w:r>
            <w:r>
              <w:rPr>
                <w:rFonts w:ascii="Calibri" w:eastAsia="Times New Roman" w:hAnsi="Calibri" w:cs="Times New Roman"/>
                <w:color w:val="000000"/>
                <w:sz w:val="24"/>
                <w:szCs w:val="24"/>
                <w:lang w:eastAsia="hr-HR"/>
              </w:rPr>
              <w:t>.</w:t>
            </w:r>
            <w:r w:rsidRPr="00677419">
              <w:rPr>
                <w:rFonts w:ascii="Calibri" w:eastAsia="Times New Roman" w:hAnsi="Calibri" w:cs="Times New Roman"/>
                <w:color w:val="000000"/>
                <w:sz w:val="24"/>
                <w:szCs w:val="24"/>
                <w:lang w:eastAsia="hr-HR"/>
              </w:rPr>
              <w:t>3</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765FE2A1"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160</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5</w:t>
            </w:r>
          </w:p>
        </w:tc>
        <w:tc>
          <w:tcPr>
            <w:tcW w:w="2226" w:type="dxa"/>
            <w:tcBorders>
              <w:bottom w:val="single" w:sz="8" w:space="0" w:color="999999"/>
              <w:right w:val="single" w:sz="8" w:space="0" w:color="999999"/>
            </w:tcBorders>
            <w:shd w:val="clear" w:color="auto" w:fill="FFFFFF"/>
            <w:vAlign w:val="bottom"/>
          </w:tcPr>
          <w:p w14:paraId="3A3482B9" w14:textId="3D91811F"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170.1</w:t>
            </w:r>
          </w:p>
        </w:tc>
      </w:tr>
      <w:tr w:rsidR="00077216" w:rsidRPr="00041197" w14:paraId="08BF9243" w14:textId="0B87B3E0" w:rsidTr="009279B8">
        <w:trPr>
          <w:trHeight w:val="274"/>
        </w:trPr>
        <w:tc>
          <w:tcPr>
            <w:cnfStyle w:val="001000000000" w:firstRow="0" w:lastRow="0" w:firstColumn="1" w:lastColumn="0" w:oddVBand="0" w:evenVBand="0" w:oddHBand="0" w:evenHBand="0" w:firstRowFirstColumn="0" w:firstRowLastColumn="0" w:lastRowFirstColumn="0" w:lastRowLastColumn="0"/>
            <w:tcW w:w="2518" w:type="dxa"/>
            <w:hideMark/>
          </w:tcPr>
          <w:p w14:paraId="31967FA0"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Interest expense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7F15483" w14:textId="57863A04"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105122">
              <w:rPr>
                <w:rFonts w:ascii="Calibri" w:hAnsi="Calibri"/>
                <w:color w:val="000000"/>
                <w:sz w:val="24"/>
              </w:rPr>
              <w:t>(</w:t>
            </w:r>
            <w:r w:rsidRPr="00677419">
              <w:rPr>
                <w:rFonts w:ascii="Calibri" w:eastAsia="Times New Roman" w:hAnsi="Calibri" w:cs="Times New Roman"/>
                <w:color w:val="000000"/>
                <w:sz w:val="24"/>
                <w:szCs w:val="24"/>
                <w:lang w:eastAsia="hr-HR"/>
              </w:rPr>
              <w:t>81</w:t>
            </w:r>
            <w:r>
              <w:rPr>
                <w:rFonts w:ascii="Calibri" w:eastAsia="Times New Roman" w:hAnsi="Calibri" w:cs="Times New Roman"/>
                <w:color w:val="000000"/>
                <w:sz w:val="24"/>
                <w:szCs w:val="24"/>
                <w:lang w:eastAsia="hr-HR"/>
              </w:rPr>
              <w:t>.</w:t>
            </w:r>
            <w:r w:rsidRPr="00677419">
              <w:rPr>
                <w:rFonts w:ascii="Calibri" w:eastAsia="Times New Roman" w:hAnsi="Calibri" w:cs="Times New Roman"/>
                <w:color w:val="000000"/>
                <w:sz w:val="24"/>
                <w:szCs w:val="24"/>
                <w:lang w:eastAsia="hr-HR"/>
              </w:rPr>
              <w:t>8</w:t>
            </w:r>
            <w:r w:rsidRPr="00105122">
              <w:rPr>
                <w:rFonts w:ascii="Calibri" w:hAnsi="Calibri"/>
                <w:color w:val="000000"/>
                <w:sz w:val="24"/>
              </w:rPr>
              <w:t>)</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536C8B49"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72</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8</w:t>
            </w:r>
            <w:r>
              <w:rPr>
                <w:rFonts w:ascii="Calibri" w:eastAsia="Times New Roman" w:hAnsi="Calibri" w:cs="Times New Roman"/>
                <w:color w:val="000000"/>
                <w:sz w:val="24"/>
                <w:szCs w:val="24"/>
                <w:lang w:eastAsia="hr-HR"/>
              </w:rPr>
              <w:t>)</w:t>
            </w:r>
          </w:p>
        </w:tc>
        <w:tc>
          <w:tcPr>
            <w:tcW w:w="2226" w:type="dxa"/>
            <w:tcBorders>
              <w:bottom w:val="single" w:sz="8" w:space="0" w:color="999999"/>
              <w:right w:val="single" w:sz="8" w:space="0" w:color="999999"/>
            </w:tcBorders>
            <w:vAlign w:val="bottom"/>
          </w:tcPr>
          <w:p w14:paraId="700C427B" w14:textId="0B51082A"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(49.8)</w:t>
            </w:r>
          </w:p>
        </w:tc>
      </w:tr>
      <w:tr w:rsidR="00077216" w:rsidRPr="00041197" w14:paraId="0D1331D5" w14:textId="215F6C09" w:rsidTr="009279B8">
        <w:trPr>
          <w:trHeight w:hRule="exact" w:val="329"/>
        </w:trPr>
        <w:tc>
          <w:tcPr>
            <w:cnfStyle w:val="001000000000" w:firstRow="0" w:lastRow="0" w:firstColumn="1" w:lastColumn="0" w:oddVBand="0" w:evenVBand="0" w:oddHBand="0" w:evenHBand="0" w:firstRowFirstColumn="0" w:firstRowLastColumn="0" w:lastRowFirstColumn="0" w:lastRowLastColumn="0"/>
            <w:tcW w:w="2518" w:type="dxa"/>
            <w:vAlign w:val="bottom"/>
            <w:hideMark/>
          </w:tcPr>
          <w:p w14:paraId="385AC4AB" w14:textId="77777777" w:rsidR="00077216" w:rsidRPr="00DE5D49" w:rsidRDefault="00077216" w:rsidP="00077216">
            <w:pPr>
              <w:rPr>
                <w:rFonts w:ascii="Calibri" w:eastAsia="Times New Roman" w:hAnsi="Calibri" w:cs="Times New Roman"/>
                <w:b w:val="0"/>
                <w:bCs w:val="0"/>
                <w:color w:val="000000"/>
                <w:sz w:val="24"/>
                <w:szCs w:val="24"/>
                <w:lang w:val="en-GB" w:eastAsia="hr-HR"/>
              </w:rPr>
            </w:pPr>
            <w:r w:rsidRPr="00DE5D49">
              <w:rPr>
                <w:rFonts w:ascii="Calibri" w:eastAsia="Times New Roman" w:hAnsi="Calibri" w:cs="Times New Roman"/>
                <w:b w:val="0"/>
                <w:bCs w:val="0"/>
                <w:color w:val="000000"/>
                <w:sz w:val="24"/>
                <w:szCs w:val="24"/>
                <w:lang w:val="en-GB" w:eastAsia="hr-HR"/>
              </w:rPr>
              <w:t>Net interest income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D025D91" w14:textId="06285593"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677419">
              <w:rPr>
                <w:rFonts w:ascii="Calibri" w:eastAsia="Times New Roman" w:hAnsi="Calibri" w:cs="Times New Roman"/>
                <w:color w:val="000000"/>
                <w:sz w:val="24"/>
                <w:szCs w:val="24"/>
                <w:lang w:eastAsia="hr-HR"/>
              </w:rPr>
              <w:t>81</w:t>
            </w:r>
            <w:r>
              <w:rPr>
                <w:rFonts w:ascii="Calibri" w:eastAsia="Times New Roman" w:hAnsi="Calibri" w:cs="Times New Roman"/>
                <w:color w:val="000000"/>
                <w:sz w:val="24"/>
                <w:szCs w:val="24"/>
                <w:lang w:eastAsia="hr-HR"/>
              </w:rPr>
              <w:t>.</w:t>
            </w:r>
            <w:r w:rsidRPr="00677419">
              <w:rPr>
                <w:rFonts w:ascii="Calibri" w:eastAsia="Times New Roman" w:hAnsi="Calibri" w:cs="Times New Roman"/>
                <w:color w:val="000000"/>
                <w:sz w:val="24"/>
                <w:szCs w:val="24"/>
                <w:lang w:eastAsia="hr-HR"/>
              </w:rPr>
              <w:t>5</w:t>
            </w:r>
          </w:p>
        </w:tc>
        <w:tc>
          <w:tcPr>
            <w:tcW w:w="22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5467AB03" w:rsidR="00077216" w:rsidRPr="00041197"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87</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7</w:t>
            </w:r>
          </w:p>
        </w:tc>
        <w:tc>
          <w:tcPr>
            <w:tcW w:w="2226" w:type="dxa"/>
            <w:tcBorders>
              <w:bottom w:val="single" w:sz="8" w:space="0" w:color="808080"/>
              <w:right w:val="single" w:sz="8" w:space="0" w:color="999999"/>
            </w:tcBorders>
            <w:shd w:val="clear" w:color="auto" w:fill="FFFFFF"/>
            <w:vAlign w:val="bottom"/>
          </w:tcPr>
          <w:p w14:paraId="64C058C7" w14:textId="71502033" w:rsidR="00077216" w:rsidRDefault="00077216" w:rsidP="000772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eastAsia="Times New Roman"/>
                <w:color w:val="000000"/>
                <w:sz w:val="24"/>
                <w:szCs w:val="24"/>
                <w:lang w:eastAsia="hr-HR"/>
              </w:rPr>
              <w:t>120.3</w:t>
            </w:r>
          </w:p>
        </w:tc>
      </w:tr>
    </w:tbl>
    <w:p w14:paraId="346B736C" w14:textId="74237EDA"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0C671ED" w14:textId="77777777" w:rsidR="002B782C" w:rsidRPr="002A10E9" w:rsidRDefault="002B782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7DDD37BF" w14:textId="64E35F19" w:rsidR="00E43402"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bookmarkStart w:id="1" w:name="_Hlk72136236"/>
      <w:r w:rsidRPr="001607DE">
        <w:rPr>
          <w:rFonts w:eastAsia="Times New Roman" w:cs="Calibri"/>
          <w:b/>
          <w:caps/>
          <w:spacing w:val="-3"/>
          <w:sz w:val="26"/>
          <w:szCs w:val="26"/>
          <w:lang w:eastAsia="hr-HR"/>
        </w:rPr>
        <w:t xml:space="preserve"> </w:t>
      </w:r>
      <w:r w:rsidR="0085080A">
        <w:rPr>
          <w:rFonts w:eastAsia="Times New Roman" w:cs="Calibri"/>
          <w:b/>
          <w:caps/>
          <w:spacing w:val="-3"/>
          <w:sz w:val="26"/>
          <w:szCs w:val="26"/>
          <w:lang w:eastAsia="hr-HR"/>
        </w:rPr>
        <w:t xml:space="preserve"> </w:t>
      </w:r>
      <w:bookmarkEnd w:id="1"/>
      <w:r w:rsidR="0027566F">
        <w:rPr>
          <w:rFonts w:eastAsia="Times New Roman" w:cs="Calibri"/>
          <w:b/>
          <w:caps/>
          <w:noProof/>
          <w:spacing w:val="-3"/>
          <w:sz w:val="26"/>
          <w:szCs w:val="26"/>
          <w:lang w:eastAsia="hr-HR"/>
        </w:rPr>
        <w:drawing>
          <wp:inline distT="0" distB="0" distL="0" distR="0" wp14:anchorId="321E92DB" wp14:editId="02E1F130">
            <wp:extent cx="3054350" cy="23164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350" cy="2316480"/>
                    </a:xfrm>
                    <a:prstGeom prst="rect">
                      <a:avLst/>
                    </a:prstGeom>
                    <a:noFill/>
                  </pic:spPr>
                </pic:pic>
              </a:graphicData>
            </a:graphic>
          </wp:inline>
        </w:drawing>
      </w:r>
      <w:r w:rsidR="0085080A">
        <w:rPr>
          <w:rFonts w:eastAsia="Times New Roman" w:cs="Calibri"/>
          <w:b/>
          <w:caps/>
          <w:spacing w:val="-3"/>
          <w:sz w:val="26"/>
          <w:szCs w:val="26"/>
          <w:lang w:eastAsia="hr-HR"/>
        </w:rPr>
        <w:t xml:space="preserve"> </w:t>
      </w:r>
      <w:r w:rsidR="0027566F">
        <w:rPr>
          <w:rFonts w:eastAsia="Times New Roman" w:cs="Calibri"/>
          <w:b/>
          <w:caps/>
          <w:spacing w:val="-3"/>
          <w:sz w:val="26"/>
          <w:szCs w:val="26"/>
          <w:lang w:eastAsia="hr-HR"/>
        </w:rPr>
        <w:t xml:space="preserve">  </w:t>
      </w:r>
      <w:r w:rsidR="0085080A">
        <w:rPr>
          <w:rFonts w:eastAsia="Times New Roman" w:cs="Calibri"/>
          <w:b/>
          <w:caps/>
          <w:spacing w:val="-3"/>
          <w:sz w:val="26"/>
          <w:szCs w:val="26"/>
          <w:lang w:eastAsia="hr-HR"/>
        </w:rPr>
        <w:t xml:space="preserve"> </w:t>
      </w:r>
      <w:r w:rsidR="005C2F63">
        <w:rPr>
          <w:rFonts w:eastAsia="Times New Roman" w:cs="Calibri"/>
          <w:b/>
          <w:caps/>
          <w:noProof/>
          <w:spacing w:val="-3"/>
          <w:sz w:val="26"/>
          <w:szCs w:val="26"/>
          <w:lang w:eastAsia="hr-HR"/>
        </w:rPr>
        <w:drawing>
          <wp:inline distT="0" distB="0" distL="0" distR="0" wp14:anchorId="21F6F146" wp14:editId="01C41DCC">
            <wp:extent cx="3054350" cy="2316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2316480"/>
                    </a:xfrm>
                    <a:prstGeom prst="rect">
                      <a:avLst/>
                    </a:prstGeom>
                    <a:noFill/>
                  </pic:spPr>
                </pic:pic>
              </a:graphicData>
            </a:graphic>
          </wp:inline>
        </w:drawing>
      </w:r>
    </w:p>
    <w:p w14:paraId="2AB083E3" w14:textId="77777777" w:rsidR="00E43402" w:rsidRPr="001607DE"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7054B5E5" w14:textId="6965CCFD" w:rsidR="001607DE" w:rsidRPr="001607DE" w:rsidRDefault="0027566F" w:rsidP="0027566F">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0069B5CB" wp14:editId="0496D9AF">
            <wp:extent cx="3060000" cy="2186232"/>
            <wp:effectExtent l="0" t="0" r="762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2186232"/>
                    </a:xfrm>
                    <a:prstGeom prst="rect">
                      <a:avLst/>
                    </a:prstGeom>
                    <a:noFill/>
                  </pic:spPr>
                </pic:pic>
              </a:graphicData>
            </a:graphic>
          </wp:inline>
        </w:drawing>
      </w:r>
      <w:r>
        <w:rPr>
          <w:rFonts w:eastAsia="Times New Roman" w:cs="Calibri"/>
          <w:b/>
          <w:caps/>
          <w:spacing w:val="-3"/>
          <w:sz w:val="26"/>
          <w:szCs w:val="26"/>
          <w:lang w:eastAsia="hr-HR"/>
        </w:rPr>
        <w:t xml:space="preserve"> </w:t>
      </w:r>
      <w:r w:rsidR="00E43402">
        <w:rPr>
          <w:rFonts w:eastAsia="Times New Roman" w:cs="Calibri"/>
          <w:b/>
          <w:caps/>
          <w:spacing w:val="-3"/>
          <w:sz w:val="26"/>
          <w:szCs w:val="26"/>
          <w:lang w:eastAsia="hr-HR"/>
        </w:rPr>
        <w:t xml:space="preserve">  </w:t>
      </w:r>
      <w:r w:rsidR="005609E5">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2856C919" wp14:editId="24F0EA12">
            <wp:extent cx="3044825" cy="2185035"/>
            <wp:effectExtent l="0" t="0" r="317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795" cy="2187884"/>
                    </a:xfrm>
                    <a:prstGeom prst="rect">
                      <a:avLst/>
                    </a:prstGeom>
                    <a:noFill/>
                  </pic:spPr>
                </pic:pic>
              </a:graphicData>
            </a:graphic>
          </wp:inline>
        </w:drawing>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7F2901F2"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E02D64">
        <w:rPr>
          <w:rFonts w:cstheme="minorHAnsi"/>
          <w:sz w:val="24"/>
          <w:szCs w:val="24"/>
          <w:lang w:val="en-GB"/>
        </w:rPr>
        <w:t>1 March</w:t>
      </w:r>
      <w:r w:rsidR="00CD764F" w:rsidRPr="00CD764F">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w:t>
      </w:r>
      <w:r w:rsidR="00E02D64">
        <w:rPr>
          <w:rFonts w:cstheme="minorHAnsi"/>
          <w:sz w:val="24"/>
          <w:szCs w:val="24"/>
          <w:lang w:val="en-GB"/>
        </w:rPr>
        <w:t>1</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E3168F">
        <w:rPr>
          <w:rFonts w:cstheme="minorHAnsi"/>
          <w:sz w:val="24"/>
          <w:szCs w:val="24"/>
          <w:lang w:val="en-GB"/>
        </w:rPr>
        <w:t>88</w:t>
      </w:r>
      <w:r w:rsidR="003A289A">
        <w:rPr>
          <w:rFonts w:cstheme="minorHAnsi"/>
          <w:sz w:val="24"/>
          <w:szCs w:val="24"/>
          <w:lang w:val="en-GB"/>
        </w:rPr>
        <w:t>.</w:t>
      </w:r>
      <w:r w:rsidR="00E3168F">
        <w:rPr>
          <w:rFonts w:cstheme="minorHAnsi"/>
          <w:sz w:val="24"/>
          <w:szCs w:val="24"/>
          <w:lang w:val="en-GB"/>
        </w:rPr>
        <w:t>6</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37972D10"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bookmarkStart w:id="2" w:name="_Hlk72011165"/>
      <w:r w:rsidR="00880354" w:rsidRPr="0005777B">
        <w:rPr>
          <w:rFonts w:cstheme="minorHAnsi"/>
          <w:sz w:val="24"/>
          <w:szCs w:val="24"/>
          <w:lang w:val="en-GB"/>
        </w:rPr>
        <w:t>3</w:t>
      </w:r>
      <w:r w:rsidR="00E02D64">
        <w:rPr>
          <w:rFonts w:cstheme="minorHAnsi"/>
          <w:sz w:val="24"/>
          <w:szCs w:val="24"/>
          <w:lang w:val="en-GB"/>
        </w:rPr>
        <w:t>1 March</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w:t>
      </w:r>
      <w:r w:rsidR="00E02D64">
        <w:rPr>
          <w:rFonts w:cstheme="minorHAnsi"/>
          <w:sz w:val="24"/>
          <w:szCs w:val="24"/>
          <w:lang w:val="en-GB"/>
        </w:rPr>
        <w:t>1</w:t>
      </w:r>
      <w:bookmarkEnd w:id="2"/>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E3168F">
        <w:rPr>
          <w:rFonts w:cstheme="minorHAnsi"/>
          <w:sz w:val="24"/>
          <w:szCs w:val="24"/>
          <w:lang w:val="en-GB"/>
        </w:rPr>
        <w:t>193.9</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E3168F">
        <w:rPr>
          <w:rFonts w:cstheme="minorHAnsi"/>
          <w:sz w:val="24"/>
          <w:szCs w:val="24"/>
          <w:lang w:val="en-GB"/>
        </w:rPr>
        <w:t>105.3</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0AB058F0"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E3168F">
        <w:rPr>
          <w:rFonts w:cstheme="minorHAnsi"/>
          <w:sz w:val="24"/>
          <w:szCs w:val="24"/>
          <w:lang w:val="en-GB"/>
        </w:rPr>
        <w:t>in</w:t>
      </w:r>
      <w:r>
        <w:rPr>
          <w:rFonts w:cstheme="minorHAnsi"/>
          <w:sz w:val="24"/>
          <w:szCs w:val="24"/>
          <w:lang w:val="en-GB"/>
        </w:rPr>
        <w:t>creased by</w:t>
      </w:r>
      <w:r w:rsidR="00794772" w:rsidRPr="00041197">
        <w:rPr>
          <w:rFonts w:cstheme="minorHAnsi"/>
          <w:sz w:val="24"/>
          <w:szCs w:val="24"/>
          <w:lang w:val="en-GB"/>
        </w:rPr>
        <w:t xml:space="preserve"> </w:t>
      </w:r>
      <w:r w:rsidR="00E3168F">
        <w:rPr>
          <w:rFonts w:cstheme="minorHAnsi"/>
          <w:sz w:val="24"/>
          <w:szCs w:val="24"/>
          <w:lang w:val="en-GB"/>
        </w:rPr>
        <w:t>13</w:t>
      </w:r>
      <w:r>
        <w:rPr>
          <w:rFonts w:cstheme="minorHAnsi"/>
          <w:sz w:val="24"/>
          <w:szCs w:val="24"/>
          <w:lang w:val="en-GB"/>
        </w:rPr>
        <w:t>.</w:t>
      </w:r>
      <w:r w:rsidR="00E3168F">
        <w:rPr>
          <w:rFonts w:cstheme="minorHAnsi"/>
          <w:sz w:val="24"/>
          <w:szCs w:val="24"/>
          <w:lang w:val="en-GB"/>
        </w:rPr>
        <w:t>9</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w:t>
      </w:r>
      <w:r w:rsidR="00E3168F">
        <w:rPr>
          <w:rFonts w:cstheme="minorHAnsi"/>
          <w:sz w:val="24"/>
          <w:szCs w:val="24"/>
          <w:lang w:val="en-GB"/>
        </w:rPr>
        <w:t>decreased</w:t>
      </w:r>
      <w:r w:rsidRPr="0005777B">
        <w:rPr>
          <w:rFonts w:cstheme="minorHAnsi"/>
          <w:sz w:val="24"/>
          <w:szCs w:val="24"/>
          <w:lang w:val="en-GB"/>
        </w:rPr>
        <w:t xml:space="preserve"> by </w:t>
      </w:r>
      <w:r w:rsidR="00E3168F">
        <w:rPr>
          <w:rFonts w:cstheme="minorHAnsi"/>
          <w:sz w:val="24"/>
          <w:szCs w:val="24"/>
          <w:lang w:val="en-GB"/>
        </w:rPr>
        <w:t>28.9</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06A74BD5"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E3168F">
        <w:rPr>
          <w:rFonts w:cstheme="minorHAnsi"/>
          <w:sz w:val="24"/>
          <w:szCs w:val="24"/>
          <w:lang w:val="en-GB"/>
        </w:rPr>
        <w:t>87.7</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 xml:space="preserve">interest income </w:t>
      </w:r>
      <w:proofErr w:type="gramStart"/>
      <w:r w:rsidRPr="0005777B">
        <w:rPr>
          <w:rFonts w:cstheme="minorHAnsi"/>
          <w:sz w:val="24"/>
          <w:szCs w:val="24"/>
          <w:lang w:val="en-GB"/>
        </w:rPr>
        <w:t>as a result of</w:t>
      </w:r>
      <w:proofErr w:type="gramEnd"/>
      <w:r w:rsidRPr="0005777B">
        <w:rPr>
          <w:rFonts w:cstheme="minorHAnsi"/>
          <w:sz w:val="24"/>
          <w:szCs w:val="24"/>
          <w:lang w:val="en-GB"/>
        </w:rPr>
        <w:t xml:space="preserve">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74C31AD5"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The major part of total expenses, i.e.</w:t>
      </w:r>
      <w:r>
        <w:rPr>
          <w:rFonts w:cstheme="minorHAnsi"/>
          <w:sz w:val="24"/>
          <w:szCs w:val="24"/>
          <w:lang w:val="en-GB"/>
        </w:rPr>
        <w:t xml:space="preserve"> </w:t>
      </w:r>
      <w:r w:rsidR="000D41C4">
        <w:rPr>
          <w:rFonts w:cstheme="minorHAnsi"/>
          <w:sz w:val="24"/>
          <w:szCs w:val="24"/>
          <w:lang w:val="en-GB"/>
        </w:rPr>
        <w:t>4</w:t>
      </w:r>
      <w:r w:rsidR="00E3168F">
        <w:rPr>
          <w:rFonts w:cstheme="minorHAnsi"/>
          <w:sz w:val="24"/>
          <w:szCs w:val="24"/>
          <w:lang w:val="en-GB"/>
        </w:rPr>
        <w:t>7</w:t>
      </w:r>
      <w:r w:rsidR="004A208B">
        <w:rPr>
          <w:rFonts w:cstheme="minorHAnsi"/>
          <w:sz w:val="24"/>
          <w:szCs w:val="24"/>
          <w:lang w:val="en-GB"/>
        </w:rPr>
        <w:t>.</w:t>
      </w:r>
      <w:r w:rsidR="00E3168F">
        <w:rPr>
          <w:rFonts w:cstheme="minorHAnsi"/>
          <w:sz w:val="24"/>
          <w:szCs w:val="24"/>
          <w:lang w:val="en-GB"/>
        </w:rPr>
        <w:t>3</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58879E40"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operating expenses in the period 1 January – </w:t>
      </w:r>
      <w:r w:rsidR="00285E1B" w:rsidRPr="0005777B">
        <w:rPr>
          <w:rFonts w:cstheme="minorHAnsi"/>
          <w:sz w:val="24"/>
          <w:szCs w:val="24"/>
          <w:lang w:val="en-GB"/>
        </w:rPr>
        <w:t>3</w:t>
      </w:r>
      <w:r w:rsidR="00285E1B">
        <w:rPr>
          <w:rFonts w:cstheme="minorHAnsi"/>
          <w:sz w:val="24"/>
          <w:szCs w:val="24"/>
          <w:lang w:val="en-GB"/>
        </w:rPr>
        <w:t>1 March</w:t>
      </w:r>
      <w:r w:rsidR="00285E1B" w:rsidRPr="0005777B">
        <w:rPr>
          <w:rFonts w:cstheme="minorHAnsi"/>
          <w:sz w:val="24"/>
          <w:szCs w:val="24"/>
          <w:lang w:val="en-GB"/>
        </w:rPr>
        <w:t xml:space="preserve"> </w:t>
      </w:r>
      <w:r w:rsidR="00285E1B">
        <w:rPr>
          <w:rFonts w:cstheme="minorHAnsi"/>
          <w:sz w:val="24"/>
          <w:szCs w:val="24"/>
          <w:lang w:val="en-GB"/>
        </w:rPr>
        <w:t xml:space="preserve">2021 </w:t>
      </w:r>
      <w:r>
        <w:rPr>
          <w:rFonts w:cstheme="minorHAnsi"/>
          <w:sz w:val="24"/>
          <w:szCs w:val="24"/>
          <w:lang w:val="en-GB"/>
        </w:rPr>
        <w:t>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285E1B">
        <w:rPr>
          <w:rFonts w:cstheme="minorHAnsi"/>
          <w:sz w:val="24"/>
          <w:szCs w:val="24"/>
          <w:lang w:val="en-GB"/>
        </w:rPr>
        <w:t>47</w:t>
      </w:r>
      <w:r>
        <w:rPr>
          <w:rFonts w:cstheme="minorHAnsi"/>
          <w:sz w:val="24"/>
          <w:szCs w:val="24"/>
          <w:lang w:val="en-GB"/>
        </w:rPr>
        <w:t>.</w:t>
      </w:r>
      <w:r w:rsidR="00285E1B">
        <w:rPr>
          <w:rFonts w:cstheme="minorHAnsi"/>
          <w:sz w:val="24"/>
          <w:szCs w:val="24"/>
          <w:lang w:val="en-GB"/>
        </w:rPr>
        <w:t>2</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543C6F32" w:rsidR="00DB5770" w:rsidRPr="00DB5770" w:rsidRDefault="00DB5770" w:rsidP="00DB5770">
      <w:pPr>
        <w:jc w:val="both"/>
        <w:rPr>
          <w:sz w:val="24"/>
          <w:szCs w:val="24"/>
          <w:lang w:val="en-GB"/>
        </w:rPr>
      </w:pPr>
      <w:r w:rsidRPr="00DB5770">
        <w:rPr>
          <w:sz w:val="24"/>
          <w:szCs w:val="24"/>
          <w:lang w:val="en-GB"/>
        </w:rPr>
        <w:t>On 3</w:t>
      </w:r>
      <w:r w:rsidR="00E02D64">
        <w:rPr>
          <w:sz w:val="24"/>
          <w:szCs w:val="24"/>
          <w:lang w:val="en-GB"/>
        </w:rPr>
        <w:t>1 March</w:t>
      </w:r>
      <w:r w:rsidRPr="00DB5770">
        <w:rPr>
          <w:sz w:val="24"/>
          <w:szCs w:val="24"/>
          <w:lang w:val="en-GB"/>
        </w:rPr>
        <w:t xml:space="preserve"> 20</w:t>
      </w:r>
      <w:r w:rsidR="00C66DD7">
        <w:rPr>
          <w:sz w:val="24"/>
          <w:szCs w:val="24"/>
          <w:lang w:val="en-GB"/>
        </w:rPr>
        <w:t>2</w:t>
      </w:r>
      <w:r w:rsidR="00E02D64">
        <w:rPr>
          <w:sz w:val="24"/>
          <w:szCs w:val="24"/>
          <w:lang w:val="en-GB"/>
        </w:rPr>
        <w:t>1</w:t>
      </w:r>
      <w:r w:rsidRPr="00DB5770">
        <w:rPr>
          <w:sz w:val="24"/>
          <w:szCs w:val="24"/>
          <w:lang w:val="en-GB"/>
        </w:rPr>
        <w:t xml:space="preserve">, the Group had </w:t>
      </w:r>
      <w:r w:rsidR="00F647E7" w:rsidRPr="00DB5770">
        <w:rPr>
          <w:sz w:val="24"/>
          <w:szCs w:val="24"/>
          <w:lang w:val="en-GB"/>
        </w:rPr>
        <w:t>3</w:t>
      </w:r>
      <w:r w:rsidR="00285E1B">
        <w:rPr>
          <w:sz w:val="24"/>
          <w:szCs w:val="24"/>
          <w:lang w:val="en-GB"/>
        </w:rPr>
        <w:t>77</w:t>
      </w:r>
      <w:r w:rsidR="00F647E7" w:rsidRPr="00DB5770">
        <w:rPr>
          <w:sz w:val="24"/>
          <w:szCs w:val="24"/>
          <w:lang w:val="en-GB"/>
        </w:rPr>
        <w:t xml:space="preserve"> </w:t>
      </w:r>
      <w:r w:rsidRPr="00DB5770">
        <w:rPr>
          <w:sz w:val="24"/>
          <w:szCs w:val="24"/>
          <w:lang w:val="en-GB"/>
        </w:rPr>
        <w:t>employees (on 3</w:t>
      </w:r>
      <w:r w:rsidR="00E02D64">
        <w:rPr>
          <w:sz w:val="24"/>
          <w:szCs w:val="24"/>
          <w:lang w:val="en-GB"/>
        </w:rPr>
        <w:t>1 March</w:t>
      </w:r>
      <w:r w:rsidRPr="00DB5770">
        <w:rPr>
          <w:sz w:val="24"/>
          <w:szCs w:val="24"/>
          <w:lang w:val="en-GB"/>
        </w:rPr>
        <w:t xml:space="preserve"> 20</w:t>
      </w:r>
      <w:r w:rsidR="00E02D64">
        <w:rPr>
          <w:sz w:val="24"/>
          <w:szCs w:val="24"/>
          <w:lang w:val="en-GB"/>
        </w:rPr>
        <w:t>20</w:t>
      </w:r>
      <w:r w:rsidRPr="00DB5770">
        <w:rPr>
          <w:sz w:val="24"/>
          <w:szCs w:val="24"/>
          <w:lang w:val="en-GB"/>
        </w:rPr>
        <w:t xml:space="preserve">: </w:t>
      </w:r>
      <w:r w:rsidR="00F647E7" w:rsidRPr="00DB5770">
        <w:rPr>
          <w:sz w:val="24"/>
          <w:szCs w:val="24"/>
          <w:lang w:val="en-GB"/>
        </w:rPr>
        <w:t>3</w:t>
      </w:r>
      <w:r w:rsidR="00E02D64">
        <w:rPr>
          <w:sz w:val="24"/>
          <w:szCs w:val="24"/>
          <w:lang w:val="en-GB"/>
        </w:rPr>
        <w:t>94</w:t>
      </w:r>
      <w:r w:rsidR="00F647E7" w:rsidRPr="00DB5770">
        <w:rPr>
          <w:sz w:val="24"/>
          <w:szCs w:val="24"/>
          <w:lang w:val="en-GB"/>
        </w:rPr>
        <w:t xml:space="preserve"> </w:t>
      </w:r>
      <w:r w:rsidRPr="00DB5770">
        <w:rPr>
          <w:sz w:val="24"/>
          <w:szCs w:val="24"/>
          <w:lang w:val="en-GB"/>
        </w:rPr>
        <w:t>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0C7424AA"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285E1B">
        <w:rPr>
          <w:rFonts w:cstheme="minorHAnsi"/>
          <w:sz w:val="24"/>
          <w:szCs w:val="24"/>
          <w:lang w:val="en-GB"/>
        </w:rPr>
        <w:t>9</w:t>
      </w:r>
      <w:r>
        <w:rPr>
          <w:rFonts w:cstheme="minorHAnsi"/>
          <w:sz w:val="24"/>
          <w:szCs w:val="24"/>
          <w:lang w:val="en-GB"/>
        </w:rPr>
        <w:t>,</w:t>
      </w:r>
      <w:r w:rsidR="00285E1B">
        <w:rPr>
          <w:rFonts w:cstheme="minorHAnsi"/>
          <w:sz w:val="24"/>
          <w:szCs w:val="24"/>
          <w:lang w:val="en-GB"/>
        </w:rPr>
        <w:t>450</w:t>
      </w:r>
      <w:r>
        <w:rPr>
          <w:rFonts w:cstheme="minorHAnsi"/>
          <w:sz w:val="24"/>
          <w:szCs w:val="24"/>
          <w:lang w:val="en-GB"/>
        </w:rPr>
        <w:t>.</w:t>
      </w:r>
      <w:r w:rsidR="00285E1B">
        <w:rPr>
          <w:rFonts w:cstheme="minorHAnsi"/>
          <w:sz w:val="24"/>
          <w:szCs w:val="24"/>
          <w:lang w:val="en-GB"/>
        </w:rPr>
        <w:t>5</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a</w:t>
      </w:r>
      <w:r w:rsidR="00630BEF">
        <w:rPr>
          <w:rFonts w:cstheme="minorHAnsi"/>
          <w:sz w:val="24"/>
          <w:szCs w:val="24"/>
          <w:lang w:val="en-GB"/>
        </w:rPr>
        <w:t>n</w:t>
      </w:r>
      <w:r>
        <w:rPr>
          <w:rFonts w:cstheme="minorHAnsi"/>
          <w:sz w:val="24"/>
          <w:szCs w:val="24"/>
          <w:lang w:val="en-GB"/>
        </w:rPr>
        <w:t xml:space="preserve"> </w:t>
      </w:r>
      <w:r w:rsidR="00630BEF">
        <w:rPr>
          <w:rFonts w:cstheme="minorHAnsi"/>
          <w:sz w:val="24"/>
          <w:szCs w:val="24"/>
          <w:lang w:val="en-GB"/>
        </w:rPr>
        <w:t>increase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285E1B">
        <w:rPr>
          <w:rFonts w:cstheme="minorHAnsi"/>
          <w:sz w:val="24"/>
          <w:szCs w:val="24"/>
          <w:lang w:val="en-GB"/>
        </w:rPr>
        <w:t>2</w:t>
      </w:r>
      <w:r w:rsidR="00DF2232">
        <w:rPr>
          <w:rFonts w:cstheme="minorHAnsi"/>
          <w:sz w:val="24"/>
          <w:szCs w:val="24"/>
          <w:lang w:val="en-GB"/>
        </w:rPr>
        <w:t>.</w:t>
      </w:r>
      <w:r w:rsidR="00285E1B">
        <w:rPr>
          <w:rFonts w:cstheme="minorHAnsi"/>
          <w:sz w:val="24"/>
          <w:szCs w:val="24"/>
          <w:lang w:val="en-GB"/>
        </w:rPr>
        <w:t>6</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06C21150"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DF2232">
        <w:rPr>
          <w:rFonts w:cstheme="minorHAnsi"/>
          <w:sz w:val="24"/>
          <w:szCs w:val="24"/>
          <w:lang w:val="en-GB"/>
        </w:rPr>
        <w:t>0</w:t>
      </w:r>
      <w:r>
        <w:rPr>
          <w:rFonts w:cstheme="minorHAnsi"/>
          <w:sz w:val="24"/>
          <w:szCs w:val="24"/>
          <w:lang w:val="en-GB"/>
        </w:rPr>
        <w:t>.</w:t>
      </w:r>
      <w:r w:rsidR="00285E1B">
        <w:rPr>
          <w:rFonts w:cstheme="minorHAnsi"/>
          <w:sz w:val="24"/>
          <w:szCs w:val="24"/>
          <w:lang w:val="en-GB"/>
        </w:rPr>
        <w:t>9</w:t>
      </w:r>
      <w:r w:rsidR="001A18BF"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6CC7C7AA"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w:t>
      </w:r>
      <w:r w:rsidR="00880354" w:rsidRPr="0005777B">
        <w:rPr>
          <w:rFonts w:cstheme="minorHAnsi"/>
          <w:sz w:val="24"/>
          <w:szCs w:val="24"/>
          <w:lang w:val="en-GB"/>
        </w:rPr>
        <w:t>3</w:t>
      </w:r>
      <w:r w:rsidR="00E02D64">
        <w:rPr>
          <w:rFonts w:cstheme="minorHAnsi"/>
          <w:sz w:val="24"/>
          <w:szCs w:val="24"/>
          <w:lang w:val="en-GB"/>
        </w:rPr>
        <w:t>1 March</w:t>
      </w:r>
      <w:r w:rsidR="00B77810">
        <w:rPr>
          <w:rFonts w:cstheme="minorHAnsi"/>
          <w:sz w:val="24"/>
          <w:szCs w:val="24"/>
          <w:lang w:val="en-GB"/>
        </w:rPr>
        <w:t xml:space="preserve"> </w:t>
      </w:r>
      <w:r w:rsidR="00880354">
        <w:rPr>
          <w:rFonts w:cstheme="minorHAnsi"/>
          <w:sz w:val="24"/>
          <w:szCs w:val="24"/>
          <w:lang w:val="en-GB"/>
        </w:rPr>
        <w:t>202</w:t>
      </w:r>
      <w:r w:rsidR="00E02D64">
        <w:rPr>
          <w:rFonts w:cstheme="minorHAnsi"/>
          <w:sz w:val="24"/>
          <w:szCs w:val="24"/>
          <w:lang w:val="en-GB"/>
        </w:rPr>
        <w:t>1</w:t>
      </w:r>
      <w:r w:rsidR="00880354">
        <w:rPr>
          <w:rFonts w:cstheme="minorHAnsi"/>
          <w:sz w:val="24"/>
          <w:szCs w:val="24"/>
          <w:lang w:val="en-GB"/>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901A8" w:rsidRPr="00C901A8">
        <w:rPr>
          <w:rFonts w:eastAsia="Times New Roman" w:cs="Calibri"/>
          <w:spacing w:val="-3"/>
          <w:sz w:val="24"/>
          <w:szCs w:val="24"/>
          <w:lang w:val="en-GB" w:eastAsia="hr-HR"/>
        </w:rPr>
        <w:t>2</w:t>
      </w:r>
      <w:r w:rsidR="00285E1B">
        <w:rPr>
          <w:rFonts w:eastAsia="Times New Roman" w:cs="Calibri"/>
          <w:spacing w:val="-3"/>
          <w:sz w:val="24"/>
          <w:szCs w:val="24"/>
          <w:lang w:val="en-GB" w:eastAsia="hr-HR"/>
        </w:rPr>
        <w:t>9</w:t>
      </w:r>
      <w:r w:rsidR="00C901A8" w:rsidRPr="00C901A8">
        <w:rPr>
          <w:rFonts w:eastAsia="Times New Roman" w:cs="Calibri"/>
          <w:spacing w:val="-3"/>
          <w:sz w:val="24"/>
          <w:szCs w:val="24"/>
          <w:lang w:val="en-GB" w:eastAsia="hr-HR"/>
        </w:rPr>
        <w:t>,</w:t>
      </w:r>
      <w:r w:rsidR="00285E1B">
        <w:rPr>
          <w:rFonts w:eastAsia="Times New Roman" w:cs="Calibri"/>
          <w:spacing w:val="-3"/>
          <w:sz w:val="24"/>
          <w:szCs w:val="24"/>
          <w:lang w:val="en-GB" w:eastAsia="hr-HR"/>
        </w:rPr>
        <w:t>450</w:t>
      </w:r>
      <w:r w:rsidR="00C901A8" w:rsidRPr="00C901A8">
        <w:rPr>
          <w:rFonts w:eastAsia="Times New Roman" w:cs="Calibri"/>
          <w:spacing w:val="-3"/>
          <w:sz w:val="24"/>
          <w:szCs w:val="24"/>
          <w:lang w:val="en-GB" w:eastAsia="hr-HR"/>
        </w:rPr>
        <w:t>.</w:t>
      </w:r>
      <w:r w:rsidR="00285E1B">
        <w:rPr>
          <w:rFonts w:eastAsia="Times New Roman" w:cs="Calibri"/>
          <w:spacing w:val="-3"/>
          <w:sz w:val="24"/>
          <w:szCs w:val="24"/>
          <w:lang w:val="en-GB" w:eastAsia="hr-HR"/>
        </w:rPr>
        <w:t>5</w:t>
      </w:r>
      <w:r w:rsidR="00C901A8" w:rsidRPr="00C901A8">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285E1B">
        <w:rPr>
          <w:rFonts w:eastAsia="Times New Roman" w:cs="Calibri"/>
          <w:spacing w:val="-3"/>
          <w:sz w:val="24"/>
          <w:szCs w:val="24"/>
          <w:lang w:val="en-GB" w:eastAsia="hr-HR"/>
        </w:rPr>
        <w:t>9</w:t>
      </w:r>
      <w:r>
        <w:rPr>
          <w:rFonts w:eastAsia="Times New Roman" w:cs="Calibri"/>
          <w:spacing w:val="-3"/>
          <w:sz w:val="24"/>
          <w:szCs w:val="24"/>
          <w:lang w:val="en-GB" w:eastAsia="hr-HR"/>
        </w:rPr>
        <w:t>,</w:t>
      </w:r>
      <w:r w:rsidR="00285E1B">
        <w:rPr>
          <w:rFonts w:eastAsia="Times New Roman" w:cs="Calibri"/>
          <w:spacing w:val="-3"/>
          <w:sz w:val="24"/>
          <w:szCs w:val="24"/>
          <w:lang w:val="en-GB" w:eastAsia="hr-HR"/>
        </w:rPr>
        <w:t>004</w:t>
      </w:r>
      <w:r>
        <w:rPr>
          <w:rFonts w:eastAsia="Times New Roman" w:cs="Calibri"/>
          <w:spacing w:val="-3"/>
          <w:sz w:val="24"/>
          <w:szCs w:val="24"/>
          <w:lang w:val="en-GB" w:eastAsia="hr-HR"/>
        </w:rPr>
        <w:t>.</w:t>
      </w:r>
      <w:r w:rsidR="00285E1B">
        <w:rPr>
          <w:rFonts w:eastAsia="Times New Roman" w:cs="Calibri"/>
          <w:spacing w:val="-3"/>
          <w:sz w:val="24"/>
          <w:szCs w:val="24"/>
          <w:lang w:val="en-GB" w:eastAsia="hr-HR"/>
        </w:rPr>
        <w:t>1</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285E1B">
        <w:rPr>
          <w:rFonts w:eastAsia="Times New Roman" w:cs="Calibri"/>
          <w:spacing w:val="-3"/>
          <w:sz w:val="24"/>
          <w:szCs w:val="24"/>
          <w:lang w:val="en-GB" w:eastAsia="hr-HR"/>
        </w:rPr>
        <w:t>4</w:t>
      </w:r>
      <w:r>
        <w:rPr>
          <w:rFonts w:eastAsia="Times New Roman" w:cs="Calibri"/>
          <w:spacing w:val="-3"/>
          <w:sz w:val="24"/>
          <w:szCs w:val="24"/>
          <w:lang w:val="en-GB" w:eastAsia="hr-HR"/>
        </w:rPr>
        <w:t>.</w:t>
      </w:r>
      <w:r w:rsidR="00C901A8">
        <w:rPr>
          <w:rFonts w:eastAsia="Times New Roman" w:cs="Calibri"/>
          <w:spacing w:val="-3"/>
          <w:sz w:val="24"/>
          <w:szCs w:val="24"/>
          <w:lang w:val="en-GB" w:eastAsia="hr-HR"/>
        </w:rPr>
        <w:t>5</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25F434C0"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285E1B">
        <w:rPr>
          <w:rFonts w:cstheme="minorHAnsi"/>
          <w:sz w:val="24"/>
          <w:szCs w:val="24"/>
          <w:lang w:val="en-GB"/>
        </w:rPr>
        <w:t>56</w:t>
      </w:r>
      <w:r>
        <w:rPr>
          <w:rFonts w:cstheme="minorHAnsi"/>
          <w:sz w:val="24"/>
          <w:szCs w:val="24"/>
          <w:lang w:val="en-GB"/>
        </w:rPr>
        <w:t>.</w:t>
      </w:r>
      <w:r w:rsidR="00285E1B">
        <w:rPr>
          <w:rFonts w:cstheme="minorHAnsi"/>
          <w:sz w:val="24"/>
          <w:szCs w:val="24"/>
          <w:lang w:val="en-GB"/>
        </w:rPr>
        <w:t>6</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5996A08E"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285E1B">
        <w:rPr>
          <w:rFonts w:cstheme="minorHAnsi"/>
          <w:sz w:val="24"/>
          <w:szCs w:val="24"/>
          <w:lang w:val="en-GB"/>
        </w:rPr>
        <w:t>446</w:t>
      </w:r>
      <w:r>
        <w:rPr>
          <w:rFonts w:cstheme="minorHAnsi"/>
          <w:sz w:val="24"/>
          <w:szCs w:val="24"/>
          <w:lang w:val="en-GB"/>
        </w:rPr>
        <w:t>.</w:t>
      </w:r>
      <w:r w:rsidR="00285E1B">
        <w:rPr>
          <w:rFonts w:cstheme="minorHAnsi"/>
          <w:sz w:val="24"/>
          <w:szCs w:val="24"/>
          <w:lang w:val="en-GB"/>
        </w:rPr>
        <w:t>4</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285E1B">
        <w:rPr>
          <w:rFonts w:cstheme="minorHAnsi"/>
          <w:sz w:val="24"/>
          <w:szCs w:val="24"/>
          <w:lang w:val="en-GB"/>
        </w:rPr>
        <w:t>5</w:t>
      </w:r>
      <w:r>
        <w:rPr>
          <w:rFonts w:cstheme="minorHAnsi"/>
          <w:sz w:val="24"/>
          <w:szCs w:val="24"/>
          <w:lang w:val="en-GB"/>
        </w:rPr>
        <w:t>.</w:t>
      </w:r>
      <w:r w:rsidR="00BC43E0">
        <w:rPr>
          <w:rFonts w:cstheme="minorHAnsi"/>
          <w:sz w:val="24"/>
          <w:szCs w:val="24"/>
          <w:lang w:val="en-GB"/>
        </w:rPr>
        <w:t>5</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60B1CD03" w:rsidR="00E43402" w:rsidRDefault="00E43402" w:rsidP="002B782C">
      <w:pPr>
        <w:tabs>
          <w:tab w:val="left" w:pos="1204"/>
        </w:tabs>
        <w:rPr>
          <w:rFonts w:cstheme="minorHAnsi"/>
          <w:sz w:val="24"/>
          <w:szCs w:val="24"/>
          <w:lang w:val="en-GB"/>
        </w:rPr>
      </w:pPr>
    </w:p>
    <w:p w14:paraId="2012DBA9" w14:textId="77777777" w:rsidR="004E58D3" w:rsidRPr="00041197" w:rsidRDefault="004E58D3" w:rsidP="002B782C">
      <w:pPr>
        <w:tabs>
          <w:tab w:val="left" w:pos="1204"/>
        </w:tabs>
        <w:rPr>
          <w:rFonts w:cstheme="minorHAnsi"/>
          <w:sz w:val="24"/>
          <w:szCs w:val="24"/>
          <w:lang w:val="en-GB"/>
        </w:rPr>
      </w:pPr>
    </w:p>
    <w:p w14:paraId="2F364C6A" w14:textId="7199B9D2" w:rsidR="00E43402" w:rsidRPr="001607DE" w:rsidRDefault="0027566F"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Pr>
          <w:rFonts w:cstheme="minorHAnsi"/>
          <w:noProof/>
          <w:sz w:val="24"/>
          <w:szCs w:val="24"/>
        </w:rPr>
        <w:drawing>
          <wp:inline distT="0" distB="0" distL="0" distR="0" wp14:anchorId="65D75F34" wp14:editId="0BD8C821">
            <wp:extent cx="2952108" cy="410400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108" cy="4104000"/>
                    </a:xfrm>
                    <a:prstGeom prst="rect">
                      <a:avLst/>
                    </a:prstGeom>
                    <a:noFill/>
                  </pic:spPr>
                </pic:pic>
              </a:graphicData>
            </a:graphic>
          </wp:inline>
        </w:drawing>
      </w:r>
      <w:r w:rsidR="00E43402">
        <w:rPr>
          <w:rFonts w:cstheme="minorHAnsi"/>
          <w:sz w:val="24"/>
          <w:szCs w:val="24"/>
        </w:rPr>
        <w:t xml:space="preserve">   </w:t>
      </w:r>
      <w:r w:rsidR="00E43402" w:rsidRPr="001607DE">
        <w:rPr>
          <w:rFonts w:cstheme="minorHAnsi"/>
          <w:sz w:val="24"/>
          <w:szCs w:val="24"/>
        </w:rPr>
        <w:t xml:space="preserve">  </w:t>
      </w:r>
      <w:r w:rsidR="00E43402">
        <w:rPr>
          <w:rFonts w:cstheme="minorHAnsi"/>
          <w:sz w:val="24"/>
          <w:szCs w:val="24"/>
        </w:rPr>
        <w:t xml:space="preserve"> </w:t>
      </w:r>
      <w:r>
        <w:rPr>
          <w:rFonts w:cstheme="minorHAnsi"/>
          <w:noProof/>
          <w:sz w:val="24"/>
          <w:szCs w:val="24"/>
        </w:rPr>
        <w:drawing>
          <wp:inline distT="0" distB="0" distL="0" distR="0" wp14:anchorId="7E1CB3CA" wp14:editId="365C52AA">
            <wp:extent cx="2957675" cy="410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7675" cy="4104000"/>
                    </a:xfrm>
                    <a:prstGeom prst="rect">
                      <a:avLst/>
                    </a:prstGeom>
                    <a:noFill/>
                  </pic:spPr>
                </pic:pic>
              </a:graphicData>
            </a:graphic>
          </wp:inline>
        </w:drawing>
      </w:r>
      <w:r w:rsidR="00E43402" w:rsidRPr="001607DE">
        <w:rPr>
          <w:rFonts w:cstheme="minorHAnsi"/>
          <w:sz w:val="24"/>
          <w:szCs w:val="24"/>
        </w:rPr>
        <w:t xml:space="preserve">       </w:t>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1465D629" w:rsidR="00E43402" w:rsidRPr="00041197" w:rsidRDefault="0027566F"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6DE02385" wp14:editId="07894D4C">
            <wp:extent cx="2952108" cy="410400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108" cy="4104000"/>
                    </a:xfrm>
                    <a:prstGeom prst="rect">
                      <a:avLst/>
                    </a:prstGeom>
                    <a:noFill/>
                  </pic:spPr>
                </pic:pic>
              </a:graphicData>
            </a:graphic>
          </wp:inline>
        </w:drawing>
      </w:r>
      <w:r w:rsidR="00E43402"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t xml:space="preserve"> </w:t>
      </w:r>
      <w:r w:rsidR="00E43402" w:rsidRPr="00777F71">
        <w:rPr>
          <w:rFonts w:eastAsia="Times New Roman" w:cs="Calibri"/>
          <w:b/>
          <w:noProof/>
          <w:spacing w:val="-3"/>
          <w:sz w:val="24"/>
          <w:szCs w:val="24"/>
          <w:lang w:eastAsia="hr-HR"/>
        </w:rPr>
        <w:t xml:space="preserve">   </w:t>
      </w:r>
      <w:r w:rsidR="00E43402">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29BE9686" wp14:editId="453C11EC">
            <wp:extent cx="2947664" cy="41040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7664" cy="4104000"/>
                    </a:xfrm>
                    <a:prstGeom prst="rect">
                      <a:avLst/>
                    </a:prstGeom>
                    <a:noFill/>
                  </pic:spPr>
                </pic:pic>
              </a:graphicData>
            </a:graphic>
          </wp:inline>
        </w:drawing>
      </w:r>
    </w:p>
    <w:p w14:paraId="23408705" w14:textId="0D75F57F"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ebts 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56AF0FAD"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963265" w:rsidRPr="00963265">
        <w:rPr>
          <w:rFonts w:eastAsia="Times New Roman" w:cs="Calibri"/>
          <w:color w:val="7F7F7F" w:themeColor="text1" w:themeTint="80"/>
          <w:spacing w:val="-3"/>
          <w:sz w:val="18"/>
          <w:szCs w:val="18"/>
          <w:lang w:val="en-GB" w:eastAsia="hr-HR"/>
        </w:rPr>
        <w:t xml:space="preserve">Other </w:t>
      </w:r>
      <w:proofErr w:type="gramStart"/>
      <w:r w:rsidR="00963265" w:rsidRPr="00963265">
        <w:rPr>
          <w:rFonts w:eastAsia="Times New Roman" w:cs="Calibri"/>
          <w:color w:val="7F7F7F" w:themeColor="text1" w:themeTint="80"/>
          <w:spacing w:val="-3"/>
          <w:sz w:val="18"/>
          <w:szCs w:val="18"/>
          <w:lang w:val="en-GB" w:eastAsia="hr-HR"/>
        </w:rPr>
        <w:t>liabilities,  Provisioning</w:t>
      </w:r>
      <w:proofErr w:type="gramEnd"/>
      <w:r w:rsidR="00963265" w:rsidRPr="00963265">
        <w:rPr>
          <w:rFonts w:eastAsia="Times New Roman" w:cs="Calibri"/>
          <w:color w:val="7F7F7F" w:themeColor="text1" w:themeTint="80"/>
          <w:spacing w:val="-3"/>
          <w:sz w:val="18"/>
          <w:szCs w:val="18"/>
          <w:lang w:val="en-GB" w:eastAsia="hr-HR"/>
        </w:rPr>
        <w:t xml:space="preserve"> for guarantees, commitments and other liabilities.</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2"/>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3"/>
          <w:pgSz w:w="11906" w:h="16838" w:code="9"/>
          <w:pgMar w:top="596" w:right="1133" w:bottom="1417" w:left="1417" w:header="709" w:footer="709" w:gutter="0"/>
          <w:cols w:space="708"/>
          <w:titlePg/>
          <w:docGrid w:linePitch="360"/>
        </w:sectPr>
      </w:pPr>
    </w:p>
    <w:p w14:paraId="4F1629B1" w14:textId="3448D25D" w:rsidR="00A37829" w:rsidRPr="00395073" w:rsidRDefault="00A37829" w:rsidP="007E7492">
      <w:pPr>
        <w:keepNext/>
        <w:spacing w:after="0" w:line="240" w:lineRule="auto"/>
        <w:jc w:val="center"/>
        <w:outlineLvl w:val="1"/>
        <w:rPr>
          <w:rFonts w:ascii="Calibri" w:hAnsi="Calibri" w:cs="Calibri"/>
          <w:b/>
          <w:bCs/>
          <w:sz w:val="24"/>
          <w:szCs w:val="24"/>
          <w:lang w:val="en-GB" w:eastAsia="x-none"/>
        </w:rPr>
      </w:pPr>
      <w:bookmarkStart w:id="3" w:name="_Toc477261950"/>
      <w:r w:rsidRPr="00395073">
        <w:rPr>
          <w:rFonts w:ascii="Calibri" w:hAnsi="Calibri" w:cs="Calibri"/>
          <w:b/>
          <w:bCs/>
          <w:sz w:val="24"/>
          <w:szCs w:val="24"/>
          <w:lang w:val="en-GB" w:eastAsia="x-none"/>
        </w:rPr>
        <w:lastRenderedPageBreak/>
        <w:t>OVERVIEW OF FINANCIAL PERFORMANCE OF HBOR</w:t>
      </w:r>
      <w:bookmarkEnd w:id="3"/>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4200DDF0"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E02D64">
        <w:rPr>
          <w:rFonts w:cstheme="minorHAnsi"/>
          <w:spacing w:val="-3"/>
          <w:sz w:val="24"/>
          <w:szCs w:val="24"/>
          <w:lang w:val="en-GB"/>
        </w:rPr>
        <w:t>1 March</w:t>
      </w:r>
      <w:r w:rsidR="00C71712">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w:t>
      </w:r>
      <w:r w:rsidR="00E02D64">
        <w:rPr>
          <w:rFonts w:cstheme="minorHAnsi"/>
          <w:spacing w:val="-3"/>
          <w:sz w:val="24"/>
          <w:szCs w:val="24"/>
          <w:lang w:val="en-GB"/>
        </w:rPr>
        <w:t>1</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E02D64">
        <w:rPr>
          <w:rFonts w:cstheme="minorHAnsi"/>
          <w:spacing w:val="-3"/>
          <w:sz w:val="24"/>
          <w:szCs w:val="24"/>
          <w:lang w:val="en-GB"/>
        </w:rPr>
        <w:t>191.0</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E02D64">
        <w:rPr>
          <w:rFonts w:cstheme="minorHAnsi"/>
          <w:spacing w:val="-3"/>
          <w:sz w:val="24"/>
          <w:szCs w:val="24"/>
          <w:lang w:val="en-GB"/>
        </w:rPr>
        <w:t>103.2</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E02D64">
        <w:rPr>
          <w:rFonts w:cstheme="minorHAnsi"/>
          <w:spacing w:val="-3"/>
          <w:sz w:val="24"/>
          <w:szCs w:val="24"/>
          <w:lang w:val="en-GB"/>
        </w:rPr>
        <w:t>87.8</w:t>
      </w:r>
      <w:r w:rsidR="002D16B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E02D64">
        <w:rPr>
          <w:rFonts w:cstheme="minorHAnsi"/>
          <w:spacing w:val="-3"/>
          <w:sz w:val="24"/>
          <w:szCs w:val="24"/>
          <w:lang w:val="en-GB"/>
        </w:rPr>
        <w:t>in</w:t>
      </w:r>
      <w:r w:rsidRPr="00395073">
        <w:rPr>
          <w:rFonts w:cstheme="minorHAnsi"/>
          <w:spacing w:val="-3"/>
          <w:sz w:val="24"/>
          <w:szCs w:val="24"/>
          <w:lang w:val="en-GB"/>
        </w:rPr>
        <w:t xml:space="preserve">creased by HRK </w:t>
      </w:r>
      <w:r w:rsidR="00E02D64">
        <w:rPr>
          <w:rFonts w:cstheme="minorHAnsi"/>
          <w:spacing w:val="-3"/>
          <w:sz w:val="24"/>
          <w:szCs w:val="24"/>
          <w:lang w:val="en-GB"/>
        </w:rPr>
        <w:t>66.0</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compared with the profit generated in the same period last year, i.e. by </w:t>
      </w:r>
      <w:r w:rsidR="00E02D64">
        <w:rPr>
          <w:rFonts w:cstheme="minorHAnsi"/>
          <w:spacing w:val="-3"/>
          <w:sz w:val="24"/>
          <w:szCs w:val="24"/>
          <w:lang w:val="en-GB"/>
        </w:rPr>
        <w:t>302.8</w:t>
      </w:r>
      <w:r w:rsidR="00FE06F1" w:rsidRPr="00041197">
        <w:rPr>
          <w:rFonts w:cstheme="minorHAnsi"/>
          <w:spacing w:val="-3"/>
          <w:sz w:val="24"/>
          <w:szCs w:val="24"/>
          <w:lang w:val="en-GB"/>
        </w:rPr>
        <w:t xml:space="preserve"> </w:t>
      </w:r>
      <w:r w:rsidR="009E3641" w:rsidRPr="00041197">
        <w:rPr>
          <w:rFonts w:cstheme="minorHAnsi"/>
          <w:spacing w:val="-3"/>
          <w:sz w:val="24"/>
          <w:szCs w:val="24"/>
          <w:lang w:val="en-GB"/>
        </w:rPr>
        <w:t>p</w:t>
      </w:r>
      <w:r>
        <w:rPr>
          <w:rFonts w:cstheme="minorHAnsi"/>
          <w:spacing w:val="-3"/>
          <w:sz w:val="24"/>
          <w:szCs w:val="24"/>
          <w:lang w:val="en-GB"/>
        </w:rPr>
        <w:t>ercent</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00A885D6" w14:textId="77777777" w:rsidR="008908EE" w:rsidRDefault="004861F7" w:rsidP="00BF17D9">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sidR="009A4055">
        <w:rPr>
          <w:sz w:val="24"/>
          <w:szCs w:val="24"/>
          <w:lang w:val="en"/>
        </w:rPr>
        <w:t>in</w:t>
      </w:r>
      <w:r w:rsidRPr="004861F7">
        <w:rPr>
          <w:sz w:val="24"/>
          <w:szCs w:val="24"/>
          <w:lang w:val="en"/>
        </w:rPr>
        <w:t xml:space="preserve">crease in profit in the period </w:t>
      </w:r>
      <w:r w:rsidR="005B143F">
        <w:rPr>
          <w:sz w:val="24"/>
          <w:szCs w:val="24"/>
          <w:lang w:val="en"/>
        </w:rPr>
        <w:t>from 1 January to 31 March 2021</w:t>
      </w:r>
      <w:r w:rsidR="008908EE">
        <w:rPr>
          <w:sz w:val="24"/>
          <w:szCs w:val="24"/>
          <w:lang w:val="en"/>
        </w:rPr>
        <w:t xml:space="preserve"> </w:t>
      </w:r>
      <w:r w:rsidRPr="004861F7">
        <w:rPr>
          <w:sz w:val="24"/>
          <w:szCs w:val="24"/>
          <w:lang w:val="en"/>
        </w:rPr>
        <w:t xml:space="preserve">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w:t>
      </w:r>
      <w:proofErr w:type="spellStart"/>
      <w:proofErr w:type="gramStart"/>
      <w:r w:rsidRPr="004861F7">
        <w:rPr>
          <w:sz w:val="24"/>
          <w:szCs w:val="24"/>
          <w:lang w:val="en"/>
        </w:rPr>
        <w:t>a</w:t>
      </w:r>
      <w:proofErr w:type="spellEnd"/>
      <w:proofErr w:type="gramEnd"/>
      <w:r w:rsidRPr="004861F7">
        <w:rPr>
          <w:sz w:val="24"/>
          <w:szCs w:val="24"/>
          <w:lang w:val="en"/>
        </w:rPr>
        <w:t xml:space="preserve"> </w:t>
      </w:r>
      <w:r w:rsidR="008908EE">
        <w:rPr>
          <w:sz w:val="24"/>
          <w:szCs w:val="24"/>
          <w:lang w:val="en"/>
        </w:rPr>
        <w:t>in</w:t>
      </w:r>
      <w:r w:rsidRPr="004861F7">
        <w:rPr>
          <w:sz w:val="24"/>
          <w:szCs w:val="24"/>
          <w:lang w:val="en"/>
        </w:rPr>
        <w:t xml:space="preserve">crease in total </w:t>
      </w:r>
      <w:r>
        <w:rPr>
          <w:sz w:val="24"/>
          <w:szCs w:val="24"/>
          <w:lang w:val="en"/>
        </w:rPr>
        <w:t>income</w:t>
      </w:r>
      <w:r w:rsidRPr="004861F7">
        <w:rPr>
          <w:sz w:val="24"/>
          <w:szCs w:val="24"/>
          <w:lang w:val="en"/>
        </w:rPr>
        <w:t xml:space="preserve"> by HRK </w:t>
      </w:r>
      <w:r w:rsidR="0092128B">
        <w:rPr>
          <w:sz w:val="24"/>
          <w:szCs w:val="24"/>
          <w:lang w:val="en"/>
        </w:rPr>
        <w:t>2</w:t>
      </w:r>
      <w:r w:rsidR="008908EE">
        <w:rPr>
          <w:sz w:val="24"/>
          <w:szCs w:val="24"/>
          <w:lang w:val="en"/>
        </w:rPr>
        <w:t>3</w:t>
      </w:r>
      <w:r w:rsidRPr="004861F7">
        <w:rPr>
          <w:sz w:val="24"/>
          <w:szCs w:val="24"/>
          <w:lang w:val="en"/>
        </w:rPr>
        <w:t>.</w:t>
      </w:r>
      <w:r w:rsidR="008908EE">
        <w:rPr>
          <w:sz w:val="24"/>
          <w:szCs w:val="24"/>
          <w:lang w:val="en"/>
        </w:rPr>
        <w:t>3</w:t>
      </w:r>
      <w:r w:rsidRPr="004861F7">
        <w:rPr>
          <w:sz w:val="24"/>
          <w:szCs w:val="24"/>
          <w:lang w:val="en"/>
        </w:rPr>
        <w:t xml:space="preserve"> million and a </w:t>
      </w:r>
      <w:r w:rsidR="008908EE">
        <w:rPr>
          <w:sz w:val="24"/>
          <w:szCs w:val="24"/>
          <w:lang w:val="en"/>
        </w:rPr>
        <w:t>de</w:t>
      </w:r>
      <w:r w:rsidR="0087260B" w:rsidRPr="0087260B">
        <w:rPr>
          <w:sz w:val="24"/>
          <w:szCs w:val="24"/>
          <w:lang w:val="en"/>
        </w:rPr>
        <w:t>crease</w:t>
      </w:r>
      <w:r w:rsidR="0087260B" w:rsidRPr="004861F7">
        <w:rPr>
          <w:sz w:val="24"/>
          <w:szCs w:val="24"/>
          <w:lang w:val="en"/>
        </w:rPr>
        <w:t xml:space="preserve"> </w:t>
      </w:r>
      <w:r w:rsidRPr="004861F7">
        <w:rPr>
          <w:sz w:val="24"/>
          <w:szCs w:val="24"/>
          <w:lang w:val="en"/>
        </w:rPr>
        <w:t xml:space="preserve">in total expenses by HRK </w:t>
      </w:r>
      <w:r w:rsidR="008908EE">
        <w:rPr>
          <w:sz w:val="24"/>
          <w:szCs w:val="24"/>
          <w:lang w:val="en"/>
        </w:rPr>
        <w:t>42</w:t>
      </w:r>
      <w:r w:rsidRPr="004861F7">
        <w:rPr>
          <w:sz w:val="24"/>
          <w:szCs w:val="24"/>
          <w:lang w:val="en"/>
        </w:rPr>
        <w:t>.</w:t>
      </w:r>
      <w:r w:rsidR="0092128B">
        <w:rPr>
          <w:sz w:val="24"/>
          <w:szCs w:val="24"/>
          <w:lang w:val="en"/>
        </w:rPr>
        <w:t>7</w:t>
      </w:r>
      <w:r w:rsidRPr="004861F7">
        <w:rPr>
          <w:sz w:val="24"/>
          <w:szCs w:val="24"/>
          <w:lang w:val="en"/>
        </w:rPr>
        <w:t xml:space="preserve"> million.</w:t>
      </w:r>
      <w:r w:rsidR="001A41FE" w:rsidRPr="00041197">
        <w:rPr>
          <w:rFonts w:cstheme="minorHAnsi"/>
          <w:spacing w:val="-3"/>
          <w:sz w:val="24"/>
          <w:szCs w:val="24"/>
          <w:lang w:val="en-GB"/>
        </w:rPr>
        <w:t xml:space="preserve"> </w:t>
      </w:r>
    </w:p>
    <w:p w14:paraId="494BF1B0" w14:textId="77777777" w:rsidR="008908EE" w:rsidRDefault="008908EE" w:rsidP="00BF17D9">
      <w:pPr>
        <w:tabs>
          <w:tab w:val="left" w:pos="-720"/>
        </w:tabs>
        <w:suppressAutoHyphens/>
        <w:spacing w:after="0" w:line="240" w:lineRule="auto"/>
        <w:jc w:val="both"/>
        <w:rPr>
          <w:rFonts w:cstheme="minorHAnsi"/>
          <w:spacing w:val="-3"/>
          <w:sz w:val="24"/>
          <w:szCs w:val="24"/>
          <w:lang w:val="en-GB"/>
        </w:rPr>
      </w:pPr>
    </w:p>
    <w:p w14:paraId="74C9EB1A" w14:textId="0344B05C" w:rsidR="00BF17D9"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The circumstances that affected the financial result achieved in the </w:t>
      </w:r>
      <w:r w:rsidR="008908EE">
        <w:rPr>
          <w:rFonts w:cstheme="minorHAnsi"/>
          <w:spacing w:val="-3"/>
          <w:sz w:val="24"/>
          <w:szCs w:val="24"/>
          <w:lang w:val="en-GB"/>
        </w:rPr>
        <w:t>three</w:t>
      </w:r>
      <w:r>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sidR="004861F7">
        <w:rPr>
          <w:rFonts w:cstheme="minorHAnsi"/>
          <w:spacing w:val="-3"/>
          <w:sz w:val="24"/>
          <w:szCs w:val="24"/>
          <w:lang w:val="en-GB"/>
        </w:rPr>
        <w:t>2</w:t>
      </w:r>
      <w:r w:rsidR="008908EE">
        <w:rPr>
          <w:rFonts w:cstheme="minorHAnsi"/>
          <w:spacing w:val="-3"/>
          <w:sz w:val="24"/>
          <w:szCs w:val="24"/>
          <w:lang w:val="en-GB"/>
        </w:rPr>
        <w:t>1</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w:t>
      </w:r>
      <w:r w:rsidR="008908EE">
        <w:rPr>
          <w:rFonts w:cstheme="minorHAnsi"/>
          <w:spacing w:val="-3"/>
          <w:sz w:val="24"/>
          <w:szCs w:val="24"/>
          <w:lang w:val="en-GB"/>
        </w:rPr>
        <w:t>20</w:t>
      </w:r>
      <w:r>
        <w:rPr>
          <w:rFonts w:cstheme="minorHAnsi"/>
          <w:spacing w:val="-3"/>
          <w:sz w:val="24"/>
          <w:szCs w:val="24"/>
          <w:lang w:val="en-GB"/>
        </w:rPr>
        <w:t xml:space="preserve"> are</w:t>
      </w:r>
      <w:r w:rsidR="00BF17D9" w:rsidRPr="00041197">
        <w:rPr>
          <w:rFonts w:cstheme="minorHAnsi"/>
          <w:spacing w:val="-3"/>
          <w:sz w:val="24"/>
          <w:szCs w:val="24"/>
          <w:lang w:val="en-GB"/>
        </w:rPr>
        <w:t>:</w:t>
      </w:r>
    </w:p>
    <w:p w14:paraId="10984229" w14:textId="77777777" w:rsidR="008908EE" w:rsidRPr="00041197" w:rsidRDefault="008908EE" w:rsidP="00BF17D9">
      <w:pPr>
        <w:tabs>
          <w:tab w:val="left" w:pos="-720"/>
        </w:tabs>
        <w:suppressAutoHyphens/>
        <w:spacing w:after="0" w:line="240" w:lineRule="auto"/>
        <w:jc w:val="both"/>
        <w:rPr>
          <w:rFonts w:cstheme="minorHAnsi"/>
          <w:spacing w:val="-3"/>
          <w:sz w:val="24"/>
          <w:szCs w:val="24"/>
          <w:lang w:val="en-GB"/>
        </w:rPr>
      </w:pPr>
    </w:p>
    <w:p w14:paraId="783D455C" w14:textId="69373BCE" w:rsidR="002B795F" w:rsidRPr="002B795F"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xml:space="preserve">(+) </w:t>
      </w:r>
      <w:r w:rsidR="002B795F">
        <w:rPr>
          <w:rFonts w:asciiTheme="minorHAnsi" w:hAnsiTheme="minorHAnsi" w:cstheme="minorHAnsi"/>
          <w:bCs/>
          <w:spacing w:val="-3"/>
          <w:lang w:val="en-GB"/>
        </w:rPr>
        <w:t>increase in interest income of HRK 9.6 million, i.e. by 6.0 percent,</w:t>
      </w:r>
    </w:p>
    <w:p w14:paraId="0A4FBD13" w14:textId="2F7C86E0" w:rsidR="00DB7995" w:rsidRPr="00D85A7D" w:rsidRDefault="002B795F"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de</w:t>
      </w:r>
      <w:r w:rsidR="003D5E90" w:rsidRPr="00395073">
        <w:rPr>
          <w:rFonts w:asciiTheme="minorHAnsi" w:hAnsiTheme="minorHAnsi" w:cstheme="minorHAnsi"/>
          <w:bCs/>
          <w:spacing w:val="-3"/>
          <w:lang w:val="en-GB"/>
        </w:rPr>
        <w:t xml:space="preserve">crease in interest </w:t>
      </w:r>
      <w:r>
        <w:rPr>
          <w:rFonts w:asciiTheme="minorHAnsi" w:hAnsiTheme="minorHAnsi" w:cstheme="minorHAnsi"/>
          <w:bCs/>
          <w:spacing w:val="-3"/>
          <w:lang w:val="en-GB"/>
        </w:rPr>
        <w:t>expenses</w:t>
      </w:r>
      <w:r w:rsidR="003D5E90" w:rsidRPr="00395073">
        <w:rPr>
          <w:rFonts w:asciiTheme="minorHAnsi" w:hAnsiTheme="minorHAnsi" w:cstheme="minorHAnsi"/>
          <w:bCs/>
          <w:spacing w:val="-3"/>
          <w:lang w:val="en-GB"/>
        </w:rPr>
        <w:t xml:space="preserve"> of HRK </w:t>
      </w:r>
      <w:r w:rsidR="00BB51B9">
        <w:rPr>
          <w:rFonts w:asciiTheme="minorHAnsi" w:hAnsiTheme="minorHAnsi" w:cstheme="minorHAnsi"/>
          <w:bCs/>
          <w:spacing w:val="-3"/>
          <w:lang w:val="en-GB"/>
        </w:rPr>
        <w:t>2</w:t>
      </w:r>
      <w:r>
        <w:rPr>
          <w:rFonts w:asciiTheme="minorHAnsi" w:hAnsiTheme="minorHAnsi" w:cstheme="minorHAnsi"/>
          <w:bCs/>
          <w:spacing w:val="-3"/>
          <w:lang w:val="en-GB"/>
        </w:rPr>
        <w:t>2</w:t>
      </w:r>
      <w:r w:rsidR="003D5E90">
        <w:rPr>
          <w:rFonts w:asciiTheme="minorHAnsi" w:hAnsiTheme="minorHAnsi" w:cstheme="minorHAnsi"/>
          <w:bCs/>
          <w:spacing w:val="-3"/>
          <w:lang w:val="en-GB"/>
        </w:rPr>
        <w:t>.</w:t>
      </w:r>
      <w:r>
        <w:rPr>
          <w:rFonts w:asciiTheme="minorHAnsi" w:hAnsiTheme="minorHAnsi" w:cstheme="minorHAnsi"/>
          <w:bCs/>
          <w:spacing w:val="-3"/>
          <w:lang w:val="en-GB"/>
        </w:rPr>
        <w:t>9</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r w:rsidR="003D5E90">
        <w:rPr>
          <w:rFonts w:asciiTheme="minorHAnsi" w:hAnsiTheme="minorHAnsi" w:cstheme="minorHAnsi"/>
          <w:bCs/>
          <w:spacing w:val="-3"/>
          <w:lang w:val="en-GB"/>
        </w:rPr>
        <w:t>i.e. by</w:t>
      </w:r>
      <w:r w:rsidR="00B81116"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3</w:t>
      </w:r>
      <w:r w:rsidR="00BB51B9">
        <w:rPr>
          <w:rFonts w:asciiTheme="minorHAnsi" w:hAnsiTheme="minorHAnsi" w:cstheme="minorHAnsi"/>
          <w:bCs/>
          <w:spacing w:val="-3"/>
          <w:lang w:val="en-GB"/>
        </w:rPr>
        <w:t>1</w:t>
      </w:r>
      <w:r w:rsidR="003D5E90">
        <w:rPr>
          <w:rFonts w:asciiTheme="minorHAnsi" w:hAnsiTheme="minorHAnsi" w:cstheme="minorHAnsi"/>
          <w:bCs/>
          <w:spacing w:val="-3"/>
          <w:lang w:val="en-GB"/>
        </w:rPr>
        <w:t>.</w:t>
      </w:r>
      <w:r>
        <w:rPr>
          <w:rFonts w:asciiTheme="minorHAnsi" w:hAnsiTheme="minorHAnsi" w:cstheme="minorHAnsi"/>
          <w:bCs/>
          <w:spacing w:val="-3"/>
          <w:lang w:val="en-GB"/>
        </w:rPr>
        <w:t>5</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0436E904" w14:textId="72623C52"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2B795F">
        <w:rPr>
          <w:rFonts w:asciiTheme="minorHAnsi" w:hAnsiTheme="minorHAnsi" w:cstheme="minorHAnsi"/>
          <w:spacing w:val="-3"/>
          <w:lang w:val="en-GB"/>
        </w:rPr>
        <w:t>-</w:t>
      </w:r>
      <w:r>
        <w:rPr>
          <w:rFonts w:asciiTheme="minorHAnsi" w:hAnsiTheme="minorHAnsi" w:cstheme="minorHAnsi"/>
          <w:spacing w:val="-3"/>
          <w:lang w:val="en-GB"/>
        </w:rPr>
        <w:t xml:space="preserve">) </w:t>
      </w:r>
      <w:r w:rsidR="002B795F">
        <w:rPr>
          <w:rFonts w:asciiTheme="minorHAnsi" w:hAnsiTheme="minorHAnsi" w:cstheme="minorHAnsi"/>
          <w:spacing w:val="-3"/>
          <w:lang w:val="en-GB"/>
        </w:rPr>
        <w:t>de</w:t>
      </w:r>
      <w:r w:rsidR="00BB51B9" w:rsidRPr="00BB51B9">
        <w:rPr>
          <w:rFonts w:asciiTheme="minorHAnsi" w:hAnsiTheme="minorHAnsi" w:cstheme="minorHAnsi"/>
          <w:spacing w:val="-3"/>
          <w:lang w:val="en-GB"/>
        </w:rPr>
        <w:t>crease</w:t>
      </w:r>
      <w:r w:rsidR="004861F7">
        <w:rPr>
          <w:rFonts w:asciiTheme="minorHAnsi" w:hAnsiTheme="minorHAnsi" w:cstheme="minorHAnsi"/>
          <w:spacing w:val="-3"/>
          <w:lang w:val="en-GB"/>
        </w:rPr>
        <w:t xml:space="preserve"> in net income from fees and commissions of HRK </w:t>
      </w:r>
      <w:r w:rsidR="00BB51B9">
        <w:rPr>
          <w:rFonts w:asciiTheme="minorHAnsi" w:hAnsiTheme="minorHAnsi" w:cstheme="minorHAnsi"/>
          <w:spacing w:val="-3"/>
          <w:lang w:val="en-GB"/>
        </w:rPr>
        <w:t>0</w:t>
      </w:r>
      <w:r w:rsidR="004861F7">
        <w:rPr>
          <w:rFonts w:asciiTheme="minorHAnsi" w:hAnsiTheme="minorHAnsi" w:cstheme="minorHAnsi"/>
          <w:spacing w:val="-3"/>
          <w:lang w:val="en-GB"/>
        </w:rPr>
        <w:t>.</w:t>
      </w:r>
      <w:r w:rsidR="002B795F">
        <w:rPr>
          <w:rFonts w:asciiTheme="minorHAnsi" w:hAnsiTheme="minorHAnsi" w:cstheme="minorHAnsi"/>
          <w:spacing w:val="-3"/>
          <w:lang w:val="en-GB"/>
        </w:rPr>
        <w:t>9</w:t>
      </w:r>
      <w:r w:rsidR="004861F7">
        <w:rPr>
          <w:rFonts w:asciiTheme="minorHAnsi" w:hAnsiTheme="minorHAnsi" w:cstheme="minorHAnsi"/>
          <w:spacing w:val="-3"/>
          <w:lang w:val="en-GB"/>
        </w:rPr>
        <w:t xml:space="preserve"> million, i.e. by </w:t>
      </w:r>
      <w:r w:rsidR="002B795F">
        <w:rPr>
          <w:rFonts w:asciiTheme="minorHAnsi" w:hAnsiTheme="minorHAnsi" w:cstheme="minorHAnsi"/>
          <w:spacing w:val="-3"/>
          <w:lang w:val="en-GB"/>
        </w:rPr>
        <w:t>18</w:t>
      </w:r>
      <w:r w:rsidR="004861F7">
        <w:rPr>
          <w:rFonts w:asciiTheme="minorHAnsi" w:hAnsiTheme="minorHAnsi" w:cstheme="minorHAnsi"/>
          <w:spacing w:val="-3"/>
          <w:lang w:val="en-GB"/>
        </w:rPr>
        <w:t>.</w:t>
      </w:r>
      <w:r w:rsidR="002B795F">
        <w:rPr>
          <w:rFonts w:asciiTheme="minorHAnsi" w:hAnsiTheme="minorHAnsi" w:cstheme="minorHAnsi"/>
          <w:spacing w:val="-3"/>
          <w:lang w:val="en-GB"/>
        </w:rPr>
        <w:t>0</w:t>
      </w:r>
      <w:r w:rsidR="004861F7">
        <w:rPr>
          <w:rFonts w:asciiTheme="minorHAnsi" w:hAnsiTheme="minorHAnsi" w:cstheme="minorHAnsi"/>
          <w:spacing w:val="-3"/>
          <w:lang w:val="en-GB"/>
        </w:rPr>
        <w:t xml:space="preserve"> percent,</w:t>
      </w:r>
    </w:p>
    <w:p w14:paraId="513C6093" w14:textId="44FD410B" w:rsidR="002B795F" w:rsidRPr="002B795F"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w:t>
      </w:r>
      <w:r w:rsidR="002B795F">
        <w:rPr>
          <w:rFonts w:asciiTheme="minorHAnsi" w:hAnsiTheme="minorHAnsi" w:cstheme="minorHAnsi"/>
          <w:lang w:val="en"/>
        </w:rPr>
        <w:t>+</w:t>
      </w:r>
      <w:r>
        <w:rPr>
          <w:rFonts w:asciiTheme="minorHAnsi" w:hAnsiTheme="minorHAnsi" w:cstheme="minorHAnsi"/>
          <w:lang w:val="en"/>
        </w:rPr>
        <w:t xml:space="preserve">) </w:t>
      </w:r>
      <w:r w:rsidR="002B795F" w:rsidRPr="002B795F">
        <w:rPr>
          <w:rStyle w:val="y2iqfc"/>
          <w:rFonts w:asciiTheme="minorHAnsi" w:hAnsiTheme="minorHAnsi" w:cstheme="minorHAnsi"/>
          <w:color w:val="202124"/>
          <w:lang w:val="en"/>
        </w:rPr>
        <w:t>reduction of realized net expenses from financial activities by HRK 13.8 million</w:t>
      </w:r>
      <w:r w:rsidR="002B795F">
        <w:rPr>
          <w:rStyle w:val="y2iqfc"/>
          <w:rFonts w:asciiTheme="minorHAnsi" w:hAnsiTheme="minorHAnsi" w:cstheme="minorHAnsi"/>
          <w:color w:val="202124"/>
          <w:lang w:val="en"/>
        </w:rPr>
        <w:t>,</w:t>
      </w:r>
      <w:r w:rsidR="002B795F" w:rsidRPr="002B795F">
        <w:rPr>
          <w:rFonts w:asciiTheme="minorHAnsi" w:hAnsiTheme="minorHAnsi" w:cstheme="minorHAnsi"/>
          <w:lang w:val="en"/>
        </w:rPr>
        <w:t xml:space="preserve"> </w:t>
      </w:r>
    </w:p>
    <w:p w14:paraId="6C884319" w14:textId="03AC277B" w:rsidR="004861F7" w:rsidRPr="002B795F" w:rsidRDefault="002B795F"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2B795F">
        <w:rPr>
          <w:rFonts w:asciiTheme="minorHAnsi" w:hAnsiTheme="minorHAnsi" w:cstheme="minorHAnsi"/>
          <w:lang w:val="en"/>
        </w:rPr>
        <w:t>(</w:t>
      </w:r>
      <w:r>
        <w:rPr>
          <w:rFonts w:asciiTheme="minorHAnsi" w:hAnsiTheme="minorHAnsi" w:cstheme="minorHAnsi"/>
          <w:lang w:val="en"/>
        </w:rPr>
        <w:t>-</w:t>
      </w:r>
      <w:r w:rsidRPr="002B795F">
        <w:rPr>
          <w:rFonts w:asciiTheme="minorHAnsi" w:hAnsiTheme="minorHAnsi" w:cstheme="minorHAnsi"/>
          <w:lang w:val="en"/>
        </w:rPr>
        <w:t>) increase</w:t>
      </w:r>
      <w:r>
        <w:rPr>
          <w:rFonts w:asciiTheme="minorHAnsi" w:hAnsiTheme="minorHAnsi" w:cstheme="minorHAnsi"/>
          <w:lang w:val="en"/>
        </w:rPr>
        <w:t xml:space="preserve"> in</w:t>
      </w:r>
      <w:r w:rsidR="00D85A7D" w:rsidRPr="002B795F">
        <w:rPr>
          <w:rFonts w:asciiTheme="minorHAnsi" w:hAnsiTheme="minorHAnsi" w:cstheme="minorHAnsi"/>
          <w:lang w:val="en"/>
        </w:rPr>
        <w:t xml:space="preserve"> </w:t>
      </w:r>
      <w:r w:rsidRPr="00395073">
        <w:rPr>
          <w:rFonts w:asciiTheme="minorHAnsi" w:hAnsiTheme="minorHAnsi"/>
          <w:lang w:val="en-GB"/>
        </w:rPr>
        <w:t xml:space="preserve">operating expenses of HRK </w:t>
      </w:r>
      <w:r>
        <w:rPr>
          <w:rFonts w:asciiTheme="minorHAnsi" w:hAnsiTheme="minorHAnsi"/>
          <w:lang w:val="en-GB"/>
        </w:rPr>
        <w:t>8.9</w:t>
      </w:r>
      <w:r w:rsidRPr="00041197">
        <w:rPr>
          <w:rFonts w:asciiTheme="minorHAnsi" w:hAnsiTheme="minorHAnsi" w:cstheme="minorHAnsi"/>
          <w:spacing w:val="-3"/>
          <w:lang w:val="en-GB"/>
        </w:rPr>
        <w:t xml:space="preserve"> mil</w:t>
      </w:r>
      <w:r>
        <w:rPr>
          <w:rFonts w:asciiTheme="minorHAnsi" w:hAnsiTheme="minorHAnsi" w:cstheme="minorHAnsi"/>
          <w:spacing w:val="-3"/>
          <w:lang w:val="en-GB"/>
        </w:rPr>
        <w:t xml:space="preserve">lion, </w:t>
      </w:r>
    </w:p>
    <w:p w14:paraId="27F7F0E5" w14:textId="314726CA" w:rsidR="006571D0" w:rsidRPr="00041197" w:rsidRDefault="004D7EAF" w:rsidP="002C3634">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2B795F">
        <w:rPr>
          <w:rFonts w:asciiTheme="minorHAnsi" w:hAnsiTheme="minorHAnsi" w:cstheme="minorHAnsi"/>
          <w:spacing w:val="-3"/>
          <w:lang w:val="en-GB"/>
        </w:rPr>
        <w:t>(</w:t>
      </w:r>
      <w:r w:rsidR="002B795F">
        <w:rPr>
          <w:rFonts w:asciiTheme="minorHAnsi" w:hAnsiTheme="minorHAnsi" w:cstheme="minorHAnsi"/>
          <w:spacing w:val="-3"/>
          <w:lang w:val="en-GB"/>
        </w:rPr>
        <w:t>+</w:t>
      </w:r>
      <w:r w:rsidRPr="002B795F">
        <w:rPr>
          <w:rFonts w:asciiTheme="minorHAnsi" w:hAnsiTheme="minorHAnsi" w:cstheme="minorHAnsi"/>
          <w:spacing w:val="-3"/>
          <w:lang w:val="en-GB"/>
        </w:rPr>
        <w:t xml:space="preserve">) </w:t>
      </w:r>
      <w:r w:rsidR="002B795F">
        <w:rPr>
          <w:rFonts w:asciiTheme="minorHAnsi" w:hAnsiTheme="minorHAnsi" w:cstheme="minorHAnsi"/>
          <w:spacing w:val="-3"/>
          <w:lang w:val="en-GB"/>
        </w:rPr>
        <w:t>de</w:t>
      </w:r>
      <w:r w:rsidR="00781556" w:rsidRPr="002B795F">
        <w:rPr>
          <w:rFonts w:asciiTheme="minorHAnsi" w:hAnsiTheme="minorHAnsi" w:cstheme="minorHAnsi"/>
          <w:spacing w:val="-3"/>
          <w:lang w:val="en-GB"/>
        </w:rPr>
        <w:t>crease in losses from impairment and provisions in the amount of HRK</w:t>
      </w:r>
      <w:r w:rsidR="00781556">
        <w:rPr>
          <w:rFonts w:asciiTheme="minorHAnsi" w:hAnsiTheme="minorHAnsi" w:cstheme="minorHAnsi"/>
          <w:spacing w:val="-3"/>
          <w:lang w:val="en-GB"/>
        </w:rPr>
        <w:t xml:space="preserve"> </w:t>
      </w:r>
      <w:r w:rsidR="002B795F">
        <w:rPr>
          <w:rFonts w:asciiTheme="minorHAnsi" w:hAnsiTheme="minorHAnsi" w:cstheme="minorHAnsi"/>
          <w:spacing w:val="-3"/>
          <w:lang w:val="en-GB"/>
        </w:rPr>
        <w:t>27.2</w:t>
      </w:r>
      <w:r w:rsidR="006571D0" w:rsidRPr="002A10E9">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r w:rsidR="002B795F">
        <w:rPr>
          <w:rFonts w:asciiTheme="minorHAnsi" w:hAnsiTheme="minorHAnsi" w:cstheme="minorHAnsi"/>
          <w:spacing w:val="-3"/>
          <w:lang w:val="en-GB"/>
        </w:rPr>
        <w:t>compared with the same period 2020,</w:t>
      </w:r>
    </w:p>
    <w:p w14:paraId="6DE13AE2" w14:textId="27948E3C"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xml:space="preserve">(+) </w:t>
      </w:r>
      <w:r w:rsidR="002B795F">
        <w:rPr>
          <w:rFonts w:asciiTheme="minorHAnsi" w:hAnsiTheme="minorHAnsi" w:cstheme="minorHAnsi"/>
          <w:spacing w:val="-3"/>
          <w:lang w:val="en-GB"/>
        </w:rPr>
        <w:t>inc</w:t>
      </w:r>
      <w:r w:rsidR="00781556" w:rsidRPr="0017099C">
        <w:rPr>
          <w:rFonts w:asciiTheme="minorHAnsi" w:hAnsiTheme="minorHAnsi" w:cstheme="minorHAnsi"/>
          <w:lang w:val="en-GB"/>
        </w:rPr>
        <w:t>reas</w:t>
      </w:r>
      <w:r w:rsidR="00781556" w:rsidRPr="00395073">
        <w:rPr>
          <w:rFonts w:asciiTheme="minorHAnsi" w:hAnsiTheme="minorHAnsi"/>
          <w:lang w:val="en-GB"/>
        </w:rPr>
        <w:t xml:space="preserve">e in </w:t>
      </w:r>
      <w:r w:rsidR="00CA1BE9">
        <w:rPr>
          <w:rFonts w:asciiTheme="minorHAnsi" w:hAnsiTheme="minorHAnsi"/>
          <w:lang w:val="en-GB"/>
        </w:rPr>
        <w:t>other income of HRK 2.3 million.</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4"/>
          <w:pgSz w:w="11906" w:h="16838"/>
          <w:pgMar w:top="1417" w:right="1417" w:bottom="1417" w:left="1276" w:header="708" w:footer="708" w:gutter="0"/>
          <w:cols w:space="708"/>
          <w:docGrid w:linePitch="360"/>
        </w:sectPr>
      </w:pPr>
    </w:p>
    <w:p w14:paraId="53746224" w14:textId="53CC8F55" w:rsidR="00E43402" w:rsidRDefault="00117841"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noProof/>
          <w:spacing w:val="-3"/>
          <w:sz w:val="24"/>
          <w:szCs w:val="24"/>
          <w:lang w:val="en-GB" w:eastAsia="hr-HR"/>
        </w:rPr>
        <w:lastRenderedPageBreak/>
        <w:drawing>
          <wp:inline distT="0" distB="0" distL="0" distR="0" wp14:anchorId="7402FF58" wp14:editId="10BF0EDB">
            <wp:extent cx="3030220" cy="4054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0220" cy="4054475"/>
                    </a:xfrm>
                    <a:prstGeom prst="rect">
                      <a:avLst/>
                    </a:prstGeom>
                    <a:noFill/>
                  </pic:spPr>
                </pic:pic>
              </a:graphicData>
            </a:graphic>
          </wp:inline>
        </w:drawing>
      </w:r>
      <w:r w:rsidR="00E43402" w:rsidRPr="00041197">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E43402" w:rsidRPr="00041197">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373304">
        <w:rPr>
          <w:rFonts w:eastAsia="Times New Roman" w:cs="Calibri"/>
          <w:b/>
          <w:i/>
          <w:noProof/>
          <w:spacing w:val="-3"/>
          <w:sz w:val="24"/>
          <w:szCs w:val="24"/>
          <w:lang w:val="en-GB" w:eastAsia="hr-HR"/>
        </w:rPr>
        <w:drawing>
          <wp:inline distT="0" distB="0" distL="0" distR="0" wp14:anchorId="04829E18" wp14:editId="553455CD">
            <wp:extent cx="3030220" cy="40544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0220" cy="4054475"/>
                    </a:xfrm>
                    <a:prstGeom prst="rect">
                      <a:avLst/>
                    </a:prstGeom>
                    <a:noFill/>
                  </pic:spPr>
                </pic:pic>
              </a:graphicData>
            </a:graphic>
          </wp:inline>
        </w:drawing>
      </w:r>
    </w:p>
    <w:p w14:paraId="32E5D745" w14:textId="351CCD6D"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2D01AF42" w14:textId="433D883D" w:rsidR="00117841" w:rsidRDefault="00117841"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2AA070CA" w14:textId="38BEB162" w:rsidR="00117841" w:rsidRDefault="00117841"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noProof/>
          <w:spacing w:val="-3"/>
          <w:sz w:val="18"/>
          <w:szCs w:val="24"/>
          <w:lang w:val="en-GB" w:eastAsia="hr-HR"/>
        </w:rPr>
        <w:drawing>
          <wp:inline distT="0" distB="0" distL="0" distR="0" wp14:anchorId="114F2FA3" wp14:editId="031D072B">
            <wp:extent cx="3042285" cy="40544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2285" cy="4054475"/>
                    </a:xfrm>
                    <a:prstGeom prst="rect">
                      <a:avLst/>
                    </a:prstGeom>
                    <a:noFill/>
                  </pic:spPr>
                </pic:pic>
              </a:graphicData>
            </a:graphic>
          </wp:inline>
        </w:drawing>
      </w:r>
      <w:r w:rsidRPr="00041197">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041197">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Pr>
          <w:rFonts w:eastAsia="Times New Roman" w:cs="Calibri"/>
          <w:b/>
          <w:i/>
          <w:noProof/>
          <w:spacing w:val="-3"/>
          <w:sz w:val="18"/>
          <w:szCs w:val="24"/>
          <w:lang w:val="en-GB" w:eastAsia="hr-HR"/>
        </w:rPr>
        <w:drawing>
          <wp:inline distT="0" distB="0" distL="0" distR="0" wp14:anchorId="582DDA91" wp14:editId="31C8AA4E">
            <wp:extent cx="3030220" cy="4054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0220" cy="4054475"/>
                    </a:xfrm>
                    <a:prstGeom prst="rect">
                      <a:avLst/>
                    </a:prstGeom>
                    <a:noFill/>
                  </pic:spPr>
                </pic:pic>
              </a:graphicData>
            </a:graphic>
          </wp:inline>
        </w:drawing>
      </w:r>
    </w:p>
    <w:p w14:paraId="045F1114" w14:textId="77777777" w:rsidR="00117841" w:rsidRPr="00041197" w:rsidRDefault="00117841"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p>
    <w:p w14:paraId="6C9923FB" w14:textId="06824AED" w:rsidR="00B157D4" w:rsidRPr="00041197"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9"/>
          <w:pgSz w:w="11906" w:h="16838"/>
          <w:pgMar w:top="1417" w:right="1417" w:bottom="1417" w:left="1276" w:header="708" w:footer="708" w:gutter="0"/>
          <w:cols w:space="708"/>
          <w:docGrid w:linePitch="360"/>
        </w:sectPr>
      </w:pP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23D41B74"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270525">
        <w:rPr>
          <w:rFonts w:cs="Calibri"/>
          <w:spacing w:val="-3"/>
          <w:sz w:val="24"/>
          <w:szCs w:val="24"/>
          <w:lang w:val="en-GB"/>
        </w:rPr>
        <w:t>120.0</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270525">
        <w:rPr>
          <w:rFonts w:cstheme="minorHAnsi"/>
          <w:spacing w:val="-3"/>
          <w:sz w:val="24"/>
          <w:szCs w:val="24"/>
          <w:lang w:val="en-GB"/>
        </w:rPr>
        <w:t>37.1</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8D725D5" w14:textId="77777777" w:rsidR="00E803C5" w:rsidRPr="00E803C5" w:rsidRDefault="00E803C5" w:rsidP="00E803C5">
      <w:pPr>
        <w:spacing w:after="0" w:line="240" w:lineRule="auto"/>
        <w:jc w:val="both"/>
        <w:rPr>
          <w:spacing w:val="-3"/>
          <w:sz w:val="24"/>
          <w:szCs w:val="24"/>
          <w:lang w:val="en-GB"/>
        </w:rPr>
      </w:pPr>
      <w:r w:rsidRPr="00E803C5">
        <w:rPr>
          <w:spacing w:val="-3"/>
          <w:sz w:val="24"/>
          <w:szCs w:val="24"/>
          <w:lang w:val="en-GB"/>
        </w:rPr>
        <w:t>Interest income amounted to HRK 169.8 million, an increase of 6.0 percent compared to the same reporting period of the previous year due to the one-time effect of the implementation of the debtor's pre-bankruptcy settlement.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234E706C" w14:textId="2654A0C6" w:rsidR="001A7302" w:rsidRPr="001A7302" w:rsidRDefault="0038011D" w:rsidP="001A7302">
      <w:pPr>
        <w:tabs>
          <w:tab w:val="left" w:pos="-720"/>
        </w:tabs>
        <w:suppressAutoHyphens/>
        <w:autoSpaceDN w:val="0"/>
        <w:spacing w:after="0" w:line="240" w:lineRule="auto"/>
        <w:jc w:val="both"/>
        <w:textAlignment w:val="baseline"/>
        <w:rPr>
          <w:rFonts w:ascii="Calibri" w:eastAsia="Calibri" w:hAnsi="Calibri" w:cs="Calibri"/>
          <w:spacing w:val="-3"/>
          <w:sz w:val="24"/>
          <w:szCs w:val="24"/>
          <w:lang w:val="en-GB"/>
        </w:rPr>
      </w:pPr>
      <w:bookmarkStart w:id="4" w:name="_Hlk47973129"/>
      <w:r w:rsidRPr="00395073">
        <w:rPr>
          <w:rFonts w:cstheme="minorHAnsi"/>
          <w:spacing w:val="-3"/>
          <w:sz w:val="24"/>
          <w:szCs w:val="24"/>
          <w:lang w:val="en-GB"/>
        </w:rPr>
        <w:t xml:space="preserve">Interest expenses amounted to HRK </w:t>
      </w:r>
      <w:r w:rsidR="001A7302">
        <w:rPr>
          <w:rFonts w:cstheme="minorHAnsi"/>
          <w:spacing w:val="-3"/>
          <w:sz w:val="24"/>
          <w:szCs w:val="24"/>
          <w:lang w:val="en-GB"/>
        </w:rPr>
        <w:t>49.8</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1A7302">
        <w:rPr>
          <w:rFonts w:cstheme="minorHAnsi"/>
          <w:spacing w:val="-3"/>
          <w:sz w:val="24"/>
          <w:szCs w:val="24"/>
          <w:lang w:val="en-GB"/>
        </w:rPr>
        <w:t>31.5</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 xml:space="preserve">, </w:t>
      </w:r>
      <w:r w:rsidR="00853613" w:rsidRPr="00127810">
        <w:rPr>
          <w:rFonts w:cstheme="minorHAnsi"/>
          <w:spacing w:val="-3"/>
          <w:sz w:val="24"/>
          <w:szCs w:val="24"/>
          <w:lang w:val="en-GB"/>
        </w:rPr>
        <w:t xml:space="preserve">due to the repayment </w:t>
      </w:r>
      <w:r w:rsidR="001A7302">
        <w:rPr>
          <w:rFonts w:ascii="Calibri" w:eastAsia="Calibri" w:hAnsi="Calibri" w:cs="Calibri"/>
          <w:spacing w:val="-3"/>
          <w:sz w:val="24"/>
          <w:szCs w:val="24"/>
          <w:lang w:val="en-GB"/>
        </w:rPr>
        <w:t xml:space="preserve">of loans and bonds </w:t>
      </w:r>
      <w:r w:rsidR="001A7302" w:rsidRPr="001A7302">
        <w:rPr>
          <w:rFonts w:ascii="Calibri" w:eastAsia="Calibri" w:hAnsi="Calibri" w:cs="Calibri"/>
          <w:spacing w:val="-3"/>
          <w:sz w:val="24"/>
          <w:szCs w:val="24"/>
          <w:lang w:val="en-GB"/>
        </w:rPr>
        <w:t>payable</w:t>
      </w:r>
      <w:r w:rsidR="001A7302" w:rsidRPr="001A7302">
        <w:rPr>
          <w:rStyle w:val="CommentReference"/>
          <w:color w:val="202124"/>
          <w:sz w:val="24"/>
          <w:szCs w:val="24"/>
          <w:lang w:val="en"/>
        </w:rPr>
        <w:t xml:space="preserve"> (</w:t>
      </w:r>
      <w:r w:rsidR="001A7302" w:rsidRPr="001A7302">
        <w:rPr>
          <w:rStyle w:val="y2iqfc"/>
          <w:color w:val="202124"/>
          <w:sz w:val="24"/>
          <w:szCs w:val="24"/>
          <w:lang w:val="en"/>
        </w:rPr>
        <w:t>payment of bonds in May 2020)</w:t>
      </w:r>
      <w:r w:rsidR="001A7302" w:rsidRPr="001A7302">
        <w:rPr>
          <w:rFonts w:ascii="Calibri" w:eastAsia="Calibri" w:hAnsi="Calibri" w:cs="Calibri"/>
          <w:spacing w:val="-3"/>
          <w:sz w:val="24"/>
          <w:szCs w:val="24"/>
          <w:lang w:val="en-GB"/>
        </w:rPr>
        <w:t>.</w:t>
      </w:r>
    </w:p>
    <w:bookmarkEnd w:id="4"/>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5FFA3D68" w14:textId="011736A0" w:rsidR="006608BB" w:rsidRDefault="006608BB" w:rsidP="006608BB">
      <w:pPr>
        <w:spacing w:after="0" w:line="240" w:lineRule="auto"/>
        <w:rPr>
          <w:sz w:val="24"/>
          <w:szCs w:val="24"/>
          <w:lang w:val="en-GB"/>
        </w:rPr>
      </w:pPr>
      <w:r w:rsidRPr="006608BB">
        <w:rPr>
          <w:sz w:val="24"/>
          <w:szCs w:val="24"/>
          <w:lang w:val="en-GB"/>
        </w:rPr>
        <w:t>Given the described trends, the decrease in interest expenses and the increase in interest income affected the increase in net interest margin compared to the same reporting period of the previous year that amounts to 1.65 percent, while in the same period of the previous year it amounted to 1.32 percent.</w:t>
      </w:r>
    </w:p>
    <w:p w14:paraId="729745D4" w14:textId="77777777" w:rsidR="006608BB" w:rsidRPr="006608BB" w:rsidRDefault="006608BB" w:rsidP="006608BB">
      <w:pPr>
        <w:spacing w:after="0" w:line="240" w:lineRule="auto"/>
        <w:rPr>
          <w:sz w:val="24"/>
          <w:szCs w:val="24"/>
          <w:lang w:val="en-GB"/>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77A68AFE" w14:textId="4526015C" w:rsidR="00856A4D" w:rsidRPr="00064601" w:rsidRDefault="008314DF" w:rsidP="006F1D30">
      <w:pPr>
        <w:tabs>
          <w:tab w:val="left" w:pos="-720"/>
        </w:tabs>
        <w:suppressAutoHyphens/>
        <w:spacing w:after="0" w:line="240" w:lineRule="auto"/>
        <w:jc w:val="both"/>
        <w:rPr>
          <w:rFonts w:eastAsia="Times New Roman" w:cs="Calibri"/>
          <w:spacing w:val="-3"/>
          <w:sz w:val="24"/>
          <w:szCs w:val="24"/>
          <w:lang w:val="en-GB" w:eastAsia="hr-HR"/>
        </w:rPr>
      </w:pPr>
      <w:r w:rsidRPr="008314DF">
        <w:rPr>
          <w:rFonts w:cstheme="minorHAnsi"/>
          <w:spacing w:val="-3"/>
          <w:sz w:val="24"/>
          <w:szCs w:val="24"/>
          <w:lang w:val="en-GB"/>
        </w:rPr>
        <w:t xml:space="preserve">Net fee and commission income amounted to HRK </w:t>
      </w:r>
      <w:r w:rsidR="000D4AAD">
        <w:rPr>
          <w:rFonts w:cstheme="minorHAnsi"/>
          <w:spacing w:val="-3"/>
          <w:sz w:val="24"/>
          <w:szCs w:val="24"/>
          <w:lang w:val="en-GB"/>
        </w:rPr>
        <w:t>4</w:t>
      </w:r>
      <w:r w:rsidR="001A2189">
        <w:rPr>
          <w:rFonts w:cstheme="minorHAnsi"/>
          <w:spacing w:val="-3"/>
          <w:sz w:val="24"/>
          <w:szCs w:val="24"/>
          <w:lang w:val="en-GB"/>
        </w:rPr>
        <w:t>.</w:t>
      </w:r>
      <w:r w:rsidR="000D4AAD">
        <w:rPr>
          <w:rFonts w:cstheme="minorHAnsi"/>
          <w:spacing w:val="-3"/>
          <w:sz w:val="24"/>
          <w:szCs w:val="24"/>
          <w:lang w:val="en-GB"/>
        </w:rPr>
        <w:t>1</w:t>
      </w:r>
      <w:r w:rsidRPr="008314DF">
        <w:rPr>
          <w:rFonts w:cstheme="minorHAnsi"/>
          <w:spacing w:val="-3"/>
          <w:sz w:val="24"/>
          <w:szCs w:val="24"/>
          <w:lang w:val="en-GB"/>
        </w:rPr>
        <w:t xml:space="preserve"> million, an </w:t>
      </w:r>
      <w:r w:rsidR="001A2189">
        <w:rPr>
          <w:rFonts w:cstheme="minorHAnsi"/>
          <w:spacing w:val="-3"/>
          <w:sz w:val="24"/>
          <w:szCs w:val="24"/>
          <w:lang w:val="en-GB"/>
        </w:rPr>
        <w:t>de</w:t>
      </w:r>
      <w:r w:rsidRPr="008314DF">
        <w:rPr>
          <w:rFonts w:cstheme="minorHAnsi"/>
          <w:spacing w:val="-3"/>
          <w:sz w:val="24"/>
          <w:szCs w:val="24"/>
          <w:lang w:val="en-GB"/>
        </w:rPr>
        <w:t xml:space="preserve">crease of </w:t>
      </w:r>
      <w:r w:rsidR="001A2189">
        <w:rPr>
          <w:rFonts w:cstheme="minorHAnsi"/>
          <w:spacing w:val="-3"/>
          <w:sz w:val="24"/>
          <w:szCs w:val="24"/>
          <w:lang w:val="en-GB"/>
        </w:rPr>
        <w:t>18</w:t>
      </w:r>
      <w:r w:rsidRPr="008314DF">
        <w:rPr>
          <w:rFonts w:cstheme="minorHAnsi"/>
          <w:spacing w:val="-3"/>
          <w:sz w:val="24"/>
          <w:szCs w:val="24"/>
          <w:lang w:val="en-GB"/>
        </w:rPr>
        <w:t>.</w:t>
      </w:r>
      <w:r w:rsidR="001A2189">
        <w:rPr>
          <w:rFonts w:cstheme="minorHAnsi"/>
          <w:spacing w:val="-3"/>
          <w:sz w:val="24"/>
          <w:szCs w:val="24"/>
          <w:lang w:val="en-GB"/>
        </w:rPr>
        <w:t>0</w:t>
      </w:r>
      <w:r w:rsidRPr="008314DF">
        <w:rPr>
          <w:rFonts w:cstheme="minorHAnsi"/>
          <w:spacing w:val="-3"/>
          <w:sz w:val="24"/>
          <w:szCs w:val="24"/>
          <w:lang w:val="en-GB"/>
        </w:rPr>
        <w:t xml:space="preserve"> percent compared with the same reporting period last year due to a larger </w:t>
      </w:r>
      <w:r w:rsidR="001A2189">
        <w:rPr>
          <w:rFonts w:cstheme="minorHAnsi"/>
          <w:spacing w:val="-3"/>
          <w:sz w:val="24"/>
          <w:szCs w:val="24"/>
          <w:lang w:val="en-GB"/>
        </w:rPr>
        <w:t>in</w:t>
      </w:r>
      <w:r w:rsidRPr="008314DF">
        <w:rPr>
          <w:rFonts w:cstheme="minorHAnsi"/>
          <w:spacing w:val="-3"/>
          <w:sz w:val="24"/>
          <w:szCs w:val="24"/>
          <w:lang w:val="en-GB"/>
        </w:rPr>
        <w:t xml:space="preserve">crease in fee and commission expenses (by </w:t>
      </w:r>
      <w:r w:rsidR="001A2189">
        <w:rPr>
          <w:rFonts w:cstheme="minorHAnsi"/>
          <w:spacing w:val="-3"/>
          <w:sz w:val="24"/>
          <w:szCs w:val="24"/>
          <w:lang w:val="en-GB"/>
        </w:rPr>
        <w:t>HRK 2.7 million</w:t>
      </w:r>
      <w:r w:rsidRPr="008314DF">
        <w:rPr>
          <w:rFonts w:cstheme="minorHAnsi"/>
          <w:spacing w:val="-3"/>
          <w:sz w:val="24"/>
          <w:szCs w:val="24"/>
          <w:lang w:val="en-GB"/>
        </w:rPr>
        <w:t xml:space="preserve">) compared to the </w:t>
      </w:r>
      <w:r w:rsidR="001A2189">
        <w:rPr>
          <w:rFonts w:cstheme="minorHAnsi"/>
          <w:spacing w:val="-3"/>
          <w:sz w:val="24"/>
          <w:szCs w:val="24"/>
          <w:lang w:val="en-GB"/>
        </w:rPr>
        <w:t>in</w:t>
      </w:r>
      <w:r w:rsidRPr="008314DF">
        <w:rPr>
          <w:rFonts w:cstheme="minorHAnsi"/>
          <w:spacing w:val="-3"/>
          <w:sz w:val="24"/>
          <w:szCs w:val="24"/>
          <w:lang w:val="en-GB"/>
        </w:rPr>
        <w:t xml:space="preserve">crease in fee and commission income (by </w:t>
      </w:r>
      <w:r w:rsidR="001A2189">
        <w:rPr>
          <w:rFonts w:cstheme="minorHAnsi"/>
          <w:spacing w:val="-3"/>
          <w:sz w:val="24"/>
          <w:szCs w:val="24"/>
          <w:lang w:val="en-GB"/>
        </w:rPr>
        <w:t>HRK 1</w:t>
      </w:r>
      <w:r w:rsidRPr="008314DF">
        <w:rPr>
          <w:rFonts w:cstheme="minorHAnsi"/>
          <w:spacing w:val="-3"/>
          <w:sz w:val="24"/>
          <w:szCs w:val="24"/>
          <w:lang w:val="en-GB"/>
        </w:rPr>
        <w:t>.</w:t>
      </w:r>
      <w:r w:rsidR="001A2189">
        <w:rPr>
          <w:rFonts w:cstheme="minorHAnsi"/>
          <w:spacing w:val="-3"/>
          <w:sz w:val="24"/>
          <w:szCs w:val="24"/>
          <w:lang w:val="en-GB"/>
        </w:rPr>
        <w:t>8</w:t>
      </w:r>
      <w:r w:rsidRPr="008314DF">
        <w:rPr>
          <w:rFonts w:cstheme="minorHAnsi"/>
          <w:spacing w:val="-3"/>
          <w:sz w:val="24"/>
          <w:szCs w:val="24"/>
          <w:lang w:val="en-GB"/>
        </w:rPr>
        <w:t xml:space="preserve"> </w:t>
      </w:r>
      <w:r w:rsidR="001A2189">
        <w:rPr>
          <w:rFonts w:cstheme="minorHAnsi"/>
          <w:spacing w:val="-3"/>
          <w:sz w:val="24"/>
          <w:szCs w:val="24"/>
          <w:lang w:val="en-GB"/>
        </w:rPr>
        <w:t>million</w:t>
      </w:r>
      <w:r w:rsidRPr="008314DF">
        <w:rPr>
          <w:rFonts w:cstheme="minorHAnsi"/>
          <w:spacing w:val="-3"/>
          <w:sz w:val="24"/>
          <w:szCs w:val="24"/>
          <w:lang w:val="en-GB"/>
        </w:rPr>
        <w:t xml:space="preserve">). </w:t>
      </w:r>
    </w:p>
    <w:p w14:paraId="18D3CE69" w14:textId="77777777" w:rsidR="00BF17D9" w:rsidRPr="00041197"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614C41DA" w14:textId="6739E706" w:rsidR="00BC502C" w:rsidRPr="00704716" w:rsidRDefault="005D3904" w:rsidP="00BC502C">
      <w:pPr>
        <w:tabs>
          <w:tab w:val="left" w:pos="-720"/>
        </w:tabs>
        <w:suppressAutoHyphens/>
        <w:spacing w:after="0" w:line="240" w:lineRule="auto"/>
        <w:jc w:val="both"/>
        <w:rPr>
          <w:rFonts w:cstheme="minorHAnsi"/>
          <w:spacing w:val="-3"/>
          <w:sz w:val="24"/>
          <w:szCs w:val="24"/>
        </w:rPr>
      </w:pPr>
      <w:r w:rsidRPr="005D3904">
        <w:rPr>
          <w:color w:val="222222"/>
          <w:sz w:val="24"/>
          <w:szCs w:val="24"/>
          <w:lang w:val="en"/>
        </w:rPr>
        <w:t xml:space="preserve">In the reporting period, net </w:t>
      </w:r>
      <w:r>
        <w:rPr>
          <w:color w:val="222222"/>
          <w:sz w:val="24"/>
          <w:szCs w:val="24"/>
          <w:lang w:val="en"/>
        </w:rPr>
        <w:t>losses</w:t>
      </w:r>
      <w:r w:rsidRPr="005D3904">
        <w:rPr>
          <w:color w:val="222222"/>
          <w:sz w:val="24"/>
          <w:szCs w:val="24"/>
          <w:lang w:val="en"/>
        </w:rPr>
        <w:t xml:space="preserve"> from financial activities amounted to HRK </w:t>
      </w:r>
      <w:r w:rsidR="00BC502C">
        <w:rPr>
          <w:color w:val="222222"/>
          <w:sz w:val="24"/>
          <w:szCs w:val="24"/>
          <w:lang w:val="en"/>
        </w:rPr>
        <w:t>5</w:t>
      </w:r>
      <w:r w:rsidRPr="005D3904">
        <w:rPr>
          <w:color w:val="222222"/>
          <w:sz w:val="24"/>
          <w:szCs w:val="24"/>
          <w:lang w:val="en"/>
        </w:rPr>
        <w:t>.</w:t>
      </w:r>
      <w:r w:rsidR="00BC502C">
        <w:rPr>
          <w:color w:val="222222"/>
          <w:sz w:val="24"/>
          <w:szCs w:val="24"/>
          <w:lang w:val="en"/>
        </w:rPr>
        <w:t>4</w:t>
      </w:r>
      <w:r w:rsidRPr="005D3904">
        <w:rPr>
          <w:color w:val="222222"/>
          <w:sz w:val="24"/>
          <w:szCs w:val="24"/>
          <w:lang w:val="en"/>
        </w:rPr>
        <w:t xml:space="preserve"> million, </w:t>
      </w:r>
      <w:r w:rsidR="00BC502C" w:rsidRPr="0005777B">
        <w:rPr>
          <w:rFonts w:cstheme="minorHAnsi"/>
          <w:spacing w:val="-3"/>
          <w:sz w:val="24"/>
          <w:szCs w:val="24"/>
          <w:lang w:val="en-GB"/>
        </w:rPr>
        <w:t xml:space="preserve">whereas, in the same reporting period previous year, net </w:t>
      </w:r>
      <w:r w:rsidR="00BC502C">
        <w:rPr>
          <w:rFonts w:cstheme="minorHAnsi"/>
          <w:spacing w:val="-3"/>
          <w:sz w:val="24"/>
          <w:szCs w:val="24"/>
          <w:lang w:val="en-GB"/>
        </w:rPr>
        <w:t>losses</w:t>
      </w:r>
      <w:r w:rsidR="00BC502C" w:rsidRPr="0005777B">
        <w:rPr>
          <w:rFonts w:cstheme="minorHAnsi"/>
          <w:spacing w:val="-3"/>
          <w:sz w:val="24"/>
          <w:szCs w:val="24"/>
          <w:lang w:val="en-GB"/>
        </w:rPr>
        <w:t xml:space="preserve"> amounted to HRK </w:t>
      </w:r>
      <w:r w:rsidR="00BC502C">
        <w:rPr>
          <w:rFonts w:cstheme="minorHAnsi"/>
          <w:spacing w:val="-3"/>
          <w:sz w:val="24"/>
          <w:szCs w:val="24"/>
          <w:lang w:val="en-GB"/>
        </w:rPr>
        <w:t>19.2</w:t>
      </w:r>
      <w:r w:rsidR="00BC502C" w:rsidRPr="00704716">
        <w:rPr>
          <w:rFonts w:cstheme="minorHAnsi"/>
          <w:spacing w:val="-3"/>
          <w:sz w:val="24"/>
          <w:szCs w:val="24"/>
        </w:rPr>
        <w:t xml:space="preserve"> </w:t>
      </w:r>
      <w:proofErr w:type="spellStart"/>
      <w:r w:rsidR="00BC502C" w:rsidRPr="00704716">
        <w:rPr>
          <w:rFonts w:cstheme="minorHAnsi"/>
          <w:spacing w:val="-3"/>
          <w:sz w:val="24"/>
          <w:szCs w:val="24"/>
        </w:rPr>
        <w:t>mil</w:t>
      </w:r>
      <w:r w:rsidR="00BC502C">
        <w:rPr>
          <w:rFonts w:cstheme="minorHAnsi"/>
          <w:spacing w:val="-3"/>
          <w:sz w:val="24"/>
          <w:szCs w:val="24"/>
        </w:rPr>
        <w:t>lion</w:t>
      </w:r>
      <w:proofErr w:type="spellEnd"/>
      <w:r w:rsidR="00BC502C" w:rsidRPr="00704716">
        <w:rPr>
          <w:rFonts w:cstheme="minorHAnsi"/>
          <w:spacing w:val="-3"/>
          <w:sz w:val="24"/>
          <w:szCs w:val="24"/>
        </w:rPr>
        <w:t xml:space="preserve">. </w:t>
      </w:r>
    </w:p>
    <w:p w14:paraId="2CCEBFC7" w14:textId="45873AB0" w:rsidR="00CD2131" w:rsidRPr="005D3904" w:rsidRDefault="00CD2131" w:rsidP="00BF17D9">
      <w:pPr>
        <w:tabs>
          <w:tab w:val="left" w:pos="-720"/>
        </w:tabs>
        <w:suppressAutoHyphens/>
        <w:spacing w:after="0" w:line="240" w:lineRule="auto"/>
        <w:jc w:val="both"/>
        <w:rPr>
          <w:rFonts w:cstheme="minorHAnsi"/>
          <w:spacing w:val="-3"/>
          <w:sz w:val="24"/>
          <w:szCs w:val="24"/>
          <w:lang w:val="en-GB"/>
        </w:rPr>
        <w:sectPr w:rsidR="00CD2131" w:rsidRPr="005D3904">
          <w:footerReference w:type="default" r:id="rId30"/>
          <w:pgSz w:w="11906" w:h="16838"/>
          <w:pgMar w:top="1417" w:right="1417" w:bottom="1417" w:left="1417" w:header="708" w:footer="708" w:gutter="0"/>
          <w:cols w:space="708"/>
          <w:docGrid w:linePitch="360"/>
        </w:sectPr>
      </w:pPr>
    </w:p>
    <w:p w14:paraId="129FFD14"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44C0D8EB"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354E9666" w14:textId="681EB2C5" w:rsidR="00BF17D9" w:rsidRPr="00041197" w:rsidRDefault="00117841" w:rsidP="00BF17D9">
      <w:pPr>
        <w:tabs>
          <w:tab w:val="left" w:pos="-720"/>
          <w:tab w:val="left" w:pos="4820"/>
        </w:tabs>
        <w:suppressAutoHyphens/>
        <w:spacing w:after="0" w:line="240" w:lineRule="auto"/>
        <w:ind w:left="-426" w:right="-567"/>
        <w:jc w:val="both"/>
        <w:rPr>
          <w:rFonts w:cstheme="minorHAnsi"/>
          <w:spacing w:val="-3"/>
          <w:sz w:val="24"/>
          <w:szCs w:val="24"/>
          <w:lang w:val="en-GB"/>
        </w:rPr>
      </w:pPr>
      <w:r>
        <w:rPr>
          <w:rFonts w:cstheme="minorHAnsi"/>
          <w:noProof/>
          <w:spacing w:val="-3"/>
          <w:sz w:val="24"/>
          <w:szCs w:val="24"/>
          <w:lang w:val="en-GB" w:eastAsia="hr-HR"/>
        </w:rPr>
        <w:drawing>
          <wp:inline distT="0" distB="0" distL="0" distR="0" wp14:anchorId="1A1B6B00" wp14:editId="60BA683A">
            <wp:extent cx="3060000" cy="183470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0000" cy="1834705"/>
                    </a:xfrm>
                    <a:prstGeom prst="rect">
                      <a:avLst/>
                    </a:prstGeom>
                    <a:noFill/>
                  </pic:spPr>
                </pic:pic>
              </a:graphicData>
            </a:graphic>
          </wp:inline>
        </w:drawing>
      </w:r>
      <w:r w:rsidR="00E43402" w:rsidRPr="00041197">
        <w:rPr>
          <w:rFonts w:cstheme="minorHAnsi"/>
          <w:spacing w:val="-3"/>
          <w:sz w:val="24"/>
          <w:szCs w:val="24"/>
          <w:lang w:val="en-GB" w:eastAsia="hr-HR"/>
        </w:rPr>
        <w:t xml:space="preserve"> </w:t>
      </w:r>
      <w:r>
        <w:rPr>
          <w:rFonts w:cstheme="minorHAnsi"/>
          <w:spacing w:val="-3"/>
          <w:sz w:val="24"/>
          <w:szCs w:val="24"/>
          <w:lang w:val="en-GB" w:eastAsia="hr-HR"/>
        </w:rPr>
        <w:t xml:space="preserve"> </w:t>
      </w:r>
      <w:r w:rsidR="00E43402">
        <w:rPr>
          <w:rFonts w:cstheme="minorHAnsi"/>
          <w:spacing w:val="-3"/>
          <w:sz w:val="24"/>
          <w:szCs w:val="24"/>
          <w:lang w:val="en-GB" w:eastAsia="hr-HR"/>
        </w:rPr>
        <w:t xml:space="preserve"> </w:t>
      </w:r>
      <w:r>
        <w:rPr>
          <w:rFonts w:cstheme="minorHAnsi"/>
          <w:spacing w:val="-3"/>
          <w:sz w:val="24"/>
          <w:szCs w:val="24"/>
          <w:lang w:val="en-GB" w:eastAsia="hr-HR"/>
        </w:rPr>
        <w:t xml:space="preserve">  </w:t>
      </w:r>
      <w:r>
        <w:rPr>
          <w:rFonts w:cstheme="minorHAnsi"/>
          <w:noProof/>
          <w:spacing w:val="-3"/>
          <w:sz w:val="24"/>
          <w:szCs w:val="24"/>
          <w:lang w:val="en-GB" w:eastAsia="hr-HR"/>
        </w:rPr>
        <w:drawing>
          <wp:inline distT="0" distB="0" distL="0" distR="0" wp14:anchorId="03DA7CBA" wp14:editId="60C7B2AE">
            <wp:extent cx="3060000" cy="1823768"/>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0000" cy="1823768"/>
                    </a:xfrm>
                    <a:prstGeom prst="rect">
                      <a:avLst/>
                    </a:prstGeom>
                    <a:noFill/>
                  </pic:spPr>
                </pic:pic>
              </a:graphicData>
            </a:graphic>
          </wp:inline>
        </w:drawing>
      </w:r>
    </w:p>
    <w:p w14:paraId="22EC9788"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697DF307"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C813AC6" w14:textId="08F2F4A9"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11784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117841">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117841">
        <w:rPr>
          <w:rFonts w:cstheme="minorHAnsi"/>
          <w:color w:val="7F7F7F" w:themeColor="text1" w:themeTint="80"/>
          <w:spacing w:val="-3"/>
          <w:sz w:val="20"/>
          <w:szCs w:val="24"/>
          <w:lang w:val="en-GB"/>
        </w:rPr>
        <w:t>de</w:t>
      </w:r>
      <w:r w:rsidR="00677B6F">
        <w:rPr>
          <w:rFonts w:cstheme="minorHAnsi"/>
          <w:color w:val="7F7F7F" w:themeColor="text1" w:themeTint="80"/>
          <w:spacing w:val="-3"/>
          <w:sz w:val="20"/>
          <w:szCs w:val="24"/>
          <w:lang w:val="en-GB"/>
        </w:rPr>
        <w:t xml:space="preserve">preciation </w:t>
      </w:r>
      <w:r w:rsidRPr="00041197">
        <w:rPr>
          <w:rFonts w:cstheme="minorHAnsi"/>
          <w:color w:val="7F7F7F" w:themeColor="text1" w:themeTint="80"/>
          <w:spacing w:val="-3"/>
          <w:sz w:val="20"/>
          <w:szCs w:val="24"/>
          <w:lang w:val="en-GB"/>
        </w:rPr>
        <w:t>3</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11784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117841">
        <w:rPr>
          <w:rFonts w:cstheme="minorHAnsi"/>
          <w:color w:val="7F7F7F" w:themeColor="text1" w:themeTint="80"/>
          <w:spacing w:val="-3"/>
          <w:sz w:val="20"/>
          <w:szCs w:val="24"/>
          <w:lang w:val="en-GB"/>
        </w:rPr>
        <w:t>20</w:t>
      </w:r>
    </w:p>
    <w:p w14:paraId="64B89585" w14:textId="7921F554"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117841">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117841">
        <w:rPr>
          <w:rFonts w:cstheme="minorHAnsi"/>
          <w:color w:val="7F7F7F" w:themeColor="text1" w:themeTint="80"/>
          <w:spacing w:val="-3"/>
          <w:sz w:val="20"/>
          <w:szCs w:val="24"/>
          <w:lang w:val="en-GB"/>
        </w:rPr>
        <w:t>ap</w:t>
      </w:r>
      <w:r>
        <w:rPr>
          <w:rFonts w:cstheme="minorHAnsi"/>
          <w:color w:val="7F7F7F" w:themeColor="text1" w:themeTint="80"/>
          <w:spacing w:val="-3"/>
          <w:sz w:val="20"/>
          <w:szCs w:val="24"/>
          <w:lang w:val="en-GB"/>
        </w:rPr>
        <w:t>preciation</w:t>
      </w:r>
      <w:r w:rsidRPr="00041197">
        <w:rPr>
          <w:rFonts w:cstheme="minorHAnsi"/>
          <w:color w:val="7F7F7F" w:themeColor="text1" w:themeTint="80"/>
          <w:spacing w:val="-3"/>
          <w:sz w:val="20"/>
          <w:szCs w:val="24"/>
          <w:lang w:val="en-GB"/>
        </w:rPr>
        <w:t xml:space="preserve"> 3</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11784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.3.20</w:t>
      </w:r>
      <w:r w:rsidR="00117841">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w:t>
      </w:r>
      <w:r w:rsidR="00117841">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677B6F">
        <w:rPr>
          <w:rFonts w:cstheme="minorHAnsi"/>
          <w:color w:val="7F7F7F" w:themeColor="text1" w:themeTint="80"/>
          <w:spacing w:val="-3"/>
          <w:sz w:val="20"/>
          <w:szCs w:val="24"/>
          <w:lang w:val="en-GB"/>
        </w:rPr>
        <w:t>a</w:t>
      </w:r>
      <w:r w:rsidR="00117841">
        <w:rPr>
          <w:rFonts w:cstheme="minorHAnsi"/>
          <w:color w:val="7F7F7F" w:themeColor="text1" w:themeTint="80"/>
          <w:spacing w:val="-3"/>
          <w:sz w:val="20"/>
          <w:szCs w:val="24"/>
          <w:lang w:val="en-GB"/>
        </w:rPr>
        <w:t>p</w:t>
      </w:r>
      <w:r w:rsidR="00677B6F">
        <w:rPr>
          <w:rFonts w:cstheme="minorHAnsi"/>
          <w:color w:val="7F7F7F" w:themeColor="text1" w:themeTint="80"/>
          <w:spacing w:val="-3"/>
          <w:sz w:val="20"/>
          <w:szCs w:val="24"/>
          <w:lang w:val="en-GB"/>
        </w:rPr>
        <w:t>preciation</w:t>
      </w:r>
      <w:r w:rsidR="00677B6F"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3</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11784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sidR="0011784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11784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sidR="00117841">
        <w:rPr>
          <w:rFonts w:cstheme="minorHAnsi"/>
          <w:color w:val="7F7F7F" w:themeColor="text1" w:themeTint="80"/>
          <w:spacing w:val="-3"/>
          <w:sz w:val="20"/>
          <w:szCs w:val="24"/>
          <w:lang w:val="en-GB"/>
        </w:rPr>
        <w:t>20</w:t>
      </w:r>
    </w:p>
    <w:p w14:paraId="22D6A388" w14:textId="77777777" w:rsidR="00BF17D9" w:rsidRPr="00041197" w:rsidRDefault="00BF17D9" w:rsidP="00BF17D9">
      <w:pPr>
        <w:tabs>
          <w:tab w:val="left" w:pos="-720"/>
        </w:tabs>
        <w:suppressAutoHyphens/>
        <w:spacing w:after="0" w:line="240" w:lineRule="auto"/>
        <w:jc w:val="both"/>
        <w:rPr>
          <w:rFonts w:cstheme="minorHAnsi"/>
          <w:spacing w:val="-3"/>
          <w:sz w:val="20"/>
          <w:szCs w:val="24"/>
          <w:lang w:val="en-GB"/>
        </w:rPr>
      </w:pPr>
    </w:p>
    <w:p w14:paraId="1F4C69B5"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footerReference w:type="default" r:id="rId33"/>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7E1F6560" w14:textId="16D86BD8" w:rsidR="00935DC6" w:rsidRPr="00B86B0B" w:rsidRDefault="00013CB8" w:rsidP="00935DC6">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935DC6">
        <w:rPr>
          <w:rFonts w:cstheme="minorHAnsi"/>
          <w:spacing w:val="-3"/>
          <w:sz w:val="24"/>
          <w:szCs w:val="24"/>
          <w:lang w:val="en-GB"/>
        </w:rPr>
        <w:t>45</w:t>
      </w:r>
      <w:r w:rsidRPr="004C7CD7">
        <w:rPr>
          <w:rFonts w:cstheme="minorHAnsi"/>
          <w:spacing w:val="-3"/>
          <w:sz w:val="24"/>
          <w:szCs w:val="24"/>
          <w:lang w:val="en-GB"/>
        </w:rPr>
        <w:t>.</w:t>
      </w:r>
      <w:r w:rsidR="00935DC6">
        <w:rPr>
          <w:rFonts w:cstheme="minorHAnsi"/>
          <w:spacing w:val="-3"/>
          <w:sz w:val="24"/>
          <w:szCs w:val="24"/>
          <w:lang w:val="en-GB"/>
        </w:rPr>
        <w:t>0</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 xml:space="preserve">lion, </w:t>
      </w:r>
      <w:proofErr w:type="spellStart"/>
      <w:proofErr w:type="gramStart"/>
      <w:r w:rsidRPr="004C7CD7">
        <w:rPr>
          <w:rFonts w:cstheme="minorHAnsi"/>
          <w:spacing w:val="-3"/>
          <w:sz w:val="24"/>
          <w:szCs w:val="24"/>
          <w:lang w:val="en-GB"/>
        </w:rPr>
        <w:t>a</w:t>
      </w:r>
      <w:proofErr w:type="spellEnd"/>
      <w:proofErr w:type="gramEnd"/>
      <w:r w:rsidRPr="004C7CD7">
        <w:rPr>
          <w:rFonts w:cstheme="minorHAnsi"/>
          <w:spacing w:val="-3"/>
          <w:sz w:val="24"/>
          <w:szCs w:val="24"/>
          <w:lang w:val="en-GB"/>
        </w:rPr>
        <w:t xml:space="preserve"> </w:t>
      </w:r>
      <w:r w:rsidR="00935DC6">
        <w:rPr>
          <w:rFonts w:cstheme="minorHAnsi"/>
          <w:spacing w:val="-3"/>
          <w:sz w:val="24"/>
          <w:szCs w:val="24"/>
          <w:lang w:val="en-GB"/>
        </w:rPr>
        <w:t>in</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935DC6">
        <w:rPr>
          <w:rFonts w:cstheme="minorHAnsi"/>
          <w:spacing w:val="-3"/>
          <w:sz w:val="24"/>
          <w:szCs w:val="24"/>
          <w:lang w:val="en-GB"/>
        </w:rPr>
        <w:t>24.7</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mainly due to </w:t>
      </w:r>
      <w:proofErr w:type="spellStart"/>
      <w:r w:rsidR="004C7CD7" w:rsidRPr="004C7CD7">
        <w:rPr>
          <w:color w:val="222222"/>
          <w:sz w:val="24"/>
          <w:szCs w:val="24"/>
          <w:lang w:val="en"/>
        </w:rPr>
        <w:t>a</w:t>
      </w:r>
      <w:proofErr w:type="spellEnd"/>
      <w:r w:rsidR="004C7CD7" w:rsidRPr="004C7CD7">
        <w:rPr>
          <w:color w:val="222222"/>
          <w:sz w:val="24"/>
          <w:szCs w:val="24"/>
          <w:lang w:val="en"/>
        </w:rPr>
        <w:t xml:space="preserve"> </w:t>
      </w:r>
      <w:r w:rsidR="00935DC6">
        <w:rPr>
          <w:color w:val="222222"/>
          <w:sz w:val="24"/>
          <w:szCs w:val="24"/>
          <w:lang w:val="en"/>
        </w:rPr>
        <w:t>in</w:t>
      </w:r>
      <w:r w:rsidR="004C7CD7" w:rsidRPr="004C7CD7">
        <w:rPr>
          <w:color w:val="222222"/>
          <w:sz w:val="24"/>
          <w:szCs w:val="24"/>
          <w:lang w:val="en"/>
        </w:rPr>
        <w:t xml:space="preserve">crease </w:t>
      </w:r>
      <w:r w:rsidR="00935DC6" w:rsidRPr="00B86B0B">
        <w:rPr>
          <w:rFonts w:ascii="Calibri" w:eastAsia="Calibri" w:hAnsi="Calibri" w:cs="Calibri"/>
          <w:spacing w:val="-3"/>
          <w:sz w:val="24"/>
          <w:szCs w:val="24"/>
          <w:lang w:val="en-GB"/>
        </w:rPr>
        <w:t xml:space="preserve">in recalculation and write-offs under financial instruments by </w:t>
      </w:r>
      <w:r w:rsidR="00935DC6">
        <w:rPr>
          <w:rFonts w:ascii="Calibri" w:eastAsia="Calibri" w:hAnsi="Calibri" w:cs="Calibri"/>
          <w:spacing w:val="-3"/>
          <w:sz w:val="24"/>
          <w:szCs w:val="24"/>
          <w:lang w:val="en-GB"/>
        </w:rPr>
        <w:t>HRK 8.1 million</w:t>
      </w:r>
      <w:r w:rsidR="00935DC6" w:rsidRPr="00B86B0B">
        <w:rPr>
          <w:rFonts w:ascii="Calibri" w:eastAsia="Calibri" w:hAnsi="Calibri" w:cs="Calibri"/>
          <w:spacing w:val="-3"/>
          <w:sz w:val="24"/>
          <w:szCs w:val="24"/>
          <w:lang w:val="en-GB"/>
        </w:rPr>
        <w:t xml:space="preserve">. </w:t>
      </w:r>
    </w:p>
    <w:p w14:paraId="2CFA50FA" w14:textId="77777777" w:rsidR="00BF17D9" w:rsidRPr="00041197" w:rsidRDefault="00BF17D9" w:rsidP="00BF17D9">
      <w:pPr>
        <w:tabs>
          <w:tab w:val="left" w:pos="-720"/>
        </w:tabs>
        <w:suppressAutoHyphens/>
        <w:spacing w:after="0" w:line="240" w:lineRule="auto"/>
        <w:jc w:val="both"/>
        <w:rPr>
          <w:rFonts w:cstheme="minorHAnsi"/>
          <w:spacing w:val="-3"/>
          <w:sz w:val="20"/>
          <w:szCs w:val="20"/>
          <w:lang w:val="en-GB"/>
        </w:rPr>
      </w:pPr>
    </w:p>
    <w:p w14:paraId="1A015D4B" w14:textId="173C3FED" w:rsidR="00013CB8" w:rsidRPr="00DB5770" w:rsidRDefault="00013CB8" w:rsidP="00013CB8">
      <w:pPr>
        <w:jc w:val="both"/>
        <w:rPr>
          <w:sz w:val="24"/>
          <w:szCs w:val="24"/>
          <w:lang w:val="en-GB"/>
        </w:rPr>
      </w:pPr>
      <w:r w:rsidRPr="00DB5770">
        <w:rPr>
          <w:sz w:val="24"/>
          <w:szCs w:val="24"/>
          <w:lang w:val="en-GB"/>
        </w:rPr>
        <w:t>On 3</w:t>
      </w:r>
      <w:r w:rsidR="00935DC6">
        <w:rPr>
          <w:sz w:val="24"/>
          <w:szCs w:val="24"/>
          <w:lang w:val="en-GB"/>
        </w:rPr>
        <w:t>1 March</w:t>
      </w:r>
      <w:r w:rsidR="00CE6D72" w:rsidRPr="00DB5770">
        <w:rPr>
          <w:sz w:val="24"/>
          <w:szCs w:val="24"/>
          <w:lang w:val="en-GB"/>
        </w:rPr>
        <w:t xml:space="preserve"> </w:t>
      </w:r>
      <w:r w:rsidRPr="00DB5770">
        <w:rPr>
          <w:sz w:val="24"/>
          <w:szCs w:val="24"/>
          <w:lang w:val="en-GB"/>
        </w:rPr>
        <w:t>20</w:t>
      </w:r>
      <w:r w:rsidR="00B86B0B">
        <w:rPr>
          <w:sz w:val="24"/>
          <w:szCs w:val="24"/>
          <w:lang w:val="en-GB"/>
        </w:rPr>
        <w:t>2</w:t>
      </w:r>
      <w:r w:rsidR="00935DC6">
        <w:rPr>
          <w:sz w:val="24"/>
          <w:szCs w:val="24"/>
          <w:lang w:val="en-GB"/>
        </w:rPr>
        <w:t>1</w:t>
      </w:r>
      <w:r w:rsidRPr="00DB5770">
        <w:rPr>
          <w:sz w:val="24"/>
          <w:szCs w:val="24"/>
          <w:lang w:val="en-GB"/>
        </w:rPr>
        <w:t xml:space="preserve">, </w:t>
      </w:r>
      <w:r>
        <w:rPr>
          <w:sz w:val="24"/>
          <w:szCs w:val="24"/>
          <w:lang w:val="en-GB"/>
        </w:rPr>
        <w:t>HBOR</w:t>
      </w:r>
      <w:r w:rsidRPr="00DB5770">
        <w:rPr>
          <w:sz w:val="24"/>
          <w:szCs w:val="24"/>
          <w:lang w:val="en-GB"/>
        </w:rPr>
        <w:t xml:space="preserve"> had </w:t>
      </w:r>
      <w:r w:rsidR="00CE6D72">
        <w:rPr>
          <w:sz w:val="24"/>
          <w:szCs w:val="24"/>
          <w:lang w:val="en-GB"/>
        </w:rPr>
        <w:t>3</w:t>
      </w:r>
      <w:r w:rsidR="00935DC6">
        <w:rPr>
          <w:sz w:val="24"/>
          <w:szCs w:val="24"/>
          <w:lang w:val="en-GB"/>
        </w:rPr>
        <w:t>56</w:t>
      </w:r>
      <w:r w:rsidR="00CE6D72" w:rsidRPr="00DB5770">
        <w:rPr>
          <w:sz w:val="24"/>
          <w:szCs w:val="24"/>
          <w:lang w:val="en-GB"/>
        </w:rPr>
        <w:t xml:space="preserve"> </w:t>
      </w:r>
      <w:r w:rsidRPr="00DB5770">
        <w:rPr>
          <w:sz w:val="24"/>
          <w:szCs w:val="24"/>
          <w:lang w:val="en-GB"/>
        </w:rPr>
        <w:t>employees (on 3</w:t>
      </w:r>
      <w:r w:rsidR="00935DC6">
        <w:rPr>
          <w:sz w:val="24"/>
          <w:szCs w:val="24"/>
          <w:lang w:val="en-GB"/>
        </w:rPr>
        <w:t>1 March</w:t>
      </w:r>
      <w:r w:rsidRPr="00DB5770">
        <w:rPr>
          <w:sz w:val="24"/>
          <w:szCs w:val="24"/>
          <w:lang w:val="en-GB"/>
        </w:rPr>
        <w:t xml:space="preserve"> 20</w:t>
      </w:r>
      <w:r w:rsidR="00935DC6">
        <w:rPr>
          <w:sz w:val="24"/>
          <w:szCs w:val="24"/>
          <w:lang w:val="en-GB"/>
        </w:rPr>
        <w:t>20</w:t>
      </w:r>
      <w:r w:rsidRPr="00DB5770">
        <w:rPr>
          <w:sz w:val="24"/>
          <w:szCs w:val="24"/>
          <w:lang w:val="en-GB"/>
        </w:rPr>
        <w:t xml:space="preserve">: </w:t>
      </w:r>
      <w:r w:rsidR="00CE6D72" w:rsidRPr="00DB5770">
        <w:rPr>
          <w:sz w:val="24"/>
          <w:szCs w:val="24"/>
          <w:lang w:val="en-GB"/>
        </w:rPr>
        <w:t>3</w:t>
      </w:r>
      <w:r w:rsidR="00935DC6">
        <w:rPr>
          <w:sz w:val="24"/>
          <w:szCs w:val="24"/>
          <w:lang w:val="en-GB"/>
        </w:rPr>
        <w:t>74</w:t>
      </w:r>
      <w:r w:rsidR="00CE6D72" w:rsidRPr="00DB5770">
        <w:rPr>
          <w:sz w:val="24"/>
          <w:szCs w:val="24"/>
          <w:lang w:val="en-GB"/>
        </w:rPr>
        <w:t xml:space="preserve"> </w:t>
      </w:r>
      <w:r w:rsidRPr="00DB5770">
        <w:rPr>
          <w:sz w:val="24"/>
          <w:szCs w:val="24"/>
          <w:lang w:val="en-GB"/>
        </w:rPr>
        <w:t>employees</w:t>
      </w:r>
      <w:r w:rsidR="001C7CA1">
        <w:rPr>
          <w:sz w:val="24"/>
          <w:szCs w:val="24"/>
          <w:lang w:val="en-GB"/>
        </w:rPr>
        <w:t>)</w:t>
      </w:r>
      <w:r w:rsidRPr="00DB5770">
        <w:rPr>
          <w:sz w:val="24"/>
          <w:szCs w:val="24"/>
          <w:lang w:val="en-GB"/>
        </w:rPr>
        <w:t>.</w:t>
      </w:r>
    </w:p>
    <w:p w14:paraId="4164B663" w14:textId="77777777" w:rsidR="00013CB8" w:rsidRDefault="00013CB8" w:rsidP="00013CB8">
      <w:pPr>
        <w:spacing w:after="0" w:line="240" w:lineRule="auto"/>
        <w:jc w:val="both"/>
        <w:rPr>
          <w:rFonts w:cstheme="minorHAnsi"/>
          <w:sz w:val="24"/>
          <w:szCs w:val="24"/>
          <w:lang w:val="en-GB"/>
        </w:rPr>
      </w:pPr>
    </w:p>
    <w:p w14:paraId="0DD18BF6" w14:textId="77777777" w:rsidR="00615087" w:rsidRPr="00041197" w:rsidRDefault="00615087" w:rsidP="00BF17D9">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471ABD">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F17D9">
      <w:pPr>
        <w:spacing w:after="0" w:line="240" w:lineRule="auto"/>
        <w:jc w:val="both"/>
        <w:rPr>
          <w:rFonts w:eastAsia="Times New Roman" w:cs="Calibri"/>
          <w:bCs/>
          <w:iCs/>
          <w:sz w:val="24"/>
          <w:szCs w:val="24"/>
          <w:lang w:val="en-GB" w:eastAsia="hr-HR"/>
        </w:rPr>
      </w:pPr>
    </w:p>
    <w:p w14:paraId="360A4DBB" w14:textId="1E003C77" w:rsidR="00630B8F" w:rsidRPr="005B0A31" w:rsidRDefault="00630B8F" w:rsidP="00630B8F">
      <w:pPr>
        <w:spacing w:after="0" w:line="240" w:lineRule="auto"/>
        <w:jc w:val="both"/>
        <w:rPr>
          <w:sz w:val="24"/>
          <w:szCs w:val="24"/>
          <w:lang w:val="en-US"/>
        </w:rPr>
      </w:pPr>
      <w:r w:rsidRPr="005B0A31">
        <w:rPr>
          <w:sz w:val="24"/>
          <w:szCs w:val="24"/>
          <w:lang w:val="en-US"/>
        </w:rPr>
        <w:t xml:space="preserve">In the reporting period, a net </w:t>
      </w:r>
      <w:r w:rsidR="00331D90">
        <w:rPr>
          <w:sz w:val="24"/>
          <w:szCs w:val="24"/>
          <w:lang w:val="en-US"/>
        </w:rPr>
        <w:t>gain</w:t>
      </w:r>
      <w:r w:rsidRPr="005B0A31">
        <w:rPr>
          <w:sz w:val="24"/>
          <w:szCs w:val="24"/>
          <w:lang w:val="en-US"/>
        </w:rPr>
        <w:t xml:space="preserve"> from impairment of placements in the amount of HRK </w:t>
      </w:r>
      <w:r w:rsidR="00331D90">
        <w:rPr>
          <w:sz w:val="24"/>
          <w:szCs w:val="24"/>
          <w:lang w:val="en-US"/>
        </w:rPr>
        <w:t>9.6</w:t>
      </w:r>
      <w:r w:rsidRPr="005B0A31">
        <w:rPr>
          <w:sz w:val="24"/>
          <w:szCs w:val="24"/>
          <w:lang w:val="en-US"/>
        </w:rPr>
        <w:t xml:space="preserve"> million was recorded. </w:t>
      </w:r>
    </w:p>
    <w:p w14:paraId="737AA70A" w14:textId="77777777"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12567CF3" w:rsidR="005B58C5" w:rsidRDefault="005B58C5" w:rsidP="00BF17D9">
      <w:pPr>
        <w:tabs>
          <w:tab w:val="left" w:pos="-720"/>
        </w:tabs>
        <w:suppressAutoHyphens/>
        <w:spacing w:after="0" w:line="240" w:lineRule="auto"/>
        <w:jc w:val="both"/>
        <w:rPr>
          <w:sz w:val="24"/>
          <w:szCs w:val="24"/>
          <w:lang w:val="en-GB"/>
        </w:rPr>
      </w:pPr>
    </w:p>
    <w:p w14:paraId="1B04293B" w14:textId="77777777" w:rsidR="00117841" w:rsidRPr="005B0A31" w:rsidRDefault="00117841" w:rsidP="00BF17D9">
      <w:pPr>
        <w:tabs>
          <w:tab w:val="left" w:pos="-720"/>
        </w:tabs>
        <w:suppressAutoHyphens/>
        <w:spacing w:after="0" w:line="240" w:lineRule="auto"/>
        <w:jc w:val="both"/>
        <w:rPr>
          <w:sz w:val="24"/>
          <w:szCs w:val="24"/>
          <w:lang w:val="en-GB"/>
        </w:rPr>
      </w:pPr>
    </w:p>
    <w:p w14:paraId="4669B4C4" w14:textId="27205198" w:rsidR="00223DA7" w:rsidRPr="00041197" w:rsidRDefault="00117841" w:rsidP="00BF17D9">
      <w:pPr>
        <w:tabs>
          <w:tab w:val="left" w:pos="4536"/>
        </w:tabs>
        <w:spacing w:after="0" w:line="240" w:lineRule="auto"/>
        <w:ind w:right="-285" w:hanging="284"/>
        <w:jc w:val="both"/>
        <w:rPr>
          <w:rFonts w:eastAsia="Times New Roman" w:cs="Calibri"/>
          <w:b/>
          <w:spacing w:val="-3"/>
          <w:sz w:val="24"/>
          <w:szCs w:val="24"/>
          <w:lang w:val="en-GB" w:eastAsia="hr-HR"/>
        </w:rPr>
      </w:pPr>
      <w:r>
        <w:rPr>
          <w:noProof/>
          <w:sz w:val="24"/>
          <w:szCs w:val="24"/>
          <w:lang w:val="en-GB"/>
        </w:rPr>
        <w:drawing>
          <wp:inline distT="0" distB="0" distL="0" distR="0" wp14:anchorId="025AE369" wp14:editId="3E23F049">
            <wp:extent cx="2988000" cy="2771741"/>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8000" cy="2771741"/>
                    </a:xfrm>
                    <a:prstGeom prst="rect">
                      <a:avLst/>
                    </a:prstGeom>
                    <a:noFill/>
                  </pic:spPr>
                </pic:pic>
              </a:graphicData>
            </a:graphic>
          </wp:inline>
        </w:drawing>
      </w:r>
      <w:r>
        <w:rPr>
          <w:rFonts w:eastAsia="Times New Roman" w:cs="Calibri"/>
          <w:b/>
          <w:spacing w:val="-3"/>
          <w:sz w:val="24"/>
          <w:szCs w:val="24"/>
          <w:lang w:val="en-GB" w:eastAsia="hr-HR"/>
        </w:rPr>
        <w:t xml:space="preserve">     </w:t>
      </w:r>
      <w:r>
        <w:rPr>
          <w:noProof/>
          <w:sz w:val="24"/>
          <w:szCs w:val="24"/>
          <w:lang w:val="en-GB"/>
        </w:rPr>
        <w:drawing>
          <wp:inline distT="0" distB="0" distL="0" distR="0" wp14:anchorId="628E2D69" wp14:editId="59B8670E">
            <wp:extent cx="2988000" cy="2767161"/>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8000" cy="2767161"/>
                    </a:xfrm>
                    <a:prstGeom prst="rect">
                      <a:avLst/>
                    </a:prstGeom>
                    <a:noFill/>
                  </pic:spPr>
                </pic:pic>
              </a:graphicData>
            </a:graphic>
          </wp:inline>
        </w:drawing>
      </w:r>
    </w:p>
    <w:p w14:paraId="33B500EA" w14:textId="0EBE4330" w:rsidR="00F13DAE" w:rsidRDefault="00F13DAE" w:rsidP="00F13DAE">
      <w:pPr>
        <w:tabs>
          <w:tab w:val="left" w:pos="4536"/>
        </w:tabs>
        <w:spacing w:after="0" w:line="240" w:lineRule="auto"/>
        <w:ind w:right="-285"/>
        <w:jc w:val="both"/>
        <w:rPr>
          <w:rFonts w:eastAsia="Times New Roman" w:cs="Calibri"/>
          <w:spacing w:val="-3"/>
          <w:sz w:val="18"/>
          <w:szCs w:val="18"/>
          <w:lang w:val="en-GB" w:eastAsia="hr-HR"/>
        </w:rPr>
      </w:pPr>
    </w:p>
    <w:p w14:paraId="631B0815" w14:textId="77777777" w:rsidR="00117841" w:rsidRDefault="00117841" w:rsidP="00F13DAE">
      <w:pPr>
        <w:tabs>
          <w:tab w:val="left" w:pos="4536"/>
        </w:tabs>
        <w:spacing w:after="0" w:line="240" w:lineRule="auto"/>
        <w:ind w:right="-285"/>
        <w:jc w:val="both"/>
        <w:rPr>
          <w:rFonts w:eastAsia="Times New Roman" w:cs="Calibri"/>
          <w:spacing w:val="-3"/>
          <w:sz w:val="18"/>
          <w:szCs w:val="18"/>
          <w:lang w:val="en-GB" w:eastAsia="hr-HR"/>
        </w:rPr>
      </w:pPr>
    </w:p>
    <w:p w14:paraId="60489B78" w14:textId="4E8BC540" w:rsidR="00117841" w:rsidRPr="00041197" w:rsidRDefault="00117841" w:rsidP="00F13DAE">
      <w:pPr>
        <w:tabs>
          <w:tab w:val="left" w:pos="4536"/>
        </w:tabs>
        <w:spacing w:after="0" w:line="240" w:lineRule="auto"/>
        <w:ind w:right="-285"/>
        <w:jc w:val="both"/>
        <w:rPr>
          <w:rFonts w:eastAsia="Times New Roman" w:cs="Calibri"/>
          <w:spacing w:val="-3"/>
          <w:sz w:val="18"/>
          <w:szCs w:val="18"/>
          <w:lang w:val="en-GB" w:eastAsia="hr-HR"/>
        </w:rPr>
        <w:sectPr w:rsidR="00117841" w:rsidRPr="00041197">
          <w:footerReference w:type="default" r:id="rId36"/>
          <w:pgSz w:w="11906" w:h="16838"/>
          <w:pgMar w:top="1417" w:right="1417" w:bottom="1417" w:left="1417" w:header="708" w:footer="708" w:gutter="0"/>
          <w:cols w:space="708"/>
          <w:docGrid w:linePitch="360"/>
        </w:sectPr>
      </w:pP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136" w:type="dxa"/>
        <w:tblInd w:w="-17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2834"/>
        <w:gridCol w:w="1559"/>
        <w:gridCol w:w="1559"/>
        <w:gridCol w:w="1592"/>
        <w:gridCol w:w="1592"/>
      </w:tblGrid>
      <w:tr w:rsidR="007013FB" w:rsidRPr="007013FB" w14:paraId="2AD9E7C1" w14:textId="365E100F" w:rsidTr="007013FB">
        <w:trPr>
          <w:trHeight w:val="420"/>
        </w:trPr>
        <w:tc>
          <w:tcPr>
            <w:tcW w:w="2834" w:type="dxa"/>
            <w:shd w:val="clear" w:color="auto" w:fill="auto"/>
            <w:vAlign w:val="center"/>
            <w:hideMark/>
          </w:tcPr>
          <w:p w14:paraId="5ED67F06" w14:textId="77777777" w:rsidR="007013FB" w:rsidRPr="00B97DEA" w:rsidRDefault="007013FB" w:rsidP="007013FB">
            <w:pPr>
              <w:spacing w:after="0" w:line="240" w:lineRule="auto"/>
              <w:rPr>
                <w:rFonts w:eastAsia="Times New Roman" w:cs="Calibri"/>
                <w:bCs/>
                <w:iCs/>
                <w:spacing w:val="-3"/>
                <w:lang w:val="en-GB" w:eastAsia="hr-HR"/>
              </w:rPr>
            </w:pPr>
          </w:p>
        </w:tc>
        <w:tc>
          <w:tcPr>
            <w:tcW w:w="3118" w:type="dxa"/>
            <w:gridSpan w:val="2"/>
            <w:vAlign w:val="bottom"/>
          </w:tcPr>
          <w:p w14:paraId="11595336" w14:textId="4893A7C8" w:rsidR="007013FB" w:rsidRPr="00B97DEA" w:rsidRDefault="007013FB" w:rsidP="007013FB">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31 </w:t>
            </w:r>
            <w:r w:rsidR="00117841">
              <w:rPr>
                <w:rFonts w:eastAsia="Times New Roman" w:cs="Calibri"/>
                <w:b/>
                <w:iCs/>
                <w:spacing w:val="-3"/>
                <w:lang w:val="en-GB" w:eastAsia="hr-HR"/>
              </w:rPr>
              <w:t>December</w:t>
            </w:r>
            <w:r>
              <w:rPr>
                <w:rFonts w:eastAsia="Times New Roman" w:cs="Calibri"/>
                <w:b/>
                <w:iCs/>
                <w:spacing w:val="-3"/>
                <w:lang w:val="en-GB" w:eastAsia="hr-HR"/>
              </w:rPr>
              <w:t xml:space="preserve"> </w:t>
            </w:r>
            <w:r w:rsidRPr="00B97DEA">
              <w:rPr>
                <w:rFonts w:eastAsia="Times New Roman" w:cs="Calibri"/>
                <w:b/>
                <w:iCs/>
                <w:spacing w:val="-3"/>
                <w:lang w:val="en-GB" w:eastAsia="hr-HR"/>
              </w:rPr>
              <w:t>2020</w:t>
            </w:r>
          </w:p>
        </w:tc>
        <w:tc>
          <w:tcPr>
            <w:tcW w:w="3184" w:type="dxa"/>
            <w:gridSpan w:val="2"/>
            <w:vAlign w:val="bottom"/>
          </w:tcPr>
          <w:p w14:paraId="519ADD4D" w14:textId="1E14C640" w:rsidR="007013FB" w:rsidRPr="007013FB" w:rsidRDefault="007013FB" w:rsidP="007013FB">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31 March </w:t>
            </w:r>
            <w:r w:rsidRPr="00B97DEA">
              <w:rPr>
                <w:rFonts w:eastAsia="Times New Roman" w:cs="Calibri"/>
                <w:b/>
                <w:iCs/>
                <w:spacing w:val="-3"/>
                <w:lang w:val="en-GB" w:eastAsia="hr-HR"/>
              </w:rPr>
              <w:t>202</w:t>
            </w:r>
            <w:r>
              <w:rPr>
                <w:rFonts w:eastAsia="Times New Roman" w:cs="Calibri"/>
                <w:b/>
                <w:iCs/>
                <w:spacing w:val="-3"/>
                <w:lang w:val="en-GB" w:eastAsia="hr-HR"/>
              </w:rPr>
              <w:t>1</w:t>
            </w:r>
          </w:p>
        </w:tc>
      </w:tr>
      <w:tr w:rsidR="007013FB" w:rsidRPr="007013FB" w14:paraId="35A46592" w14:textId="3D28A23F" w:rsidTr="007013FB">
        <w:trPr>
          <w:trHeight w:val="873"/>
        </w:trPr>
        <w:tc>
          <w:tcPr>
            <w:tcW w:w="2834" w:type="dxa"/>
            <w:shd w:val="clear" w:color="auto" w:fill="auto"/>
            <w:vAlign w:val="center"/>
            <w:hideMark/>
          </w:tcPr>
          <w:p w14:paraId="049CA63E" w14:textId="77777777" w:rsidR="007013FB" w:rsidRPr="00B97DEA" w:rsidRDefault="007013FB" w:rsidP="007013FB">
            <w:pPr>
              <w:spacing w:after="0" w:line="240" w:lineRule="auto"/>
              <w:rPr>
                <w:rFonts w:eastAsia="Times New Roman" w:cs="Calibri"/>
                <w:bCs/>
                <w:iCs/>
                <w:spacing w:val="-3"/>
                <w:lang w:val="en-GB" w:eastAsia="hr-HR"/>
              </w:rPr>
            </w:pPr>
          </w:p>
        </w:tc>
        <w:tc>
          <w:tcPr>
            <w:tcW w:w="1559" w:type="dxa"/>
            <w:shd w:val="clear" w:color="auto" w:fill="auto"/>
            <w:vAlign w:val="center"/>
          </w:tcPr>
          <w:p w14:paraId="341AA423" w14:textId="77777777" w:rsidR="007013FB" w:rsidRPr="00B97DEA"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59" w:type="dxa"/>
            <w:shd w:val="clear" w:color="auto" w:fill="auto"/>
            <w:vAlign w:val="center"/>
          </w:tcPr>
          <w:p w14:paraId="7D179745" w14:textId="1E065760" w:rsidR="007013FB" w:rsidRPr="00B97DEA"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0D1339FD" w14:textId="77777777" w:rsidR="007013FB" w:rsidRPr="00B97DEA"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c>
          <w:tcPr>
            <w:tcW w:w="1592" w:type="dxa"/>
            <w:shd w:val="clear" w:color="auto" w:fill="auto"/>
            <w:vAlign w:val="center"/>
          </w:tcPr>
          <w:p w14:paraId="0C2E3DC5" w14:textId="19DD5DBC" w:rsidR="007013FB" w:rsidRPr="007013FB"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92" w:type="dxa"/>
            <w:shd w:val="clear" w:color="auto" w:fill="auto"/>
            <w:vAlign w:val="center"/>
          </w:tcPr>
          <w:p w14:paraId="5C61AB9E" w14:textId="7452B458" w:rsidR="007013FB" w:rsidRPr="00B97DEA"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5AE52B78" w14:textId="2A01C0B0" w:rsidR="007013FB" w:rsidRPr="007013FB" w:rsidRDefault="007013FB" w:rsidP="007013FB">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r>
      <w:tr w:rsidR="007013FB" w:rsidRPr="007013FB" w14:paraId="2391658D" w14:textId="24C1799B" w:rsidTr="007013FB">
        <w:trPr>
          <w:trHeight w:val="411"/>
        </w:trPr>
        <w:tc>
          <w:tcPr>
            <w:tcW w:w="2834" w:type="dxa"/>
            <w:shd w:val="clear" w:color="auto" w:fill="auto"/>
            <w:vAlign w:val="bottom"/>
            <w:hideMark/>
          </w:tcPr>
          <w:p w14:paraId="7ED95087" w14:textId="77777777" w:rsidR="007013FB" w:rsidRPr="00B97DEA" w:rsidRDefault="007013FB" w:rsidP="007013FB">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gross portfolio</w:t>
            </w:r>
          </w:p>
        </w:tc>
        <w:tc>
          <w:tcPr>
            <w:tcW w:w="1559" w:type="dxa"/>
            <w:shd w:val="clear" w:color="auto" w:fill="auto"/>
            <w:vAlign w:val="bottom"/>
          </w:tcPr>
          <w:p w14:paraId="6F5BA4EE" w14:textId="74824C96" w:rsidR="007013FB" w:rsidRPr="00B97DEA" w:rsidRDefault="007F3DA5" w:rsidP="001A6402">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37,401.3</w:t>
            </w:r>
          </w:p>
        </w:tc>
        <w:tc>
          <w:tcPr>
            <w:tcW w:w="1559" w:type="dxa"/>
            <w:tcBorders>
              <w:top w:val="single" w:sz="2" w:space="0" w:color="A6A6A6"/>
              <w:left w:val="single" w:sz="2" w:space="0" w:color="A6A6A6"/>
              <w:bottom w:val="single" w:sz="2" w:space="0" w:color="A6A6A6"/>
              <w:right w:val="single" w:sz="2" w:space="0" w:color="A6A6A6"/>
            </w:tcBorders>
            <w:vAlign w:val="bottom"/>
          </w:tcPr>
          <w:p w14:paraId="29D32078" w14:textId="72CC5C1F" w:rsidR="007013FB" w:rsidRPr="00B97DEA" w:rsidRDefault="007013FB" w:rsidP="007F3DA5">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tcBorders>
              <w:top w:val="single" w:sz="2" w:space="0" w:color="A6A6A6"/>
              <w:left w:val="single" w:sz="2" w:space="0" w:color="A6A6A6"/>
              <w:bottom w:val="single" w:sz="2" w:space="0" w:color="A6A6A6"/>
              <w:right w:val="single" w:sz="2" w:space="0" w:color="A6A6A6"/>
            </w:tcBorders>
            <w:vAlign w:val="bottom"/>
          </w:tcPr>
          <w:p w14:paraId="73D335EF" w14:textId="441776F4" w:rsidR="007013FB" w:rsidRPr="007013FB" w:rsidRDefault="007F3DA5" w:rsidP="001A6402">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38,319.9</w:t>
            </w:r>
          </w:p>
        </w:tc>
        <w:tc>
          <w:tcPr>
            <w:tcW w:w="1592" w:type="dxa"/>
            <w:tcBorders>
              <w:top w:val="single" w:sz="2" w:space="0" w:color="A6A6A6"/>
              <w:left w:val="single" w:sz="2" w:space="0" w:color="A6A6A6"/>
              <w:bottom w:val="single" w:sz="2" w:space="0" w:color="A6A6A6"/>
              <w:right w:val="single" w:sz="2" w:space="0" w:color="A6A6A6"/>
            </w:tcBorders>
            <w:vAlign w:val="bottom"/>
          </w:tcPr>
          <w:p w14:paraId="2D62EF13" w14:textId="2614836D" w:rsidR="007013FB" w:rsidRPr="007013FB" w:rsidRDefault="00117841" w:rsidP="007F3DA5">
            <w:pPr>
              <w:spacing w:after="0" w:line="240" w:lineRule="auto"/>
              <w:jc w:val="center"/>
              <w:rPr>
                <w:rFonts w:eastAsia="Times New Roman" w:cs="Calibri"/>
                <w:b/>
                <w:iCs/>
                <w:spacing w:val="-3"/>
                <w:lang w:val="en-GB" w:eastAsia="hr-HR"/>
              </w:rPr>
            </w:pPr>
            <w:r w:rsidRPr="00117841">
              <w:rPr>
                <w:rFonts w:eastAsia="Times New Roman" w:cs="Calibri"/>
                <w:b/>
                <w:iCs/>
                <w:spacing w:val="-3"/>
                <w:lang w:val="en-GB" w:eastAsia="hr-HR"/>
              </w:rPr>
              <w:t>100.0</w:t>
            </w:r>
          </w:p>
        </w:tc>
      </w:tr>
      <w:tr w:rsidR="007013FB" w:rsidRPr="007013FB" w14:paraId="5DF06F36" w14:textId="477A757B" w:rsidTr="007013FB">
        <w:trPr>
          <w:trHeight w:val="246"/>
        </w:trPr>
        <w:tc>
          <w:tcPr>
            <w:tcW w:w="2834" w:type="dxa"/>
            <w:shd w:val="clear" w:color="auto" w:fill="auto"/>
            <w:vAlign w:val="bottom"/>
            <w:hideMark/>
          </w:tcPr>
          <w:p w14:paraId="1BF1906A"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Of which:</w:t>
            </w:r>
          </w:p>
        </w:tc>
        <w:tc>
          <w:tcPr>
            <w:tcW w:w="1559" w:type="dxa"/>
            <w:shd w:val="clear" w:color="auto" w:fill="auto"/>
            <w:vAlign w:val="bottom"/>
          </w:tcPr>
          <w:p w14:paraId="00827D19" w14:textId="77777777" w:rsidR="007013FB" w:rsidRPr="00B97DEA" w:rsidRDefault="007013FB" w:rsidP="001A6402">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2905C8AD" w14:textId="77777777" w:rsidR="007013FB" w:rsidRPr="00B97DEA" w:rsidRDefault="007013FB" w:rsidP="007F3DA5">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22166720" w14:textId="77777777" w:rsidR="007013FB" w:rsidRPr="007013FB" w:rsidRDefault="007013FB" w:rsidP="001A6402">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3FF9D7C2" w14:textId="77777777" w:rsidR="007013FB" w:rsidRPr="007013FB" w:rsidRDefault="007013FB" w:rsidP="007F3DA5">
            <w:pPr>
              <w:spacing w:after="0" w:line="240" w:lineRule="auto"/>
              <w:jc w:val="center"/>
              <w:rPr>
                <w:rFonts w:eastAsia="Times New Roman" w:cs="Calibri"/>
                <w:bCs/>
                <w:iCs/>
                <w:spacing w:val="-3"/>
                <w:lang w:val="en-GB" w:eastAsia="hr-HR"/>
              </w:rPr>
            </w:pPr>
          </w:p>
        </w:tc>
      </w:tr>
      <w:tr w:rsidR="007013FB" w:rsidRPr="007013FB" w14:paraId="3DDFA256" w14:textId="6ED712C7" w:rsidTr="007013FB">
        <w:trPr>
          <w:trHeight w:val="246"/>
        </w:trPr>
        <w:tc>
          <w:tcPr>
            <w:tcW w:w="2834" w:type="dxa"/>
            <w:shd w:val="clear" w:color="auto" w:fill="auto"/>
            <w:vAlign w:val="bottom"/>
            <w:hideMark/>
          </w:tcPr>
          <w:p w14:paraId="6BE75234"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financial institutions</w:t>
            </w:r>
          </w:p>
        </w:tc>
        <w:tc>
          <w:tcPr>
            <w:tcW w:w="1559" w:type="dxa"/>
            <w:shd w:val="clear" w:color="auto" w:fill="auto"/>
            <w:vAlign w:val="bottom"/>
          </w:tcPr>
          <w:p w14:paraId="5BF2AC09" w14:textId="7696F3E5" w:rsidR="007013FB" w:rsidRPr="00B97DEA"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13,728.6</w:t>
            </w:r>
          </w:p>
        </w:tc>
        <w:tc>
          <w:tcPr>
            <w:tcW w:w="1559" w:type="dxa"/>
            <w:shd w:val="clear" w:color="auto" w:fill="auto"/>
            <w:vAlign w:val="bottom"/>
          </w:tcPr>
          <w:p w14:paraId="07BECD88" w14:textId="6E02639B" w:rsidR="007013FB" w:rsidRPr="00B97DEA" w:rsidRDefault="007F3DA5" w:rsidP="007F3DA5">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36.7</w:t>
            </w:r>
          </w:p>
        </w:tc>
        <w:tc>
          <w:tcPr>
            <w:tcW w:w="1592" w:type="dxa"/>
            <w:tcBorders>
              <w:top w:val="single" w:sz="2" w:space="0" w:color="A6A6A6"/>
              <w:left w:val="single" w:sz="2" w:space="0" w:color="A6A6A6"/>
              <w:bottom w:val="single" w:sz="2" w:space="0" w:color="A6A6A6"/>
              <w:right w:val="single" w:sz="2" w:space="0" w:color="A6A6A6"/>
            </w:tcBorders>
          </w:tcPr>
          <w:p w14:paraId="33B62D47" w14:textId="108D953E" w:rsidR="007013FB" w:rsidRPr="007013FB"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13,950.1</w:t>
            </w:r>
          </w:p>
        </w:tc>
        <w:tc>
          <w:tcPr>
            <w:tcW w:w="1592" w:type="dxa"/>
            <w:tcBorders>
              <w:top w:val="single" w:sz="2" w:space="0" w:color="A6A6A6"/>
              <w:left w:val="single" w:sz="2" w:space="0" w:color="A6A6A6"/>
              <w:bottom w:val="single" w:sz="2" w:space="0" w:color="A6A6A6"/>
              <w:right w:val="single" w:sz="2" w:space="0" w:color="A6A6A6"/>
            </w:tcBorders>
          </w:tcPr>
          <w:p w14:paraId="4BF84C4F" w14:textId="46ABD15B" w:rsidR="007013FB" w:rsidRPr="007013FB"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36.4</w:t>
            </w:r>
          </w:p>
        </w:tc>
      </w:tr>
      <w:tr w:rsidR="007013FB" w:rsidRPr="007013FB" w14:paraId="697A6D7B" w14:textId="0F9461D2" w:rsidTr="007013FB">
        <w:trPr>
          <w:trHeight w:val="205"/>
        </w:trPr>
        <w:tc>
          <w:tcPr>
            <w:tcW w:w="2834" w:type="dxa"/>
            <w:shd w:val="clear" w:color="auto" w:fill="auto"/>
            <w:vAlign w:val="bottom"/>
            <w:hideMark/>
          </w:tcPr>
          <w:p w14:paraId="4763A578"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direct</w:t>
            </w:r>
          </w:p>
        </w:tc>
        <w:tc>
          <w:tcPr>
            <w:tcW w:w="1559" w:type="dxa"/>
            <w:shd w:val="clear" w:color="auto" w:fill="auto"/>
            <w:vAlign w:val="bottom"/>
          </w:tcPr>
          <w:p w14:paraId="04B2BDF2" w14:textId="5339CCB5" w:rsidR="007013FB" w:rsidRPr="00B97DEA"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23,672.7</w:t>
            </w:r>
          </w:p>
        </w:tc>
        <w:tc>
          <w:tcPr>
            <w:tcW w:w="1559" w:type="dxa"/>
            <w:shd w:val="clear" w:color="auto" w:fill="auto"/>
            <w:vAlign w:val="bottom"/>
          </w:tcPr>
          <w:p w14:paraId="582DA0B0" w14:textId="3313BDE5" w:rsidR="007013FB" w:rsidRPr="00B97DEA" w:rsidRDefault="007F3DA5" w:rsidP="007F3DA5">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63.3</w:t>
            </w:r>
          </w:p>
        </w:tc>
        <w:tc>
          <w:tcPr>
            <w:tcW w:w="1592" w:type="dxa"/>
            <w:tcBorders>
              <w:top w:val="single" w:sz="2" w:space="0" w:color="A6A6A6"/>
              <w:left w:val="single" w:sz="2" w:space="0" w:color="A6A6A6"/>
              <w:bottom w:val="single" w:sz="2" w:space="0" w:color="A6A6A6"/>
              <w:right w:val="single" w:sz="2" w:space="0" w:color="A6A6A6"/>
            </w:tcBorders>
          </w:tcPr>
          <w:p w14:paraId="190852D9" w14:textId="7DE2B084" w:rsidR="007013FB" w:rsidRPr="007013FB"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24,369.8</w:t>
            </w:r>
          </w:p>
        </w:tc>
        <w:tc>
          <w:tcPr>
            <w:tcW w:w="1592" w:type="dxa"/>
            <w:tcBorders>
              <w:top w:val="single" w:sz="2" w:space="0" w:color="A6A6A6"/>
              <w:left w:val="single" w:sz="2" w:space="0" w:color="A6A6A6"/>
              <w:bottom w:val="single" w:sz="2" w:space="0" w:color="A6A6A6"/>
              <w:right w:val="single" w:sz="2" w:space="0" w:color="A6A6A6"/>
            </w:tcBorders>
          </w:tcPr>
          <w:p w14:paraId="4A797713" w14:textId="6CE13F8F" w:rsidR="007013FB" w:rsidRPr="007013FB"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63.6</w:t>
            </w:r>
          </w:p>
        </w:tc>
      </w:tr>
      <w:tr w:rsidR="007013FB" w:rsidRPr="007013FB" w14:paraId="0C6BE54E" w14:textId="30DA002D" w:rsidTr="007013FB">
        <w:trPr>
          <w:trHeight w:val="205"/>
        </w:trPr>
        <w:tc>
          <w:tcPr>
            <w:tcW w:w="2834" w:type="dxa"/>
            <w:shd w:val="clear" w:color="auto" w:fill="auto"/>
            <w:vAlign w:val="bottom"/>
            <w:hideMark/>
          </w:tcPr>
          <w:p w14:paraId="18C6F6F4" w14:textId="77777777" w:rsidR="007013FB" w:rsidRPr="00B97DEA" w:rsidRDefault="007013FB" w:rsidP="007013FB">
            <w:pPr>
              <w:spacing w:after="0" w:line="240" w:lineRule="auto"/>
              <w:rPr>
                <w:rFonts w:eastAsia="Times New Roman" w:cs="Calibri"/>
                <w:bCs/>
                <w:iCs/>
                <w:spacing w:val="-3"/>
                <w:lang w:val="en-GB" w:eastAsia="hr-HR"/>
              </w:rPr>
            </w:pPr>
          </w:p>
        </w:tc>
        <w:tc>
          <w:tcPr>
            <w:tcW w:w="1559" w:type="dxa"/>
            <w:shd w:val="clear" w:color="auto" w:fill="auto"/>
            <w:vAlign w:val="bottom"/>
          </w:tcPr>
          <w:p w14:paraId="0AF3ED36" w14:textId="77777777" w:rsidR="007013FB" w:rsidRPr="00B97DEA" w:rsidRDefault="007013FB" w:rsidP="001A6402">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4ADFF2A1" w14:textId="77777777" w:rsidR="007013FB" w:rsidRPr="00B97DEA" w:rsidRDefault="007013FB" w:rsidP="007F3DA5">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2DDF403B" w14:textId="77777777" w:rsidR="007013FB" w:rsidRPr="007013FB" w:rsidRDefault="007013FB" w:rsidP="001A6402">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364583E2" w14:textId="77777777" w:rsidR="007013FB" w:rsidRPr="007013FB" w:rsidRDefault="007013FB" w:rsidP="007F3DA5">
            <w:pPr>
              <w:spacing w:after="0" w:line="240" w:lineRule="auto"/>
              <w:jc w:val="center"/>
              <w:rPr>
                <w:rFonts w:eastAsia="Times New Roman" w:cs="Calibri"/>
                <w:bCs/>
                <w:iCs/>
                <w:spacing w:val="-3"/>
                <w:lang w:val="en-GB" w:eastAsia="hr-HR"/>
              </w:rPr>
            </w:pPr>
          </w:p>
        </w:tc>
      </w:tr>
      <w:tr w:rsidR="007013FB" w:rsidRPr="007013FB" w14:paraId="5B925675" w14:textId="23E13E29" w:rsidTr="007013FB">
        <w:trPr>
          <w:trHeight w:val="375"/>
        </w:trPr>
        <w:tc>
          <w:tcPr>
            <w:tcW w:w="2834" w:type="dxa"/>
            <w:shd w:val="clear" w:color="auto" w:fill="auto"/>
            <w:vAlign w:val="bottom"/>
            <w:hideMark/>
          </w:tcPr>
          <w:p w14:paraId="22489A82" w14:textId="77777777" w:rsidR="007013FB" w:rsidRPr="00B97DEA" w:rsidRDefault="007013FB" w:rsidP="007013FB">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provisions</w:t>
            </w:r>
          </w:p>
        </w:tc>
        <w:tc>
          <w:tcPr>
            <w:tcW w:w="1559" w:type="dxa"/>
            <w:shd w:val="clear" w:color="auto" w:fill="auto"/>
            <w:vAlign w:val="bottom"/>
          </w:tcPr>
          <w:p w14:paraId="17F27313" w14:textId="29D2DD02" w:rsidR="007013FB" w:rsidRPr="00B97DEA" w:rsidRDefault="007F3DA5" w:rsidP="001A6402">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3,640.1</w:t>
            </w:r>
          </w:p>
        </w:tc>
        <w:tc>
          <w:tcPr>
            <w:tcW w:w="1559" w:type="dxa"/>
            <w:tcBorders>
              <w:top w:val="single" w:sz="2" w:space="0" w:color="A6A6A6"/>
              <w:left w:val="single" w:sz="2" w:space="0" w:color="A6A6A6"/>
              <w:bottom w:val="single" w:sz="2" w:space="0" w:color="A6A6A6"/>
              <w:right w:val="single" w:sz="2" w:space="0" w:color="A6A6A6"/>
            </w:tcBorders>
            <w:vAlign w:val="bottom"/>
          </w:tcPr>
          <w:p w14:paraId="4B356C8E" w14:textId="24F70660" w:rsidR="007013FB" w:rsidRPr="00B97DEA" w:rsidRDefault="007013FB" w:rsidP="007F3DA5">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tcBorders>
              <w:top w:val="single" w:sz="2" w:space="0" w:color="A6A6A6"/>
              <w:left w:val="single" w:sz="2" w:space="0" w:color="A6A6A6"/>
              <w:bottom w:val="single" w:sz="2" w:space="0" w:color="A6A6A6"/>
              <w:right w:val="single" w:sz="2" w:space="0" w:color="A6A6A6"/>
            </w:tcBorders>
            <w:vAlign w:val="bottom"/>
          </w:tcPr>
          <w:p w14:paraId="3EAB746A" w14:textId="194948B1" w:rsidR="007013FB" w:rsidRPr="007013FB" w:rsidRDefault="007F3DA5" w:rsidP="001A6402">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3,561.3</w:t>
            </w:r>
          </w:p>
        </w:tc>
        <w:tc>
          <w:tcPr>
            <w:tcW w:w="1592" w:type="dxa"/>
            <w:tcBorders>
              <w:top w:val="single" w:sz="2" w:space="0" w:color="A6A6A6"/>
              <w:left w:val="single" w:sz="2" w:space="0" w:color="A6A6A6"/>
              <w:bottom w:val="single" w:sz="2" w:space="0" w:color="A6A6A6"/>
              <w:right w:val="single" w:sz="2" w:space="0" w:color="A6A6A6"/>
            </w:tcBorders>
            <w:vAlign w:val="bottom"/>
          </w:tcPr>
          <w:p w14:paraId="131A6232" w14:textId="1CACCBD1" w:rsidR="007013FB" w:rsidRPr="007013FB" w:rsidRDefault="00117841" w:rsidP="007F3DA5">
            <w:pPr>
              <w:spacing w:after="0" w:line="240" w:lineRule="auto"/>
              <w:jc w:val="center"/>
              <w:rPr>
                <w:rFonts w:eastAsia="Times New Roman" w:cs="Calibri"/>
                <w:b/>
                <w:iCs/>
                <w:spacing w:val="-3"/>
                <w:lang w:val="en-GB" w:eastAsia="hr-HR"/>
              </w:rPr>
            </w:pPr>
            <w:r w:rsidRPr="00117841">
              <w:rPr>
                <w:rFonts w:eastAsia="Times New Roman" w:cs="Calibri"/>
                <w:b/>
                <w:iCs/>
                <w:spacing w:val="-3"/>
                <w:lang w:val="en-GB" w:eastAsia="hr-HR"/>
              </w:rPr>
              <w:t>100.0</w:t>
            </w:r>
          </w:p>
        </w:tc>
      </w:tr>
      <w:tr w:rsidR="007013FB" w:rsidRPr="007013FB" w14:paraId="381DE99A" w14:textId="7635CD96" w:rsidTr="007013FB">
        <w:trPr>
          <w:trHeight w:val="235"/>
        </w:trPr>
        <w:tc>
          <w:tcPr>
            <w:tcW w:w="2834" w:type="dxa"/>
            <w:shd w:val="clear" w:color="auto" w:fill="auto"/>
            <w:vAlign w:val="bottom"/>
            <w:hideMark/>
          </w:tcPr>
          <w:p w14:paraId="180B9C4D"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Of which:</w:t>
            </w:r>
          </w:p>
        </w:tc>
        <w:tc>
          <w:tcPr>
            <w:tcW w:w="1559" w:type="dxa"/>
            <w:shd w:val="clear" w:color="auto" w:fill="auto"/>
            <w:vAlign w:val="bottom"/>
          </w:tcPr>
          <w:p w14:paraId="7A1B325E" w14:textId="77777777" w:rsidR="007013FB" w:rsidRPr="00B97DEA" w:rsidRDefault="007013FB" w:rsidP="001A6402">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0068309F" w14:textId="77777777" w:rsidR="007013FB" w:rsidRPr="00B97DEA" w:rsidRDefault="007013FB" w:rsidP="007F3DA5">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0EC2BBDA" w14:textId="77777777" w:rsidR="007013FB" w:rsidRPr="007013FB" w:rsidRDefault="007013FB" w:rsidP="001A6402">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091CE0E4" w14:textId="77777777" w:rsidR="007013FB" w:rsidRPr="007013FB" w:rsidRDefault="007013FB" w:rsidP="007F3DA5">
            <w:pPr>
              <w:spacing w:after="0" w:line="240" w:lineRule="auto"/>
              <w:jc w:val="center"/>
              <w:rPr>
                <w:rFonts w:eastAsia="Times New Roman" w:cs="Calibri"/>
                <w:bCs/>
                <w:iCs/>
                <w:spacing w:val="-3"/>
                <w:lang w:val="en-GB" w:eastAsia="hr-HR"/>
              </w:rPr>
            </w:pPr>
          </w:p>
        </w:tc>
      </w:tr>
      <w:tr w:rsidR="007013FB" w:rsidRPr="007013FB" w14:paraId="097FF825" w14:textId="33EC45CC" w:rsidTr="007013FB">
        <w:trPr>
          <w:trHeight w:val="267"/>
        </w:trPr>
        <w:tc>
          <w:tcPr>
            <w:tcW w:w="2834" w:type="dxa"/>
            <w:shd w:val="clear" w:color="auto" w:fill="auto"/>
            <w:vAlign w:val="bottom"/>
            <w:hideMark/>
          </w:tcPr>
          <w:p w14:paraId="6E97885E"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financial institutions</w:t>
            </w:r>
          </w:p>
        </w:tc>
        <w:tc>
          <w:tcPr>
            <w:tcW w:w="1559" w:type="dxa"/>
            <w:shd w:val="clear" w:color="auto" w:fill="auto"/>
            <w:vAlign w:val="bottom"/>
          </w:tcPr>
          <w:p w14:paraId="3BDDE038" w14:textId="63AC9E86" w:rsidR="007013FB" w:rsidRPr="00B97DEA"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93.0</w:t>
            </w:r>
          </w:p>
        </w:tc>
        <w:tc>
          <w:tcPr>
            <w:tcW w:w="1559" w:type="dxa"/>
            <w:shd w:val="clear" w:color="auto" w:fill="auto"/>
            <w:vAlign w:val="bottom"/>
          </w:tcPr>
          <w:p w14:paraId="49EFA454" w14:textId="00D42BD4" w:rsidR="007013FB" w:rsidRPr="00B97DEA"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2.6</w:t>
            </w:r>
          </w:p>
        </w:tc>
        <w:tc>
          <w:tcPr>
            <w:tcW w:w="1592" w:type="dxa"/>
            <w:tcBorders>
              <w:top w:val="single" w:sz="2" w:space="0" w:color="A6A6A6"/>
              <w:left w:val="single" w:sz="2" w:space="0" w:color="A6A6A6"/>
              <w:bottom w:val="single" w:sz="2" w:space="0" w:color="A6A6A6"/>
              <w:right w:val="single" w:sz="2" w:space="0" w:color="A6A6A6"/>
            </w:tcBorders>
          </w:tcPr>
          <w:p w14:paraId="15E89867" w14:textId="7A1648EB" w:rsidR="007013FB" w:rsidRPr="007013FB"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85.0</w:t>
            </w:r>
          </w:p>
        </w:tc>
        <w:tc>
          <w:tcPr>
            <w:tcW w:w="1592" w:type="dxa"/>
            <w:tcBorders>
              <w:top w:val="single" w:sz="2" w:space="0" w:color="A6A6A6"/>
              <w:left w:val="single" w:sz="2" w:space="0" w:color="A6A6A6"/>
              <w:bottom w:val="single" w:sz="2" w:space="0" w:color="A6A6A6"/>
              <w:right w:val="single" w:sz="2" w:space="0" w:color="A6A6A6"/>
            </w:tcBorders>
          </w:tcPr>
          <w:p w14:paraId="0A3E7B14" w14:textId="60BC1863" w:rsidR="007013FB" w:rsidRPr="007013FB"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2.4</w:t>
            </w:r>
          </w:p>
        </w:tc>
      </w:tr>
      <w:tr w:rsidR="007013FB" w:rsidRPr="007013FB" w14:paraId="05EE0C09" w14:textId="1A046B2F" w:rsidTr="007013FB">
        <w:trPr>
          <w:trHeight w:val="205"/>
        </w:trPr>
        <w:tc>
          <w:tcPr>
            <w:tcW w:w="2834" w:type="dxa"/>
            <w:shd w:val="clear" w:color="auto" w:fill="auto"/>
            <w:vAlign w:val="bottom"/>
            <w:hideMark/>
          </w:tcPr>
          <w:p w14:paraId="0D5F5DD0" w14:textId="77777777" w:rsidR="007013FB" w:rsidRPr="00B97DEA" w:rsidRDefault="007013FB" w:rsidP="007013FB">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direct</w:t>
            </w:r>
          </w:p>
        </w:tc>
        <w:tc>
          <w:tcPr>
            <w:tcW w:w="1559" w:type="dxa"/>
            <w:shd w:val="clear" w:color="auto" w:fill="auto"/>
            <w:vAlign w:val="bottom"/>
          </w:tcPr>
          <w:p w14:paraId="6C0F58D8" w14:textId="6A2031DC" w:rsidR="007013FB" w:rsidRPr="00B97DEA"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3,547.2</w:t>
            </w:r>
          </w:p>
        </w:tc>
        <w:tc>
          <w:tcPr>
            <w:tcW w:w="1559" w:type="dxa"/>
            <w:shd w:val="clear" w:color="auto" w:fill="auto"/>
            <w:vAlign w:val="bottom"/>
          </w:tcPr>
          <w:p w14:paraId="23D03781" w14:textId="554E3E75" w:rsidR="007013FB" w:rsidRPr="00B97DEA"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97.4</w:t>
            </w:r>
          </w:p>
        </w:tc>
        <w:tc>
          <w:tcPr>
            <w:tcW w:w="1592" w:type="dxa"/>
            <w:tcBorders>
              <w:top w:val="single" w:sz="2" w:space="0" w:color="A6A6A6"/>
              <w:left w:val="single" w:sz="2" w:space="0" w:color="A6A6A6"/>
              <w:bottom w:val="single" w:sz="2" w:space="0" w:color="A6A6A6"/>
              <w:right w:val="single" w:sz="2" w:space="0" w:color="A6A6A6"/>
            </w:tcBorders>
          </w:tcPr>
          <w:p w14:paraId="7550949A" w14:textId="0B75E713" w:rsidR="007013FB" w:rsidRPr="007013FB" w:rsidRDefault="007F3DA5" w:rsidP="001A6402">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3,476.3</w:t>
            </w:r>
          </w:p>
        </w:tc>
        <w:tc>
          <w:tcPr>
            <w:tcW w:w="1592" w:type="dxa"/>
            <w:tcBorders>
              <w:top w:val="single" w:sz="2" w:space="0" w:color="A6A6A6"/>
              <w:left w:val="single" w:sz="2" w:space="0" w:color="A6A6A6"/>
              <w:bottom w:val="single" w:sz="2" w:space="0" w:color="A6A6A6"/>
              <w:right w:val="single" w:sz="2" w:space="0" w:color="A6A6A6"/>
            </w:tcBorders>
          </w:tcPr>
          <w:p w14:paraId="3690B767" w14:textId="58B96CF2" w:rsidR="007013FB" w:rsidRPr="007013FB" w:rsidRDefault="007F3DA5" w:rsidP="007F3DA5">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97.6</w:t>
            </w:r>
          </w:p>
        </w:tc>
      </w:tr>
      <w:tr w:rsidR="007013FB" w:rsidRPr="007013FB" w14:paraId="78621DCE" w14:textId="68D8AF46" w:rsidTr="007013FB">
        <w:trPr>
          <w:trHeight w:val="205"/>
        </w:trPr>
        <w:tc>
          <w:tcPr>
            <w:tcW w:w="2834" w:type="dxa"/>
            <w:shd w:val="clear" w:color="auto" w:fill="auto"/>
            <w:vAlign w:val="bottom"/>
            <w:hideMark/>
          </w:tcPr>
          <w:p w14:paraId="18506347" w14:textId="77777777" w:rsidR="007013FB" w:rsidRPr="00B97DEA" w:rsidRDefault="007013FB" w:rsidP="007013FB">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7A3EA087" w14:textId="77777777" w:rsidR="007013FB" w:rsidRPr="00B97DEA" w:rsidRDefault="007013FB" w:rsidP="007013FB">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4FA141B2" w14:textId="77777777" w:rsidR="007013FB" w:rsidRPr="00B97DEA" w:rsidRDefault="007013FB" w:rsidP="007013FB">
            <w:pPr>
              <w:spacing w:after="0" w:line="240" w:lineRule="auto"/>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56608A8D" w14:textId="77777777" w:rsidR="007013FB" w:rsidRPr="007013FB" w:rsidRDefault="007013FB" w:rsidP="007013FB">
            <w:pPr>
              <w:spacing w:after="0" w:line="240" w:lineRule="auto"/>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tcPr>
          <w:p w14:paraId="5BC90DDC" w14:textId="77777777" w:rsidR="007013FB" w:rsidRPr="007013FB" w:rsidRDefault="007013FB" w:rsidP="007013FB">
            <w:pPr>
              <w:spacing w:after="0" w:line="240" w:lineRule="auto"/>
              <w:rPr>
                <w:rFonts w:eastAsia="Times New Roman" w:cs="Calibri"/>
                <w:bCs/>
                <w:iCs/>
                <w:spacing w:val="-3"/>
                <w:lang w:val="en-GB" w:eastAsia="hr-HR"/>
              </w:rPr>
            </w:pPr>
          </w:p>
        </w:tc>
      </w:tr>
      <w:tr w:rsidR="007013FB" w:rsidRPr="007013FB" w14:paraId="6B5EF2D7" w14:textId="4B258D4F" w:rsidTr="007013FB">
        <w:trPr>
          <w:trHeight w:val="410"/>
        </w:trPr>
        <w:tc>
          <w:tcPr>
            <w:tcW w:w="2834" w:type="dxa"/>
            <w:shd w:val="clear" w:color="auto" w:fill="auto"/>
            <w:vAlign w:val="bottom"/>
            <w:hideMark/>
          </w:tcPr>
          <w:p w14:paraId="671E675D" w14:textId="77777777" w:rsidR="007013FB" w:rsidRPr="00B97DEA" w:rsidRDefault="007013FB" w:rsidP="007013FB">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Provisions/gross portfolio</w:t>
            </w:r>
          </w:p>
        </w:tc>
        <w:tc>
          <w:tcPr>
            <w:tcW w:w="1559" w:type="dxa"/>
            <w:tcBorders>
              <w:top w:val="single" w:sz="2" w:space="0" w:color="A6A6A6"/>
              <w:left w:val="single" w:sz="2" w:space="0" w:color="A6A6A6"/>
              <w:bottom w:val="single" w:sz="2" w:space="0" w:color="A6A6A6"/>
              <w:right w:val="single" w:sz="2" w:space="0" w:color="A6A6A6"/>
            </w:tcBorders>
            <w:vAlign w:val="bottom"/>
          </w:tcPr>
          <w:p w14:paraId="122915C1" w14:textId="2844A274" w:rsidR="007013FB" w:rsidRPr="00B97DEA" w:rsidRDefault="00117841" w:rsidP="007013FB">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9.7</w:t>
            </w:r>
            <w:r w:rsidR="007013FB" w:rsidRPr="00B97DEA">
              <w:rPr>
                <w:rFonts w:eastAsia="Times New Roman" w:cs="Calibri"/>
                <w:b/>
                <w:iCs/>
                <w:spacing w:val="-3"/>
                <w:lang w:val="en-GB" w:eastAsia="hr-HR"/>
              </w:rPr>
              <w:t xml:space="preserve"> percent</w:t>
            </w:r>
          </w:p>
        </w:tc>
        <w:tc>
          <w:tcPr>
            <w:tcW w:w="1559" w:type="dxa"/>
            <w:tcBorders>
              <w:top w:val="single" w:sz="2" w:space="0" w:color="A6A6A6"/>
              <w:left w:val="single" w:sz="2" w:space="0" w:color="A6A6A6"/>
              <w:bottom w:val="single" w:sz="2" w:space="0" w:color="A6A6A6"/>
              <w:right w:val="single" w:sz="2" w:space="0" w:color="A6A6A6"/>
            </w:tcBorders>
            <w:vAlign w:val="bottom"/>
          </w:tcPr>
          <w:p w14:paraId="4D3452F2" w14:textId="77777777" w:rsidR="007013FB" w:rsidRPr="00B97DEA" w:rsidRDefault="007013FB" w:rsidP="007013FB">
            <w:pPr>
              <w:spacing w:after="0" w:line="240" w:lineRule="auto"/>
              <w:jc w:val="center"/>
              <w:rPr>
                <w:rFonts w:eastAsia="Times New Roman" w:cs="Calibri"/>
                <w:b/>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12F836B7" w14:textId="578EC6AE" w:rsidR="007013FB" w:rsidRPr="007013FB" w:rsidRDefault="00117841" w:rsidP="007013FB">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9.3</w:t>
            </w:r>
            <w:r w:rsidRPr="00B97DEA">
              <w:rPr>
                <w:rFonts w:eastAsia="Times New Roman" w:cs="Calibri"/>
                <w:b/>
                <w:iCs/>
                <w:spacing w:val="-3"/>
                <w:lang w:val="en-GB" w:eastAsia="hr-HR"/>
              </w:rPr>
              <w:t xml:space="preserve"> percent</w:t>
            </w:r>
          </w:p>
        </w:tc>
        <w:tc>
          <w:tcPr>
            <w:tcW w:w="1592" w:type="dxa"/>
            <w:tcBorders>
              <w:top w:val="single" w:sz="2" w:space="0" w:color="A6A6A6"/>
              <w:left w:val="single" w:sz="2" w:space="0" w:color="A6A6A6"/>
              <w:bottom w:val="single" w:sz="2" w:space="0" w:color="A6A6A6"/>
              <w:right w:val="single" w:sz="2" w:space="0" w:color="A6A6A6"/>
            </w:tcBorders>
            <w:vAlign w:val="bottom"/>
          </w:tcPr>
          <w:p w14:paraId="7AAAE81D" w14:textId="77777777" w:rsidR="007013FB" w:rsidRPr="007013FB" w:rsidRDefault="007013FB" w:rsidP="007013FB">
            <w:pPr>
              <w:spacing w:after="0" w:line="240" w:lineRule="auto"/>
              <w:jc w:val="center"/>
              <w:rPr>
                <w:rFonts w:eastAsia="Times New Roman" w:cs="Calibri"/>
                <w:b/>
                <w:iCs/>
                <w:spacing w:val="-3"/>
                <w:lang w:val="en-GB" w:eastAsia="hr-HR"/>
              </w:rPr>
            </w:pP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7"/>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72D2496" w14:textId="1F10C64C" w:rsidR="00E803C5" w:rsidRPr="00E803C5" w:rsidRDefault="004037B0" w:rsidP="00E803C5">
      <w:pPr>
        <w:spacing w:after="0" w:line="240" w:lineRule="auto"/>
        <w:jc w:val="both"/>
        <w:rPr>
          <w:sz w:val="24"/>
          <w:szCs w:val="24"/>
          <w:lang w:val="en-GB"/>
        </w:rPr>
      </w:pPr>
      <w:bookmarkStart w:id="5" w:name="_Hlk71636017"/>
      <w:r w:rsidRPr="005B0A31">
        <w:rPr>
          <w:rFonts w:cstheme="minorHAnsi"/>
          <w:spacing w:val="-3"/>
          <w:sz w:val="24"/>
          <w:szCs w:val="24"/>
          <w:lang w:val="en-GB"/>
        </w:rPr>
        <w:t xml:space="preserve">Total assets of HBOR as at </w:t>
      </w:r>
      <w:r w:rsidR="00C5425F" w:rsidRPr="005B0A31">
        <w:rPr>
          <w:rFonts w:cstheme="minorHAnsi"/>
          <w:spacing w:val="-3"/>
          <w:sz w:val="24"/>
          <w:szCs w:val="24"/>
          <w:lang w:val="en-GB"/>
        </w:rPr>
        <w:t>3</w:t>
      </w:r>
      <w:r w:rsidR="003847CF">
        <w:rPr>
          <w:rFonts w:cstheme="minorHAnsi"/>
          <w:spacing w:val="-3"/>
          <w:sz w:val="24"/>
          <w:szCs w:val="24"/>
          <w:lang w:val="en-GB"/>
        </w:rPr>
        <w:t>1 March</w:t>
      </w:r>
      <w:r w:rsidR="001330BD" w:rsidRPr="005B0A31">
        <w:rPr>
          <w:rFonts w:cstheme="minorHAnsi"/>
          <w:spacing w:val="-3"/>
          <w:sz w:val="24"/>
          <w:szCs w:val="24"/>
          <w:lang w:val="en-GB"/>
        </w:rPr>
        <w:t xml:space="preserve"> </w:t>
      </w:r>
      <w:r w:rsidRPr="005B0A31">
        <w:rPr>
          <w:rFonts w:cstheme="minorHAnsi"/>
          <w:spacing w:val="-3"/>
          <w:sz w:val="24"/>
          <w:szCs w:val="24"/>
          <w:lang w:val="en-GB"/>
        </w:rPr>
        <w:t>20</w:t>
      </w:r>
      <w:r w:rsidR="004F726B" w:rsidRPr="005B0A31">
        <w:rPr>
          <w:rFonts w:cstheme="minorHAnsi"/>
          <w:spacing w:val="-3"/>
          <w:sz w:val="24"/>
          <w:szCs w:val="24"/>
          <w:lang w:val="en-GB"/>
        </w:rPr>
        <w:t>2</w:t>
      </w:r>
      <w:r w:rsidR="003847CF">
        <w:rPr>
          <w:rFonts w:cstheme="minorHAnsi"/>
          <w:spacing w:val="-3"/>
          <w:sz w:val="24"/>
          <w:szCs w:val="24"/>
          <w:lang w:val="en-GB"/>
        </w:rPr>
        <w:t>1</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1330BD" w:rsidRPr="005B0A31">
        <w:rPr>
          <w:rFonts w:cstheme="minorHAnsi"/>
          <w:spacing w:val="-3"/>
          <w:sz w:val="24"/>
          <w:szCs w:val="24"/>
          <w:lang w:val="en-GB"/>
        </w:rPr>
        <w:t>2</w:t>
      </w:r>
      <w:r w:rsidR="003847CF">
        <w:rPr>
          <w:rFonts w:cstheme="minorHAnsi"/>
          <w:spacing w:val="-3"/>
          <w:sz w:val="24"/>
          <w:szCs w:val="24"/>
          <w:lang w:val="en-GB"/>
        </w:rPr>
        <w:t>9</w:t>
      </w:r>
      <w:r w:rsidRPr="005B0A31">
        <w:rPr>
          <w:rFonts w:cstheme="minorHAnsi"/>
          <w:spacing w:val="-3"/>
          <w:sz w:val="24"/>
          <w:szCs w:val="24"/>
          <w:lang w:val="en-GB"/>
        </w:rPr>
        <w:t>,</w:t>
      </w:r>
      <w:r w:rsidR="003847CF">
        <w:rPr>
          <w:rFonts w:cstheme="minorHAnsi"/>
          <w:spacing w:val="-3"/>
          <w:sz w:val="24"/>
          <w:szCs w:val="24"/>
          <w:lang w:val="en-GB"/>
        </w:rPr>
        <w:t>425</w:t>
      </w:r>
      <w:r w:rsidRPr="005B0A31">
        <w:rPr>
          <w:rFonts w:cstheme="minorHAnsi"/>
          <w:spacing w:val="-3"/>
          <w:sz w:val="24"/>
          <w:szCs w:val="24"/>
          <w:lang w:val="en-GB"/>
        </w:rPr>
        <w:t>.</w:t>
      </w:r>
      <w:r w:rsidR="003847CF">
        <w:rPr>
          <w:rFonts w:cstheme="minorHAnsi"/>
          <w:spacing w:val="-3"/>
          <w:sz w:val="24"/>
          <w:szCs w:val="24"/>
          <w:lang w:val="en-GB"/>
        </w:rPr>
        <w:t>5</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4F726B" w:rsidRPr="005B0A31">
        <w:rPr>
          <w:rFonts w:cstheme="minorHAnsi"/>
          <w:spacing w:val="-3"/>
          <w:sz w:val="24"/>
          <w:szCs w:val="24"/>
          <w:lang w:val="en-GB"/>
        </w:rPr>
        <w:t>n</w:t>
      </w:r>
      <w:r w:rsidRPr="005B0A31">
        <w:rPr>
          <w:rFonts w:cstheme="minorHAnsi"/>
          <w:spacing w:val="-3"/>
          <w:sz w:val="24"/>
          <w:szCs w:val="24"/>
          <w:lang w:val="en-GB"/>
        </w:rPr>
        <w:t xml:space="preserve"> </w:t>
      </w:r>
      <w:r w:rsidR="004F726B" w:rsidRPr="005B0A31">
        <w:rPr>
          <w:rFonts w:cstheme="minorHAnsi"/>
          <w:spacing w:val="-3"/>
          <w:sz w:val="24"/>
          <w:szCs w:val="24"/>
          <w:lang w:val="en-GB"/>
        </w:rPr>
        <w:t>in</w:t>
      </w:r>
      <w:r w:rsidRPr="005B0A31">
        <w:rPr>
          <w:rFonts w:cstheme="minorHAnsi"/>
          <w:spacing w:val="-3"/>
          <w:sz w:val="24"/>
          <w:szCs w:val="24"/>
          <w:lang w:val="en-GB"/>
        </w:rPr>
        <w:t xml:space="preserve">crease of </w:t>
      </w:r>
      <w:r w:rsidR="003847CF">
        <w:rPr>
          <w:rFonts w:cstheme="minorHAnsi"/>
          <w:spacing w:val="-3"/>
          <w:sz w:val="24"/>
          <w:szCs w:val="24"/>
          <w:lang w:val="en-GB"/>
        </w:rPr>
        <w:t>2.6</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w:t>
      </w:r>
      <w:r w:rsidR="003847CF">
        <w:rPr>
          <w:rFonts w:cstheme="minorHAnsi"/>
          <w:spacing w:val="-3"/>
          <w:sz w:val="24"/>
          <w:szCs w:val="24"/>
          <w:lang w:val="en-GB"/>
        </w:rPr>
        <w:t>20</w:t>
      </w:r>
      <w:r w:rsidR="005B0A31" w:rsidRPr="005B0A31">
        <w:rPr>
          <w:rFonts w:cstheme="minorHAnsi"/>
          <w:spacing w:val="-3"/>
          <w:sz w:val="24"/>
          <w:szCs w:val="24"/>
          <w:lang w:val="en-GB"/>
        </w:rPr>
        <w:t xml:space="preserve"> </w:t>
      </w:r>
      <w:r w:rsidR="005B0A31" w:rsidRPr="005B0A31">
        <w:rPr>
          <w:sz w:val="24"/>
          <w:szCs w:val="24"/>
          <w:lang w:val="en-GB"/>
        </w:rPr>
        <w:t xml:space="preserve">due to </w:t>
      </w:r>
      <w:r w:rsidR="00E803C5" w:rsidRPr="00E803C5">
        <w:rPr>
          <w:sz w:val="24"/>
          <w:szCs w:val="24"/>
          <w:lang w:val="en-GB"/>
        </w:rPr>
        <w:t>short-term deposits received.</w:t>
      </w:r>
    </w:p>
    <w:bookmarkEnd w:id="5"/>
    <w:p w14:paraId="5EA9FAA6" w14:textId="77777777" w:rsidR="003847CF" w:rsidRPr="003847CF" w:rsidRDefault="003847CF" w:rsidP="003847CF">
      <w:pPr>
        <w:spacing w:after="0" w:line="240" w:lineRule="auto"/>
        <w:jc w:val="both"/>
        <w:rPr>
          <w:rFonts w:cs="Arial"/>
          <w:bCs/>
          <w:sz w:val="20"/>
          <w:szCs w:val="20"/>
          <w:lang w:val="en-GB"/>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3847CF" w:rsidRDefault="007667DB" w:rsidP="00602844">
      <w:pPr>
        <w:spacing w:after="0" w:line="240" w:lineRule="auto"/>
        <w:jc w:val="both"/>
        <w:rPr>
          <w:rFonts w:eastAsia="Times New Roman" w:cs="Calibri"/>
          <w:b/>
          <w:sz w:val="20"/>
          <w:szCs w:val="20"/>
          <w:lang w:val="en-GB" w:eastAsia="hr-HR"/>
        </w:rPr>
      </w:pPr>
    </w:p>
    <w:p w14:paraId="14EEF777" w14:textId="320FFE96" w:rsidR="00765AC6" w:rsidRPr="00041197" w:rsidRDefault="00C802B6" w:rsidP="00602844">
      <w:pPr>
        <w:spacing w:after="0" w:line="240" w:lineRule="auto"/>
        <w:jc w:val="both"/>
        <w:rPr>
          <w:rFonts w:cstheme="minorHAnsi"/>
          <w:sz w:val="24"/>
          <w:szCs w:val="24"/>
          <w:lang w:val="en-GB"/>
        </w:rPr>
      </w:pPr>
      <w:r>
        <w:rPr>
          <w:rFonts w:cstheme="minorHAnsi"/>
          <w:sz w:val="24"/>
          <w:szCs w:val="24"/>
          <w:lang w:val="en-GB"/>
        </w:rPr>
        <w:t>As at 3</w:t>
      </w:r>
      <w:r w:rsidR="003847CF">
        <w:rPr>
          <w:rFonts w:cstheme="minorHAnsi"/>
          <w:sz w:val="24"/>
          <w:szCs w:val="24"/>
          <w:lang w:val="en-GB"/>
        </w:rPr>
        <w:t>1 March</w:t>
      </w:r>
      <w:r>
        <w:rPr>
          <w:rFonts w:cstheme="minorHAnsi"/>
          <w:sz w:val="24"/>
          <w:szCs w:val="24"/>
          <w:lang w:val="en-GB"/>
        </w:rPr>
        <w:t xml:space="preserve"> 20</w:t>
      </w:r>
      <w:r w:rsidR="004F726B">
        <w:rPr>
          <w:rFonts w:cstheme="minorHAnsi"/>
          <w:sz w:val="24"/>
          <w:szCs w:val="24"/>
          <w:lang w:val="en-GB"/>
        </w:rPr>
        <w:t>2</w:t>
      </w:r>
      <w:r w:rsidR="003847CF">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3847CF">
        <w:rPr>
          <w:rFonts w:cstheme="minorHAnsi"/>
          <w:sz w:val="24"/>
          <w:szCs w:val="24"/>
          <w:lang w:val="en-GB"/>
        </w:rPr>
        <w:t>1</w:t>
      </w:r>
      <w:r w:rsidR="004F726B">
        <w:rPr>
          <w:rFonts w:cstheme="minorHAnsi"/>
          <w:sz w:val="24"/>
          <w:szCs w:val="24"/>
          <w:lang w:val="en-GB"/>
        </w:rPr>
        <w:t>,</w:t>
      </w:r>
      <w:r w:rsidR="003847CF">
        <w:rPr>
          <w:rFonts w:cstheme="minorHAnsi"/>
          <w:sz w:val="24"/>
          <w:szCs w:val="24"/>
          <w:lang w:val="en-GB"/>
        </w:rPr>
        <w:t>876</w:t>
      </w:r>
      <w:r w:rsidR="001330BD">
        <w:rPr>
          <w:rFonts w:cstheme="minorHAnsi"/>
          <w:sz w:val="24"/>
          <w:szCs w:val="24"/>
          <w:lang w:val="en-GB"/>
        </w:rPr>
        <w:t>.</w:t>
      </w:r>
      <w:r w:rsidR="003847CF">
        <w:rPr>
          <w:rFonts w:cstheme="minorHAnsi"/>
          <w:sz w:val="24"/>
          <w:szCs w:val="24"/>
          <w:lang w:val="en-GB"/>
        </w:rPr>
        <w:t>8</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3847CF">
        <w:rPr>
          <w:rFonts w:cstheme="minorHAnsi"/>
          <w:sz w:val="24"/>
          <w:szCs w:val="24"/>
          <w:lang w:val="en-GB"/>
        </w:rPr>
        <w:t>6</w:t>
      </w:r>
      <w:r>
        <w:rPr>
          <w:rFonts w:cstheme="minorHAnsi"/>
          <w:sz w:val="24"/>
          <w:szCs w:val="24"/>
          <w:lang w:val="en-GB"/>
        </w:rPr>
        <w:t>.</w:t>
      </w:r>
      <w:r w:rsidR="003847CF">
        <w:rPr>
          <w:rFonts w:cstheme="minorHAnsi"/>
          <w:sz w:val="24"/>
          <w:szCs w:val="24"/>
          <w:lang w:val="en-GB"/>
        </w:rPr>
        <w:t>4</w:t>
      </w:r>
      <w:r w:rsidR="001330BD"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4F726B">
        <w:rPr>
          <w:rFonts w:cstheme="minorHAnsi"/>
          <w:sz w:val="24"/>
          <w:szCs w:val="24"/>
          <w:lang w:val="en-GB"/>
        </w:rPr>
        <w:t>n</w:t>
      </w:r>
      <w:r>
        <w:rPr>
          <w:rFonts w:cstheme="minorHAnsi"/>
          <w:sz w:val="24"/>
          <w:szCs w:val="24"/>
          <w:lang w:val="en-GB"/>
        </w:rPr>
        <w:t xml:space="preserve"> </w:t>
      </w:r>
      <w:r w:rsidR="004F726B">
        <w:rPr>
          <w:rFonts w:cstheme="minorHAnsi"/>
          <w:sz w:val="24"/>
          <w:szCs w:val="24"/>
          <w:lang w:val="en-GB"/>
        </w:rPr>
        <w:t>in</w:t>
      </w:r>
      <w:r>
        <w:rPr>
          <w:rFonts w:cstheme="minorHAnsi"/>
          <w:sz w:val="24"/>
          <w:szCs w:val="24"/>
          <w:lang w:val="en-GB"/>
        </w:rPr>
        <w:t>crease of</w:t>
      </w:r>
      <w:r w:rsidR="00810A4B" w:rsidRPr="00041197">
        <w:rPr>
          <w:rFonts w:cstheme="minorHAnsi"/>
          <w:sz w:val="24"/>
          <w:szCs w:val="24"/>
          <w:lang w:val="en-GB"/>
        </w:rPr>
        <w:t xml:space="preserve"> </w:t>
      </w:r>
      <w:r w:rsidR="003847CF">
        <w:rPr>
          <w:rFonts w:cstheme="minorHAnsi"/>
          <w:sz w:val="24"/>
          <w:szCs w:val="24"/>
          <w:lang w:val="en-GB"/>
        </w:rPr>
        <w:t>13</w:t>
      </w:r>
      <w:r>
        <w:rPr>
          <w:rFonts w:cstheme="minorHAnsi"/>
          <w:sz w:val="24"/>
          <w:szCs w:val="24"/>
          <w:lang w:val="en-GB"/>
        </w:rPr>
        <w:t>.</w:t>
      </w:r>
      <w:r w:rsidR="003847CF">
        <w:rPr>
          <w:rFonts w:cstheme="minorHAnsi"/>
          <w:sz w:val="24"/>
          <w:szCs w:val="24"/>
          <w:lang w:val="en-GB"/>
        </w:rPr>
        <w:t>0</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041197">
        <w:rPr>
          <w:rFonts w:cstheme="minorHAnsi"/>
          <w:sz w:val="24"/>
          <w:szCs w:val="24"/>
          <w:lang w:val="en-GB"/>
        </w:rPr>
        <w:t>20</w:t>
      </w:r>
      <w:r w:rsidR="003847CF">
        <w:rPr>
          <w:rFonts w:cstheme="minorHAnsi"/>
          <w:sz w:val="24"/>
          <w:szCs w:val="24"/>
          <w:lang w:val="en-GB"/>
        </w:rPr>
        <w:t>20</w:t>
      </w:r>
      <w:r>
        <w:rPr>
          <w:rFonts w:cstheme="minorHAnsi"/>
          <w:sz w:val="24"/>
          <w:szCs w:val="24"/>
          <w:lang w:val="en-GB"/>
        </w:rPr>
        <w:t xml:space="preserve"> </w:t>
      </w:r>
      <w:proofErr w:type="gramStart"/>
      <w:r w:rsidRPr="00395073">
        <w:rPr>
          <w:rFonts w:cstheme="minorHAnsi"/>
          <w:sz w:val="24"/>
          <w:szCs w:val="24"/>
          <w:lang w:val="en-GB"/>
        </w:rPr>
        <w:t>as a result of</w:t>
      </w:r>
      <w:proofErr w:type="gramEnd"/>
      <w:r w:rsidRPr="00395073">
        <w:rPr>
          <w:rFonts w:cstheme="minorHAnsi"/>
          <w:sz w:val="24"/>
          <w:szCs w:val="24"/>
          <w:lang w:val="en-GB"/>
        </w:rPr>
        <w:t xml:space="preserve"> reallocation of liquidity reserve funds</w:t>
      </w:r>
      <w:r w:rsidR="0013644E" w:rsidRPr="00041197">
        <w:rPr>
          <w:rFonts w:cstheme="minorHAnsi"/>
          <w:sz w:val="24"/>
          <w:szCs w:val="24"/>
          <w:lang w:val="en-GB"/>
        </w:rPr>
        <w:t>.</w:t>
      </w:r>
    </w:p>
    <w:p w14:paraId="2E984A4D" w14:textId="77777777" w:rsidR="00192D81" w:rsidRPr="003847CF" w:rsidRDefault="00192D81" w:rsidP="00602844">
      <w:pPr>
        <w:spacing w:after="0" w:line="240" w:lineRule="auto"/>
        <w:jc w:val="both"/>
        <w:rPr>
          <w:rFonts w:eastAsia="Times New Roman" w:cs="Calibri"/>
          <w:sz w:val="20"/>
          <w:szCs w:val="20"/>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27119004"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As at 3</w:t>
      </w:r>
      <w:r w:rsidR="003847CF">
        <w:rPr>
          <w:rFonts w:cstheme="minorHAnsi"/>
          <w:spacing w:val="-3"/>
          <w:sz w:val="24"/>
          <w:szCs w:val="24"/>
          <w:lang w:val="en-GB"/>
        </w:rPr>
        <w:t>1 March</w:t>
      </w:r>
      <w:r>
        <w:rPr>
          <w:rFonts w:cstheme="minorHAnsi"/>
          <w:spacing w:val="-3"/>
          <w:sz w:val="24"/>
          <w:szCs w:val="24"/>
          <w:lang w:val="en-GB"/>
        </w:rPr>
        <w:t xml:space="preserve"> 20</w:t>
      </w:r>
      <w:r w:rsidR="00B6799C">
        <w:rPr>
          <w:rFonts w:cstheme="minorHAnsi"/>
          <w:spacing w:val="-3"/>
          <w:sz w:val="24"/>
          <w:szCs w:val="24"/>
          <w:lang w:val="en-GB"/>
        </w:rPr>
        <w:t>2</w:t>
      </w:r>
      <w:r w:rsidR="003847CF">
        <w:rPr>
          <w:rFonts w:cstheme="minorHAnsi"/>
          <w:spacing w:val="-3"/>
          <w:sz w:val="24"/>
          <w:szCs w:val="24"/>
          <w:lang w:val="en-GB"/>
        </w:rPr>
        <w:t>1</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3847CF">
        <w:rPr>
          <w:rFonts w:cstheme="minorHAnsi"/>
          <w:spacing w:val="-3"/>
          <w:sz w:val="24"/>
          <w:szCs w:val="24"/>
          <w:lang w:val="en-GB"/>
        </w:rPr>
        <w:t>3</w:t>
      </w:r>
      <w:r>
        <w:rPr>
          <w:rFonts w:cstheme="minorHAnsi"/>
          <w:spacing w:val="-3"/>
          <w:sz w:val="24"/>
          <w:szCs w:val="24"/>
          <w:lang w:val="en-GB"/>
        </w:rPr>
        <w:t>,</w:t>
      </w:r>
      <w:r w:rsidR="003847CF">
        <w:rPr>
          <w:rFonts w:cstheme="minorHAnsi"/>
          <w:spacing w:val="-3"/>
          <w:sz w:val="24"/>
          <w:szCs w:val="24"/>
          <w:lang w:val="en-GB"/>
        </w:rPr>
        <w:t>823</w:t>
      </w:r>
      <w:r>
        <w:rPr>
          <w:rFonts w:cstheme="minorHAnsi"/>
          <w:spacing w:val="-3"/>
          <w:sz w:val="24"/>
          <w:szCs w:val="24"/>
          <w:lang w:val="en-GB"/>
        </w:rPr>
        <w:t>.</w:t>
      </w:r>
      <w:r w:rsidR="003847CF">
        <w:rPr>
          <w:rFonts w:cstheme="minorHAnsi"/>
          <w:spacing w:val="-3"/>
          <w:sz w:val="24"/>
          <w:szCs w:val="24"/>
          <w:lang w:val="en-GB"/>
        </w:rPr>
        <w:t>4</w:t>
      </w:r>
      <w:r w:rsidR="00135644" w:rsidRPr="00041197">
        <w:rPr>
          <w:rFonts w:cstheme="minorHAnsi"/>
          <w:spacing w:val="-3"/>
          <w:sz w:val="24"/>
          <w:szCs w:val="24"/>
          <w:lang w:val="en-GB"/>
        </w:rPr>
        <w:t xml:space="preserve"> </w:t>
      </w:r>
      <w:r w:rsidR="00810A4B" w:rsidRPr="00041197">
        <w:rPr>
          <w:rFonts w:cstheme="minorHAnsi"/>
          <w:spacing w:val="-3"/>
          <w:sz w:val="24"/>
          <w:szCs w:val="24"/>
          <w:lang w:val="en-GB"/>
        </w:rPr>
        <w:t>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3847CF">
        <w:rPr>
          <w:rFonts w:cstheme="minorHAnsi"/>
          <w:spacing w:val="-3"/>
          <w:sz w:val="24"/>
          <w:szCs w:val="24"/>
          <w:lang w:val="en-GB"/>
        </w:rPr>
        <w:t>1</w:t>
      </w:r>
      <w:r>
        <w:rPr>
          <w:rFonts w:cstheme="minorHAnsi"/>
          <w:spacing w:val="-3"/>
          <w:sz w:val="24"/>
          <w:szCs w:val="24"/>
          <w:lang w:val="en-GB"/>
        </w:rPr>
        <w:t>.</w:t>
      </w:r>
      <w:r w:rsidR="003847CF">
        <w:rPr>
          <w:rFonts w:cstheme="minorHAnsi"/>
          <w:spacing w:val="-3"/>
          <w:sz w:val="24"/>
          <w:szCs w:val="24"/>
          <w:lang w:val="en-GB"/>
        </w:rPr>
        <w:t>0</w:t>
      </w:r>
      <w:r w:rsidR="00135644" w:rsidRPr="00041197">
        <w:rPr>
          <w:rFonts w:cstheme="minorHAnsi"/>
          <w:spacing w:val="-3"/>
          <w:sz w:val="24"/>
          <w:szCs w:val="24"/>
          <w:lang w:val="en-GB"/>
        </w:rPr>
        <w:t xml:space="preserve"> </w:t>
      </w:r>
      <w:r w:rsidR="003F2303" w:rsidRPr="00041197">
        <w:rPr>
          <w:rFonts w:cstheme="minorHAnsi"/>
          <w:spacing w:val="-3"/>
          <w:sz w:val="24"/>
          <w:szCs w:val="24"/>
          <w:lang w:val="en-GB"/>
        </w:rPr>
        <w:t>p</w:t>
      </w:r>
      <w:r>
        <w:rPr>
          <w:rFonts w:cstheme="minorHAnsi"/>
          <w:spacing w:val="-3"/>
          <w:sz w:val="24"/>
          <w:szCs w:val="24"/>
          <w:lang w:val="en-GB"/>
        </w:rPr>
        <w:t xml:space="preserve">ercent of total assets, an increase </w:t>
      </w:r>
      <w:r w:rsidR="003847CF">
        <w:rPr>
          <w:rFonts w:cstheme="minorHAnsi"/>
          <w:spacing w:val="-3"/>
          <w:sz w:val="24"/>
          <w:szCs w:val="24"/>
          <w:lang w:val="en-GB"/>
        </w:rPr>
        <w:t>0.8</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4EB19B73"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B763E6" w:rsidRPr="00041197">
        <w:rPr>
          <w:rFonts w:cstheme="minorHAnsi"/>
          <w:spacing w:val="-3"/>
          <w:sz w:val="24"/>
          <w:szCs w:val="24"/>
          <w:lang w:val="en-GB"/>
        </w:rPr>
        <w:t>2</w:t>
      </w:r>
      <w:r w:rsidR="003847CF">
        <w:rPr>
          <w:rFonts w:cstheme="minorHAnsi"/>
          <w:spacing w:val="-3"/>
          <w:sz w:val="24"/>
          <w:szCs w:val="24"/>
          <w:lang w:val="en-GB"/>
        </w:rPr>
        <w:t>7</w:t>
      </w:r>
      <w:r>
        <w:rPr>
          <w:rFonts w:cstheme="minorHAnsi"/>
          <w:spacing w:val="-3"/>
          <w:sz w:val="24"/>
          <w:szCs w:val="24"/>
          <w:lang w:val="en-GB"/>
        </w:rPr>
        <w:t>,</w:t>
      </w:r>
      <w:r w:rsidR="003847CF">
        <w:rPr>
          <w:rFonts w:cstheme="minorHAnsi"/>
          <w:spacing w:val="-3"/>
          <w:sz w:val="24"/>
          <w:szCs w:val="24"/>
          <w:lang w:val="en-GB"/>
        </w:rPr>
        <w:t>287</w:t>
      </w:r>
      <w:r>
        <w:rPr>
          <w:rFonts w:cstheme="minorHAnsi"/>
          <w:spacing w:val="-3"/>
          <w:sz w:val="24"/>
          <w:szCs w:val="24"/>
          <w:lang w:val="en-GB"/>
        </w:rPr>
        <w:t>.</w:t>
      </w:r>
      <w:r w:rsidR="00523B40">
        <w:rPr>
          <w:rFonts w:cstheme="minorHAnsi"/>
          <w:spacing w:val="-3"/>
          <w:sz w:val="24"/>
          <w:szCs w:val="24"/>
          <w:lang w:val="en-GB"/>
        </w:rPr>
        <w:t>1</w:t>
      </w:r>
      <w:r w:rsidR="00B763E6" w:rsidRPr="00041197">
        <w:rPr>
          <w:rFonts w:cstheme="minorHAnsi"/>
          <w:spacing w:val="-3"/>
          <w:sz w:val="24"/>
          <w:szCs w:val="24"/>
          <w:lang w:val="en-GB"/>
        </w:rPr>
        <w:t xml:space="preserve"> </w:t>
      </w:r>
      <w:r>
        <w:rPr>
          <w:rFonts w:cstheme="minorHAnsi"/>
          <w:spacing w:val="-3"/>
          <w:sz w:val="24"/>
          <w:szCs w:val="24"/>
          <w:lang w:val="en-GB"/>
        </w:rPr>
        <w:t xml:space="preserve">million, </w:t>
      </w:r>
      <w:r w:rsidR="003847CF">
        <w:rPr>
          <w:rFonts w:cstheme="minorHAnsi"/>
          <w:spacing w:val="-3"/>
          <w:sz w:val="24"/>
          <w:szCs w:val="24"/>
          <w:lang w:val="en-GB"/>
        </w:rPr>
        <w:t>stood at the same level compared with the end of 2020.</w:t>
      </w:r>
      <w:r w:rsidR="003847CF">
        <w:rPr>
          <w:rFonts w:cstheme="minorHAnsi"/>
          <w:spacing w:val="-3"/>
          <w:sz w:val="24"/>
          <w:szCs w:val="24"/>
        </w:rPr>
        <w:t xml:space="preserve"> </w:t>
      </w:r>
      <w:r w:rsidRPr="00395073">
        <w:rPr>
          <w:rFonts w:eastAsia="Times New Roman" w:cs="Calibri"/>
          <w:sz w:val="24"/>
          <w:szCs w:val="24"/>
          <w:lang w:val="en-GB" w:eastAsia="hr-HR"/>
        </w:rPr>
        <w:t xml:space="preserve">Gross loans to other </w:t>
      </w:r>
      <w:r w:rsidRPr="00B27E01">
        <w:rPr>
          <w:rFonts w:eastAsia="Times New Roman" w:cs="Calibri"/>
          <w:sz w:val="24"/>
          <w:szCs w:val="24"/>
          <w:lang w:val="en-GB" w:eastAsia="hr-HR"/>
        </w:rPr>
        <w:t xml:space="preserve">customers </w:t>
      </w:r>
      <w:r w:rsidR="003847CF">
        <w:rPr>
          <w:rFonts w:eastAsia="Times New Roman" w:cs="Calibri"/>
          <w:sz w:val="24"/>
          <w:szCs w:val="24"/>
          <w:lang w:val="en-GB" w:eastAsia="hr-HR"/>
        </w:rPr>
        <w:t>increased by 2.4 percent compared with the end of 2020, while g</w:t>
      </w:r>
      <w:r w:rsidRPr="00395073">
        <w:rPr>
          <w:rFonts w:eastAsia="Times New Roman" w:cs="Calibri"/>
          <w:sz w:val="24"/>
          <w:szCs w:val="24"/>
          <w:lang w:val="en-GB" w:eastAsia="hr-HR"/>
        </w:rPr>
        <w:t>ross loans to financial institutions</w:t>
      </w:r>
      <w:r w:rsidR="00D83EB3">
        <w:rPr>
          <w:rFonts w:eastAsia="Times New Roman" w:cs="Calibri"/>
          <w:sz w:val="24"/>
          <w:szCs w:val="24"/>
          <w:lang w:val="en-GB" w:eastAsia="hr-HR"/>
        </w:rPr>
        <w:t xml:space="preserve"> decreased by </w:t>
      </w:r>
      <w:r w:rsidR="003847CF">
        <w:rPr>
          <w:rFonts w:eastAsia="Times New Roman" w:cs="Calibri"/>
          <w:sz w:val="24"/>
          <w:szCs w:val="24"/>
          <w:lang w:val="en-GB" w:eastAsia="hr-HR"/>
        </w:rPr>
        <w:t>3.9</w:t>
      </w:r>
      <w:r w:rsidR="00B763E6">
        <w:rPr>
          <w:rFonts w:eastAsia="Times New Roman" w:cs="Calibri"/>
          <w:sz w:val="24"/>
          <w:szCs w:val="24"/>
          <w:lang w:val="en-GB" w:eastAsia="hr-HR"/>
        </w:rPr>
        <w:t xml:space="preserve"> </w:t>
      </w:r>
      <w:r w:rsidR="00D83EB3">
        <w:rPr>
          <w:rFonts w:eastAsia="Times New Roman" w:cs="Calibri"/>
          <w:sz w:val="24"/>
          <w:szCs w:val="24"/>
          <w:lang w:val="en-GB" w:eastAsia="hr-HR"/>
        </w:rPr>
        <w:t>percent compared with the end of 20</w:t>
      </w:r>
      <w:r w:rsidR="003847CF">
        <w:rPr>
          <w:rFonts w:eastAsia="Times New Roman" w:cs="Calibri"/>
          <w:sz w:val="24"/>
          <w:szCs w:val="24"/>
          <w:lang w:val="en-GB" w:eastAsia="hr-HR"/>
        </w:rPr>
        <w:t>20</w:t>
      </w:r>
      <w:r w:rsidR="00D83EB3">
        <w:rPr>
          <w:rFonts w:eastAsia="Times New Roman" w:cs="Calibri"/>
          <w:sz w:val="24"/>
          <w:szCs w:val="24"/>
          <w:lang w:val="en-GB" w:eastAsia="hr-HR"/>
        </w:rPr>
        <w:t>.</w:t>
      </w:r>
    </w:p>
    <w:p w14:paraId="11B28876" w14:textId="11876DF3" w:rsidR="00B6799C" w:rsidRPr="003C574B" w:rsidRDefault="00B6799C" w:rsidP="00486FCF">
      <w:pPr>
        <w:spacing w:after="0" w:line="240" w:lineRule="auto"/>
        <w:jc w:val="both"/>
      </w:pPr>
      <w:r w:rsidRPr="00B6799C">
        <w:rPr>
          <w:rFonts w:ascii="Calibri" w:eastAsia="Calibri" w:hAnsi="Calibri" w:cs="Calibri"/>
          <w:sz w:val="24"/>
          <w:szCs w:val="24"/>
          <w:lang w:val="en-GB"/>
        </w:rPr>
        <w:t>As at 3</w:t>
      </w:r>
      <w:r w:rsidR="003847CF">
        <w:rPr>
          <w:rFonts w:ascii="Calibri" w:eastAsia="Calibri" w:hAnsi="Calibri" w:cs="Calibri"/>
          <w:sz w:val="24"/>
          <w:szCs w:val="24"/>
          <w:lang w:val="en-GB"/>
        </w:rPr>
        <w:t>1 March</w:t>
      </w:r>
      <w:r w:rsidR="00B763E6">
        <w:rPr>
          <w:rFonts w:ascii="Calibri" w:eastAsia="Calibri" w:hAnsi="Calibri" w:cs="Calibri"/>
          <w:sz w:val="24"/>
          <w:szCs w:val="24"/>
          <w:lang w:val="en-GB"/>
        </w:rPr>
        <w:t xml:space="preserve"> </w:t>
      </w:r>
      <w:r w:rsidRPr="00B6799C">
        <w:rPr>
          <w:rFonts w:ascii="Calibri" w:eastAsia="Calibri" w:hAnsi="Calibri" w:cs="Calibri"/>
          <w:sz w:val="24"/>
          <w:szCs w:val="24"/>
          <w:lang w:val="en-GB"/>
        </w:rPr>
        <w:t>202</w:t>
      </w:r>
      <w:r w:rsidR="003847CF">
        <w:rPr>
          <w:rFonts w:ascii="Calibri" w:eastAsia="Calibri" w:hAnsi="Calibri" w:cs="Calibri"/>
          <w:sz w:val="24"/>
          <w:szCs w:val="24"/>
          <w:lang w:val="en-GB"/>
        </w:rPr>
        <w:t>1</w:t>
      </w:r>
      <w:r w:rsidRPr="00B6799C">
        <w:rPr>
          <w:rFonts w:ascii="Calibri" w:eastAsia="Calibri" w:hAnsi="Calibri" w:cs="Calibri"/>
          <w:sz w:val="24"/>
          <w:szCs w:val="24"/>
          <w:lang w:val="en-GB"/>
        </w:rPr>
        <w:t xml:space="preserve">, the proportion between gross loans on-lent through financial institutions and direct placements stood at </w:t>
      </w:r>
      <w:r w:rsidR="00B763E6" w:rsidRPr="00B6799C">
        <w:rPr>
          <w:rFonts w:ascii="Calibri" w:eastAsia="Calibri" w:hAnsi="Calibri" w:cs="Calibri"/>
          <w:sz w:val="24"/>
          <w:szCs w:val="24"/>
          <w:lang w:val="en-GB"/>
        </w:rPr>
        <w:t>3</w:t>
      </w:r>
      <w:r w:rsidR="00B20662">
        <w:rPr>
          <w:rFonts w:ascii="Calibri" w:eastAsia="Calibri" w:hAnsi="Calibri" w:cs="Calibri"/>
          <w:sz w:val="24"/>
          <w:szCs w:val="24"/>
          <w:lang w:val="en-GB"/>
        </w:rPr>
        <w:t>1</w:t>
      </w:r>
      <w:r w:rsidR="00B763E6" w:rsidRPr="00B6799C">
        <w:rPr>
          <w:rFonts w:ascii="Calibri" w:eastAsia="Calibri" w:hAnsi="Calibri" w:cs="Calibri"/>
          <w:sz w:val="24"/>
          <w:szCs w:val="24"/>
          <w:lang w:val="en-GB"/>
        </w:rPr>
        <w:t xml:space="preserve">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w:t>
      </w:r>
      <w:r w:rsidR="00B763E6" w:rsidRPr="00B6799C">
        <w:rPr>
          <w:rFonts w:ascii="Calibri" w:eastAsia="Calibri" w:hAnsi="Calibri" w:cs="Calibri"/>
          <w:sz w:val="24"/>
          <w:szCs w:val="24"/>
          <w:lang w:val="en-GB"/>
        </w:rPr>
        <w:t>6</w:t>
      </w:r>
      <w:r w:rsidR="00B20662">
        <w:rPr>
          <w:rFonts w:ascii="Calibri" w:eastAsia="Calibri" w:hAnsi="Calibri" w:cs="Calibri"/>
          <w:sz w:val="24"/>
          <w:szCs w:val="24"/>
          <w:lang w:val="en-GB"/>
        </w:rPr>
        <w:t>9</w:t>
      </w:r>
      <w:r w:rsidR="00B763E6" w:rsidRPr="00B6799C">
        <w:rPr>
          <w:rFonts w:ascii="Calibri" w:eastAsia="Calibri" w:hAnsi="Calibri" w:cs="Calibri"/>
          <w:sz w:val="24"/>
          <w:szCs w:val="24"/>
          <w:lang w:val="en-GB"/>
        </w:rPr>
        <w:t xml:space="preserve"> </w:t>
      </w:r>
      <w:r w:rsidRPr="00B6799C">
        <w:rPr>
          <w:rFonts w:ascii="Calibri" w:eastAsia="Calibri" w:hAnsi="Calibri" w:cs="Calibri"/>
          <w:sz w:val="24"/>
          <w:szCs w:val="24"/>
          <w:lang w:val="en-GB"/>
        </w:rPr>
        <w:t>percent</w:t>
      </w:r>
      <w:r w:rsidR="008B18AE">
        <w:rPr>
          <w:rFonts w:ascii="Calibri" w:eastAsia="Calibri" w:hAnsi="Calibri" w:cs="Calibri"/>
          <w:sz w:val="24"/>
          <w:szCs w:val="24"/>
          <w:lang w:val="en-GB"/>
        </w:rPr>
        <w:t xml:space="preserve"> ( </w:t>
      </w:r>
      <w:r w:rsidRPr="00B6799C">
        <w:rPr>
          <w:rFonts w:ascii="Calibri" w:eastAsia="Calibri" w:hAnsi="Calibri" w:cs="Calibri"/>
          <w:sz w:val="24"/>
          <w:szCs w:val="24"/>
          <w:lang w:val="en-GB"/>
        </w:rPr>
        <w:t>31 December 20</w:t>
      </w:r>
      <w:r w:rsidR="00B20662">
        <w:rPr>
          <w:rFonts w:ascii="Calibri" w:eastAsia="Calibri" w:hAnsi="Calibri" w:cs="Calibri"/>
          <w:sz w:val="24"/>
          <w:szCs w:val="24"/>
          <w:lang w:val="en-GB"/>
        </w:rPr>
        <w:t>20</w:t>
      </w:r>
      <w:r w:rsidR="00AF5A7D">
        <w:rPr>
          <w:rFonts w:ascii="Calibri" w:eastAsia="Calibri" w:hAnsi="Calibri" w:cs="Calibri"/>
          <w:sz w:val="24"/>
          <w:szCs w:val="24"/>
          <w:lang w:val="en-GB"/>
        </w:rPr>
        <w:t>:</w:t>
      </w:r>
      <w:r w:rsidR="00E15E67">
        <w:rPr>
          <w:rFonts w:ascii="Calibri" w:eastAsia="Calibri" w:hAnsi="Calibri" w:cs="Calibri"/>
          <w:sz w:val="24"/>
          <w:szCs w:val="24"/>
          <w:lang w:val="en-GB"/>
        </w:rPr>
        <w:t xml:space="preserve"> </w:t>
      </w:r>
      <w:r w:rsidR="008B18AE" w:rsidRPr="008B18AE">
        <w:rPr>
          <w:rFonts w:ascii="Calibri" w:eastAsia="Calibri" w:hAnsi="Calibri" w:cs="Calibri"/>
          <w:sz w:val="24"/>
          <w:szCs w:val="24"/>
          <w:lang w:val="en-GB"/>
        </w:rPr>
        <w:t>3</w:t>
      </w:r>
      <w:r w:rsidR="00B20662">
        <w:rPr>
          <w:rFonts w:ascii="Calibri" w:eastAsia="Calibri" w:hAnsi="Calibri" w:cs="Calibri"/>
          <w:sz w:val="24"/>
          <w:szCs w:val="24"/>
          <w:lang w:val="en-GB"/>
        </w:rPr>
        <w:t>3</w:t>
      </w:r>
      <w:r w:rsidR="008B18AE" w:rsidRPr="008B18AE">
        <w:rPr>
          <w:rFonts w:ascii="Calibri" w:eastAsia="Calibri" w:hAnsi="Calibri" w:cs="Calibri"/>
          <w:sz w:val="24"/>
          <w:szCs w:val="24"/>
          <w:lang w:val="en-GB"/>
        </w:rPr>
        <w:t xml:space="preserve"> percent : 6</w:t>
      </w:r>
      <w:r w:rsidR="00B20662">
        <w:rPr>
          <w:rFonts w:ascii="Calibri" w:eastAsia="Calibri" w:hAnsi="Calibri" w:cs="Calibri"/>
          <w:sz w:val="24"/>
          <w:szCs w:val="24"/>
          <w:lang w:val="en-GB"/>
        </w:rPr>
        <w:t>7</w:t>
      </w:r>
      <w:r w:rsidR="008B18AE" w:rsidRPr="008B18AE">
        <w:rPr>
          <w:rFonts w:ascii="Calibri" w:eastAsia="Calibri" w:hAnsi="Calibri" w:cs="Calibri"/>
          <w:sz w:val="24"/>
          <w:szCs w:val="24"/>
          <w:lang w:val="en-GB"/>
        </w:rPr>
        <w:t xml:space="preserve"> percent</w:t>
      </w:r>
      <w:r w:rsidR="008B18AE">
        <w:rPr>
          <w:rFonts w:ascii="Calibri" w:eastAsia="Calibri" w:hAnsi="Calibri" w:cs="Calibri"/>
          <w:sz w:val="24"/>
          <w:szCs w:val="24"/>
          <w:lang w:val="en-GB"/>
        </w:rPr>
        <w:t>).</w:t>
      </w:r>
    </w:p>
    <w:p w14:paraId="6656E33F" w14:textId="1007D184" w:rsidR="00AE785D" w:rsidRPr="002A10E9" w:rsidRDefault="00FD5254">
      <w:pPr>
        <w:spacing w:after="0" w:line="240" w:lineRule="auto"/>
        <w:jc w:val="both"/>
        <w:rPr>
          <w:rFonts w:eastAsia="Times New Roman" w:cs="Calibri"/>
          <w:b/>
          <w:i/>
          <w:spacing w:val="-3"/>
          <w:sz w:val="18"/>
          <w:szCs w:val="24"/>
          <w:lang w:val="en-GB" w:eastAsia="hr-HR"/>
        </w:rPr>
      </w:pPr>
      <w:r w:rsidRPr="00041197" w:rsidDel="00FD5254">
        <w:rPr>
          <w:rFonts w:cstheme="minorHAnsi"/>
          <w:spacing w:val="-3"/>
          <w:sz w:val="24"/>
          <w:szCs w:val="24"/>
          <w:lang w:val="en-GB"/>
        </w:rPr>
        <w:t xml:space="preserve"> </w:t>
      </w: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037DEB0A"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As at 3</w:t>
      </w:r>
      <w:r w:rsidR="00197E06">
        <w:rPr>
          <w:rFonts w:cstheme="minorHAnsi"/>
          <w:sz w:val="24"/>
          <w:szCs w:val="24"/>
          <w:lang w:val="en-GB"/>
        </w:rPr>
        <w:t xml:space="preserve">1 March </w:t>
      </w:r>
      <w:r>
        <w:rPr>
          <w:rFonts w:cstheme="minorHAnsi"/>
          <w:sz w:val="24"/>
          <w:szCs w:val="24"/>
          <w:lang w:val="en-GB"/>
        </w:rPr>
        <w:t>20</w:t>
      </w:r>
      <w:r w:rsidR="000D7ADE">
        <w:rPr>
          <w:rFonts w:cstheme="minorHAnsi"/>
          <w:sz w:val="24"/>
          <w:szCs w:val="24"/>
          <w:lang w:val="en-GB"/>
        </w:rPr>
        <w:t>2</w:t>
      </w:r>
      <w:r w:rsidR="00197E06">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197E06">
        <w:rPr>
          <w:rFonts w:cstheme="minorHAnsi"/>
          <w:sz w:val="24"/>
          <w:szCs w:val="24"/>
          <w:lang w:val="en-GB"/>
        </w:rPr>
        <w:t>218</w:t>
      </w:r>
      <w:r>
        <w:rPr>
          <w:rFonts w:cstheme="minorHAnsi"/>
          <w:sz w:val="24"/>
          <w:szCs w:val="24"/>
          <w:lang w:val="en-GB"/>
        </w:rPr>
        <w:t>.</w:t>
      </w:r>
      <w:r w:rsidR="00197E06">
        <w:rPr>
          <w:rFonts w:cstheme="minorHAnsi"/>
          <w:sz w:val="24"/>
          <w:szCs w:val="24"/>
          <w:lang w:val="en-GB"/>
        </w:rPr>
        <w:t xml:space="preserve">8 </w:t>
      </w:r>
      <w:r w:rsidR="00E96499" w:rsidRPr="00041197">
        <w:rPr>
          <w:rFonts w:cstheme="minorHAnsi"/>
          <w:sz w:val="24"/>
          <w:szCs w:val="24"/>
          <w:lang w:val="en-GB"/>
        </w:rPr>
        <w:t>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0D7ADE">
        <w:rPr>
          <w:rFonts w:cstheme="minorHAnsi"/>
          <w:sz w:val="24"/>
          <w:szCs w:val="24"/>
          <w:lang w:val="en-GB"/>
        </w:rPr>
        <w:t>7</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2D459CE4" w14:textId="77777777" w:rsidR="00E803C5" w:rsidRPr="00E803C5" w:rsidRDefault="00E803C5" w:rsidP="00E803C5">
      <w:pPr>
        <w:spacing w:after="0" w:line="240" w:lineRule="auto"/>
        <w:jc w:val="both"/>
        <w:rPr>
          <w:sz w:val="24"/>
          <w:szCs w:val="24"/>
          <w:lang w:val="en-GB"/>
        </w:rPr>
      </w:pPr>
      <w:r w:rsidRPr="00E803C5">
        <w:rPr>
          <w:sz w:val="24"/>
          <w:szCs w:val="24"/>
          <w:lang w:val="en-GB"/>
        </w:rPr>
        <w:t xml:space="preserve">These assets include bonds of the Republic of Croatia and treasury bills of the Ministry of Finance as part of the liquidity reserve, as well as corporate bonds. On the reporting date, they amount to HRK 3,340.9 million and account for 11.4 percent of total assets, an increase of 10.4 percent compared to the beginning of the year </w:t>
      </w:r>
      <w:proofErr w:type="gramStart"/>
      <w:r w:rsidRPr="00E803C5">
        <w:rPr>
          <w:sz w:val="24"/>
          <w:szCs w:val="24"/>
          <w:lang w:val="en-GB"/>
        </w:rPr>
        <w:t>as a result of</w:t>
      </w:r>
      <w:proofErr w:type="gramEnd"/>
      <w:r w:rsidRPr="00E803C5">
        <w:rPr>
          <w:sz w:val="24"/>
          <w:szCs w:val="24"/>
          <w:lang w:val="en-GB"/>
        </w:rPr>
        <w:t xml:space="preserve"> the reallocation of the liquidity reserve. </w:t>
      </w:r>
    </w:p>
    <w:p w14:paraId="617A4895" w14:textId="5E007668"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8"/>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DD39A9">
        <w:rPr>
          <w:rFonts w:cstheme="minorHAnsi"/>
          <w:sz w:val="24"/>
          <w:szCs w:val="24"/>
          <w:lang w:val="en-GB"/>
        </w:rPr>
        <w:t>4</w:t>
      </w:r>
      <w:r w:rsidR="00153A85">
        <w:rPr>
          <w:rFonts w:cstheme="minorHAnsi"/>
          <w:sz w:val="24"/>
          <w:szCs w:val="24"/>
          <w:lang w:val="en-GB"/>
        </w:rPr>
        <w:t>.</w:t>
      </w:r>
      <w:r w:rsidR="00F12A5F">
        <w:rPr>
          <w:rFonts w:cstheme="minorHAnsi"/>
          <w:sz w:val="24"/>
          <w:szCs w:val="24"/>
          <w:lang w:val="en-GB"/>
        </w:rPr>
        <w:t>8</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lastRenderedPageBreak/>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41CDDC40"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AF5A7D">
        <w:rPr>
          <w:rFonts w:cstheme="minorHAnsi"/>
          <w:spacing w:val="-3"/>
          <w:sz w:val="24"/>
          <w:szCs w:val="24"/>
          <w:lang w:val="en-GB"/>
        </w:rPr>
        <w:t>8</w:t>
      </w:r>
      <w:r w:rsidR="009C712F" w:rsidRPr="00041197">
        <w:rPr>
          <w:rFonts w:cstheme="minorHAnsi"/>
          <w:spacing w:val="-3"/>
          <w:sz w:val="24"/>
          <w:szCs w:val="24"/>
          <w:lang w:val="en-GB"/>
        </w:rPr>
        <w:t xml:space="preserve"> </w:t>
      </w:r>
      <w:r w:rsidR="007859D5" w:rsidRPr="00041197">
        <w:rPr>
          <w:rFonts w:cstheme="minorHAnsi"/>
          <w:spacing w:val="-3"/>
          <w:sz w:val="24"/>
          <w:szCs w:val="24"/>
          <w:lang w:val="en-GB"/>
        </w:rPr>
        <w:t>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2DDC94C7" w14:textId="2DAE8D68" w:rsidR="00762760"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00762760">
        <w:rPr>
          <w:rFonts w:cstheme="minorHAnsi"/>
          <w:noProof/>
          <w:spacing w:val="-3"/>
          <w:sz w:val="24"/>
          <w:szCs w:val="24"/>
        </w:rPr>
        <w:drawing>
          <wp:inline distT="0" distB="0" distL="0" distR="0" wp14:anchorId="287338EC" wp14:editId="524950B0">
            <wp:extent cx="2772000" cy="3103778"/>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2000" cy="3103778"/>
                    </a:xfrm>
                    <a:prstGeom prst="rect">
                      <a:avLst/>
                    </a:prstGeom>
                    <a:noFill/>
                  </pic:spPr>
                </pic:pic>
              </a:graphicData>
            </a:graphic>
          </wp:inline>
        </w:drawing>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762760">
        <w:rPr>
          <w:rFonts w:cstheme="minorHAnsi"/>
          <w:spacing w:val="-3"/>
          <w:sz w:val="24"/>
          <w:szCs w:val="24"/>
        </w:rPr>
        <w:t xml:space="preserve"> </w:t>
      </w:r>
      <w:r w:rsidRPr="00374300">
        <w:rPr>
          <w:rFonts w:cstheme="minorHAnsi"/>
          <w:spacing w:val="-3"/>
          <w:sz w:val="24"/>
          <w:szCs w:val="24"/>
        </w:rPr>
        <w:t xml:space="preserve"> </w:t>
      </w:r>
      <w:r w:rsidR="00677B6F" w:rsidRPr="00374300">
        <w:rPr>
          <w:rFonts w:cstheme="minorHAnsi"/>
          <w:spacing w:val="-3"/>
          <w:sz w:val="24"/>
          <w:szCs w:val="24"/>
        </w:rPr>
        <w:t xml:space="preserve"> </w:t>
      </w:r>
      <w:r w:rsidR="00762760">
        <w:rPr>
          <w:rFonts w:cstheme="minorHAnsi"/>
          <w:noProof/>
          <w:spacing w:val="-3"/>
          <w:sz w:val="24"/>
          <w:szCs w:val="24"/>
        </w:rPr>
        <w:drawing>
          <wp:inline distT="0" distB="0" distL="0" distR="0" wp14:anchorId="27CD7520" wp14:editId="409BA77A">
            <wp:extent cx="2772000" cy="309745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2000" cy="3097450"/>
                    </a:xfrm>
                    <a:prstGeom prst="rect">
                      <a:avLst/>
                    </a:prstGeom>
                    <a:noFill/>
                  </pic:spPr>
                </pic:pic>
              </a:graphicData>
            </a:graphic>
          </wp:inline>
        </w:drawing>
      </w:r>
      <w:r w:rsidR="00677B6F">
        <w:rPr>
          <w:rFonts w:cstheme="minorHAnsi"/>
          <w:spacing w:val="-3"/>
          <w:sz w:val="24"/>
          <w:szCs w:val="24"/>
        </w:rPr>
        <w:t xml:space="preserve">    </w:t>
      </w:r>
      <w:r w:rsidR="00677B6F" w:rsidRPr="00374300">
        <w:rPr>
          <w:rFonts w:cstheme="minorHAnsi"/>
          <w:spacing w:val="-3"/>
          <w:sz w:val="24"/>
          <w:szCs w:val="24"/>
        </w:rPr>
        <w:t xml:space="preserve">   </w:t>
      </w:r>
      <w:r w:rsidR="00E43402" w:rsidRPr="00374300">
        <w:rPr>
          <w:rFonts w:cstheme="minorHAnsi"/>
          <w:spacing w:val="-3"/>
          <w:sz w:val="24"/>
          <w:szCs w:val="24"/>
        </w:rPr>
        <w:t xml:space="preserve"> </w:t>
      </w:r>
      <w:r w:rsidR="00E43402">
        <w:rPr>
          <w:rFonts w:cstheme="minorHAnsi"/>
          <w:spacing w:val="-3"/>
          <w:sz w:val="24"/>
          <w:szCs w:val="24"/>
        </w:rPr>
        <w:t xml:space="preserve">  </w:t>
      </w:r>
    </w:p>
    <w:p w14:paraId="78E61488" w14:textId="77777777" w:rsidR="00762760" w:rsidRDefault="00762760" w:rsidP="00E43402">
      <w:pPr>
        <w:tabs>
          <w:tab w:val="left" w:pos="-720"/>
        </w:tabs>
        <w:suppressAutoHyphens/>
        <w:spacing w:after="0" w:line="240" w:lineRule="auto"/>
        <w:ind w:right="-284" w:hanging="567"/>
        <w:jc w:val="both"/>
        <w:rPr>
          <w:rFonts w:cstheme="minorHAnsi"/>
          <w:spacing w:val="-3"/>
          <w:sz w:val="24"/>
          <w:szCs w:val="24"/>
        </w:rPr>
      </w:pPr>
    </w:p>
    <w:p w14:paraId="5617AA51" w14:textId="3FF36E95" w:rsidR="00374300" w:rsidRPr="00374300" w:rsidRDefault="00762760"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Pr>
          <w:rFonts w:cstheme="minorHAnsi"/>
          <w:noProof/>
          <w:spacing w:val="-3"/>
          <w:sz w:val="24"/>
          <w:szCs w:val="24"/>
        </w:rPr>
        <w:drawing>
          <wp:inline distT="0" distB="0" distL="0" distR="0" wp14:anchorId="5CD0829A" wp14:editId="5061DDCE">
            <wp:extent cx="2772000" cy="309811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2000" cy="3098119"/>
                    </a:xfrm>
                    <a:prstGeom prst="rect">
                      <a:avLst/>
                    </a:prstGeom>
                    <a:noFill/>
                  </pic:spPr>
                </pic:pic>
              </a:graphicData>
            </a:graphic>
          </wp:inline>
        </w:drawing>
      </w:r>
      <w:r>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sidR="00677B6F">
        <w:rPr>
          <w:rFonts w:cstheme="minorHAnsi"/>
          <w:spacing w:val="-3"/>
          <w:sz w:val="24"/>
          <w:szCs w:val="24"/>
        </w:rPr>
        <w:t xml:space="preserve"> </w:t>
      </w:r>
      <w:r>
        <w:rPr>
          <w:rFonts w:cstheme="minorHAnsi"/>
          <w:noProof/>
          <w:spacing w:val="-3"/>
          <w:sz w:val="24"/>
          <w:szCs w:val="24"/>
        </w:rPr>
        <w:drawing>
          <wp:inline distT="0" distB="0" distL="0" distR="0" wp14:anchorId="17D33350" wp14:editId="2DEFA36C">
            <wp:extent cx="2772000" cy="3103779"/>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72000" cy="3103779"/>
                    </a:xfrm>
                    <a:prstGeom prst="rect">
                      <a:avLst/>
                    </a:prstGeom>
                    <a:noFill/>
                  </pic:spPr>
                </pic:pic>
              </a:graphicData>
            </a:graphic>
          </wp:inline>
        </w:drawing>
      </w:r>
      <w:r w:rsidR="00677B6F">
        <w:rPr>
          <w:rFonts w:cstheme="minorHAnsi"/>
          <w:spacing w:val="-3"/>
          <w:sz w:val="24"/>
          <w:szCs w:val="24"/>
        </w:rPr>
        <w:t xml:space="preserve">  </w:t>
      </w:r>
      <w:r w:rsidR="00677B6F"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3"/>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1C122AD1"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3</w:t>
      </w:r>
      <w:r w:rsidR="008C3BDD">
        <w:rPr>
          <w:rFonts w:cstheme="minorHAnsi"/>
          <w:spacing w:val="-3"/>
          <w:sz w:val="24"/>
          <w:szCs w:val="24"/>
          <w:lang w:val="en-GB"/>
        </w:rPr>
        <w:t>1 March</w:t>
      </w:r>
      <w:r>
        <w:rPr>
          <w:rFonts w:cstheme="minorHAnsi"/>
          <w:spacing w:val="-3"/>
          <w:sz w:val="24"/>
          <w:szCs w:val="24"/>
          <w:lang w:val="en-GB"/>
        </w:rPr>
        <w:t xml:space="preserve"> </w:t>
      </w:r>
      <w:r w:rsidRPr="00041197">
        <w:rPr>
          <w:rFonts w:cstheme="minorHAnsi"/>
          <w:spacing w:val="-3"/>
          <w:sz w:val="24"/>
          <w:szCs w:val="24"/>
          <w:lang w:val="en-GB"/>
        </w:rPr>
        <w:t>20</w:t>
      </w:r>
      <w:r>
        <w:rPr>
          <w:rFonts w:cstheme="minorHAnsi"/>
          <w:spacing w:val="-3"/>
          <w:sz w:val="24"/>
          <w:szCs w:val="24"/>
          <w:lang w:val="en-GB"/>
        </w:rPr>
        <w:t>2</w:t>
      </w:r>
      <w:r w:rsidR="008C3BDD">
        <w:rPr>
          <w:rFonts w:cstheme="minorHAnsi"/>
          <w:spacing w:val="-3"/>
          <w:sz w:val="24"/>
          <w:szCs w:val="24"/>
          <w:lang w:val="en-GB"/>
        </w:rPr>
        <w:t>1</w:t>
      </w:r>
      <w:r>
        <w:rPr>
          <w:rFonts w:cstheme="minorHAnsi"/>
          <w:spacing w:val="-3"/>
          <w:sz w:val="24"/>
          <w:szCs w:val="24"/>
          <w:lang w:val="en-GB"/>
        </w:rPr>
        <w:t>, total liabilities amounted to HRK</w:t>
      </w:r>
      <w:r w:rsidRPr="00041197">
        <w:rPr>
          <w:rFonts w:cstheme="minorHAnsi"/>
          <w:spacing w:val="-3"/>
          <w:sz w:val="24"/>
          <w:szCs w:val="24"/>
          <w:lang w:val="en-GB"/>
        </w:rPr>
        <w:t xml:space="preserve"> 1</w:t>
      </w:r>
      <w:r w:rsidR="008C3BDD">
        <w:rPr>
          <w:rFonts w:cstheme="minorHAnsi"/>
          <w:spacing w:val="-3"/>
          <w:sz w:val="24"/>
          <w:szCs w:val="24"/>
          <w:lang w:val="en-GB"/>
        </w:rPr>
        <w:t>8</w:t>
      </w:r>
      <w:r>
        <w:rPr>
          <w:rFonts w:cstheme="minorHAnsi"/>
          <w:spacing w:val="-3"/>
          <w:sz w:val="24"/>
          <w:szCs w:val="24"/>
          <w:lang w:val="en-GB"/>
        </w:rPr>
        <w:t>,</w:t>
      </w:r>
      <w:r w:rsidR="009C712F">
        <w:rPr>
          <w:rFonts w:cstheme="minorHAnsi"/>
          <w:spacing w:val="-3"/>
          <w:sz w:val="24"/>
          <w:szCs w:val="24"/>
          <w:lang w:val="en-GB"/>
        </w:rPr>
        <w:t>9</w:t>
      </w:r>
      <w:r w:rsidR="008C3BDD">
        <w:rPr>
          <w:rFonts w:cstheme="minorHAnsi"/>
          <w:spacing w:val="-3"/>
          <w:sz w:val="24"/>
          <w:szCs w:val="24"/>
          <w:lang w:val="en-GB"/>
        </w:rPr>
        <w:t>88</w:t>
      </w:r>
      <w:r>
        <w:rPr>
          <w:rFonts w:cstheme="minorHAnsi"/>
          <w:spacing w:val="-3"/>
          <w:sz w:val="24"/>
          <w:szCs w:val="24"/>
          <w:lang w:val="en-GB"/>
        </w:rPr>
        <w:t>.</w:t>
      </w:r>
      <w:r w:rsidR="008C3BDD">
        <w:rPr>
          <w:rFonts w:cstheme="minorHAnsi"/>
          <w:spacing w:val="-3"/>
          <w:sz w:val="24"/>
          <w:szCs w:val="24"/>
          <w:lang w:val="en-GB"/>
        </w:rPr>
        <w:t>5</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w:t>
      </w:r>
      <w:r w:rsidR="009C712F" w:rsidRPr="00041197">
        <w:rPr>
          <w:rFonts w:cstheme="minorHAnsi"/>
          <w:spacing w:val="-3"/>
          <w:sz w:val="24"/>
          <w:szCs w:val="24"/>
          <w:lang w:val="en-GB"/>
        </w:rPr>
        <w:t>6</w:t>
      </w:r>
      <w:r w:rsidR="008C3BDD">
        <w:rPr>
          <w:rFonts w:cstheme="minorHAnsi"/>
          <w:spacing w:val="-3"/>
          <w:sz w:val="24"/>
          <w:szCs w:val="24"/>
          <w:lang w:val="en-GB"/>
        </w:rPr>
        <w:t>4</w:t>
      </w:r>
      <w:r>
        <w:rPr>
          <w:rFonts w:cstheme="minorHAnsi"/>
          <w:spacing w:val="-3"/>
          <w:sz w:val="24"/>
          <w:szCs w:val="24"/>
          <w:lang w:val="en-GB"/>
        </w:rPr>
        <w:t>.</w:t>
      </w:r>
      <w:r w:rsidR="009C712F">
        <w:rPr>
          <w:rFonts w:cstheme="minorHAnsi"/>
          <w:spacing w:val="-3"/>
          <w:sz w:val="24"/>
          <w:szCs w:val="24"/>
          <w:lang w:val="en-GB"/>
        </w:rPr>
        <w:t>5</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w:t>
      </w:r>
      <w:proofErr w:type="gramStart"/>
      <w:r w:rsidRPr="00395073">
        <w:rPr>
          <w:rFonts w:cstheme="minorHAnsi"/>
          <w:spacing w:val="-3"/>
          <w:sz w:val="24"/>
          <w:szCs w:val="24"/>
          <w:lang w:val="en-GB"/>
        </w:rPr>
        <w:t>HBOR’s  borrowings</w:t>
      </w:r>
      <w:proofErr w:type="gramEnd"/>
      <w:r w:rsidRPr="00395073">
        <w:rPr>
          <w:rFonts w:cstheme="minorHAnsi"/>
          <w:spacing w:val="-3"/>
          <w:sz w:val="24"/>
          <w:szCs w:val="24"/>
          <w:lang w:val="en-GB"/>
        </w:rPr>
        <w:t xml:space="preserve"> in the total amount of HRK </w:t>
      </w:r>
      <w:r w:rsidR="009C712F" w:rsidRPr="00041197">
        <w:rPr>
          <w:rFonts w:cstheme="minorHAnsi"/>
          <w:spacing w:val="-3"/>
          <w:sz w:val="24"/>
          <w:szCs w:val="24"/>
          <w:lang w:val="en-GB"/>
        </w:rPr>
        <w:t>1</w:t>
      </w:r>
      <w:r w:rsidR="008C3BDD">
        <w:rPr>
          <w:rFonts w:cstheme="minorHAnsi"/>
          <w:spacing w:val="-3"/>
          <w:sz w:val="24"/>
          <w:szCs w:val="24"/>
          <w:lang w:val="en-GB"/>
        </w:rPr>
        <w:t>6</w:t>
      </w:r>
      <w:r>
        <w:rPr>
          <w:rFonts w:cstheme="minorHAnsi"/>
          <w:spacing w:val="-3"/>
          <w:sz w:val="24"/>
          <w:szCs w:val="24"/>
          <w:lang w:val="en-GB"/>
        </w:rPr>
        <w:t>,</w:t>
      </w:r>
      <w:r w:rsidR="008C3BDD">
        <w:rPr>
          <w:rFonts w:cstheme="minorHAnsi"/>
          <w:spacing w:val="-3"/>
          <w:sz w:val="24"/>
          <w:szCs w:val="24"/>
          <w:lang w:val="en-GB"/>
        </w:rPr>
        <w:t>659</w:t>
      </w:r>
      <w:r>
        <w:rPr>
          <w:rFonts w:cstheme="minorHAnsi"/>
          <w:spacing w:val="-3"/>
          <w:sz w:val="24"/>
          <w:szCs w:val="24"/>
          <w:lang w:val="en-GB"/>
        </w:rPr>
        <w:t>.</w:t>
      </w:r>
      <w:r w:rsidR="008C3BDD">
        <w:rPr>
          <w:rFonts w:cstheme="minorHAnsi"/>
          <w:spacing w:val="-3"/>
          <w:sz w:val="24"/>
          <w:szCs w:val="24"/>
          <w:lang w:val="en-GB"/>
        </w:rPr>
        <w:t>9</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35A6DF40"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8C3BDD">
        <w:rPr>
          <w:rFonts w:cstheme="minorHAnsi"/>
          <w:spacing w:val="-3"/>
          <w:sz w:val="24"/>
          <w:szCs w:val="24"/>
          <w:lang w:val="en-GB"/>
        </w:rPr>
        <w:t>de</w:t>
      </w:r>
      <w:r w:rsidRPr="0041359D">
        <w:rPr>
          <w:rFonts w:cstheme="minorHAnsi"/>
          <w:spacing w:val="-3"/>
          <w:sz w:val="24"/>
          <w:szCs w:val="24"/>
          <w:lang w:val="en-GB"/>
        </w:rPr>
        <w:t>creased by</w:t>
      </w:r>
      <w:r w:rsidR="009C712F">
        <w:rPr>
          <w:rFonts w:cstheme="minorHAnsi"/>
          <w:spacing w:val="-3"/>
          <w:sz w:val="24"/>
          <w:szCs w:val="24"/>
          <w:lang w:val="en-GB"/>
        </w:rPr>
        <w:t xml:space="preserve"> 1</w:t>
      </w:r>
      <w:r w:rsidRPr="0041359D">
        <w:rPr>
          <w:rFonts w:cstheme="minorHAnsi"/>
          <w:spacing w:val="-3"/>
          <w:sz w:val="24"/>
          <w:szCs w:val="24"/>
          <w:lang w:val="en-GB"/>
        </w:rPr>
        <w:t>.</w:t>
      </w:r>
      <w:r w:rsidR="008C3BDD">
        <w:rPr>
          <w:rFonts w:cstheme="minorHAnsi"/>
          <w:spacing w:val="-3"/>
          <w:sz w:val="24"/>
          <w:szCs w:val="24"/>
          <w:lang w:val="en-GB"/>
        </w:rPr>
        <w:t>2</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9C712F" w:rsidRPr="00041197" w14:paraId="22982424" w14:textId="77777777" w:rsidTr="00431335">
        <w:tc>
          <w:tcPr>
            <w:tcW w:w="6379" w:type="dxa"/>
          </w:tcPr>
          <w:p w14:paraId="274415AB" w14:textId="77777777" w:rsidR="009C712F" w:rsidRPr="00395073" w:rsidRDefault="009C712F" w:rsidP="009C712F">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Draw-down of funds borrowed under previously contracted</w:t>
            </w:r>
          </w:p>
          <w:p w14:paraId="7A000FCB" w14:textId="77777777" w:rsidR="009C712F" w:rsidRPr="00041197" w:rsidRDefault="009C712F" w:rsidP="009C712F">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28F20EF4" w14:textId="77777777" w:rsidR="009C712F" w:rsidRPr="00DF0635" w:rsidRDefault="009C712F" w:rsidP="009C712F">
            <w:pPr>
              <w:tabs>
                <w:tab w:val="left" w:pos="-720"/>
              </w:tabs>
              <w:suppressAutoHyphens/>
              <w:jc w:val="right"/>
              <w:rPr>
                <w:rFonts w:cstheme="minorHAnsi"/>
                <w:spacing w:val="-3"/>
                <w:sz w:val="24"/>
                <w:szCs w:val="24"/>
              </w:rPr>
            </w:pPr>
          </w:p>
          <w:p w14:paraId="705FB463" w14:textId="63FF31A9" w:rsidR="009C712F" w:rsidRPr="00041197" w:rsidRDefault="008C3BDD" w:rsidP="009C712F">
            <w:pPr>
              <w:tabs>
                <w:tab w:val="left" w:pos="-720"/>
              </w:tabs>
              <w:suppressAutoHyphens/>
              <w:jc w:val="right"/>
              <w:rPr>
                <w:rFonts w:cstheme="minorHAnsi"/>
                <w:spacing w:val="-3"/>
                <w:sz w:val="24"/>
                <w:szCs w:val="24"/>
                <w:lang w:val="en-GB"/>
              </w:rPr>
            </w:pPr>
            <w:r>
              <w:rPr>
                <w:rFonts w:cstheme="minorHAnsi"/>
                <w:spacing w:val="-3"/>
                <w:sz w:val="24"/>
                <w:szCs w:val="24"/>
              </w:rPr>
              <w:t>346.4</w:t>
            </w:r>
          </w:p>
        </w:tc>
      </w:tr>
      <w:tr w:rsidR="009C712F" w:rsidRPr="00041197" w14:paraId="0AAB44B9" w14:textId="77777777" w:rsidTr="002A10E9">
        <w:tc>
          <w:tcPr>
            <w:tcW w:w="6379" w:type="dxa"/>
          </w:tcPr>
          <w:p w14:paraId="41AF3B64" w14:textId="50211B80" w:rsidR="009C712F" w:rsidRPr="00041197" w:rsidRDefault="009C712F" w:rsidP="009C712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Repayments of borrowings</w:t>
            </w:r>
            <w:r>
              <w:rPr>
                <w:rFonts w:cstheme="minorHAnsi"/>
                <w:spacing w:val="-3"/>
                <w:sz w:val="24"/>
                <w:szCs w:val="24"/>
                <w:lang w:val="en-GB"/>
              </w:rPr>
              <w:t xml:space="preserve"> </w:t>
            </w:r>
          </w:p>
        </w:tc>
        <w:tc>
          <w:tcPr>
            <w:tcW w:w="2684" w:type="dxa"/>
          </w:tcPr>
          <w:p w14:paraId="7A863BA6" w14:textId="59773A99" w:rsidR="009C712F" w:rsidRPr="00041197" w:rsidRDefault="009C712F" w:rsidP="009C712F">
            <w:pPr>
              <w:tabs>
                <w:tab w:val="left" w:pos="-720"/>
              </w:tabs>
              <w:suppressAutoHyphens/>
              <w:jc w:val="right"/>
              <w:rPr>
                <w:rFonts w:cstheme="minorHAnsi"/>
                <w:spacing w:val="-3"/>
                <w:sz w:val="24"/>
                <w:szCs w:val="24"/>
                <w:lang w:val="en-GB"/>
              </w:rPr>
            </w:pPr>
            <w:r w:rsidRPr="00DF0635">
              <w:rPr>
                <w:rFonts w:cstheme="minorHAnsi"/>
                <w:spacing w:val="-3"/>
                <w:sz w:val="24"/>
                <w:szCs w:val="24"/>
              </w:rPr>
              <w:t>(</w:t>
            </w:r>
            <w:r w:rsidR="008C3BDD">
              <w:rPr>
                <w:rFonts w:cstheme="minorHAnsi"/>
                <w:spacing w:val="-3"/>
                <w:sz w:val="24"/>
                <w:szCs w:val="24"/>
              </w:rPr>
              <w:t>636.1</w:t>
            </w:r>
            <w:r>
              <w:rPr>
                <w:rFonts w:cstheme="minorHAnsi"/>
                <w:spacing w:val="-3"/>
                <w:sz w:val="24"/>
                <w:szCs w:val="24"/>
              </w:rPr>
              <w:t>)</w:t>
            </w:r>
          </w:p>
        </w:tc>
      </w:tr>
      <w:tr w:rsidR="009C712F" w:rsidRPr="00041197" w14:paraId="1522A5D6" w14:textId="77777777" w:rsidTr="002A10E9">
        <w:tc>
          <w:tcPr>
            <w:tcW w:w="6379" w:type="dxa"/>
          </w:tcPr>
          <w:p w14:paraId="67781298" w14:textId="77777777" w:rsidR="009C712F" w:rsidRPr="00041197" w:rsidRDefault="009C712F" w:rsidP="009C712F">
            <w:pPr>
              <w:tabs>
                <w:tab w:val="left" w:pos="-720"/>
              </w:tabs>
              <w:suppressAutoHyphens/>
              <w:jc w:val="both"/>
              <w:rPr>
                <w:rFonts w:cstheme="minorHAnsi"/>
                <w:spacing w:val="-3"/>
                <w:lang w:val="en-GB"/>
              </w:rPr>
            </w:pPr>
            <w:r w:rsidRPr="00041197">
              <w:rPr>
                <w:rFonts w:cstheme="minorHAnsi"/>
                <w:spacing w:val="-3"/>
                <w:lang w:val="en-GB"/>
              </w:rPr>
              <w:t xml:space="preserve">- </w:t>
            </w:r>
            <w:r w:rsidRPr="00395073">
              <w:rPr>
                <w:rFonts w:cstheme="minorHAnsi"/>
                <w:spacing w:val="-3"/>
                <w:sz w:val="24"/>
                <w:szCs w:val="24"/>
                <w:lang w:val="en-GB"/>
              </w:rPr>
              <w:t>Foreign exchange gains or losses</w:t>
            </w:r>
          </w:p>
        </w:tc>
        <w:tc>
          <w:tcPr>
            <w:tcW w:w="2684" w:type="dxa"/>
          </w:tcPr>
          <w:p w14:paraId="046E4390" w14:textId="689DA9CE" w:rsidR="009C712F" w:rsidRPr="00041197" w:rsidRDefault="008C3BDD" w:rsidP="009C712F">
            <w:pPr>
              <w:tabs>
                <w:tab w:val="left" w:pos="-720"/>
              </w:tabs>
              <w:suppressAutoHyphens/>
              <w:jc w:val="right"/>
              <w:rPr>
                <w:rFonts w:cstheme="minorHAnsi"/>
                <w:spacing w:val="-3"/>
                <w:sz w:val="24"/>
                <w:szCs w:val="24"/>
                <w:lang w:val="en-GB"/>
              </w:rPr>
            </w:pPr>
            <w:r>
              <w:rPr>
                <w:rFonts w:cstheme="minorHAnsi"/>
                <w:spacing w:val="-3"/>
                <w:sz w:val="24"/>
                <w:szCs w:val="24"/>
              </w:rPr>
              <w:t>74.6</w:t>
            </w:r>
          </w:p>
        </w:tc>
      </w:tr>
      <w:tr w:rsidR="009C712F" w:rsidRPr="00041197" w14:paraId="5A6B98AE" w14:textId="77777777" w:rsidTr="002A10E9">
        <w:tc>
          <w:tcPr>
            <w:tcW w:w="6379" w:type="dxa"/>
            <w:tcBorders>
              <w:bottom w:val="single" w:sz="4" w:space="0" w:color="auto"/>
            </w:tcBorders>
          </w:tcPr>
          <w:p w14:paraId="6D40B0E5" w14:textId="77777777" w:rsidR="009C712F" w:rsidRPr="00041197" w:rsidRDefault="009C712F" w:rsidP="009C712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Other calculations</w:t>
            </w:r>
            <w:r w:rsidRPr="00041197">
              <w:rPr>
                <w:rFonts w:cstheme="minorHAnsi"/>
                <w:spacing w:val="-3"/>
                <w:sz w:val="24"/>
                <w:szCs w:val="24"/>
                <w:lang w:val="en-GB"/>
              </w:rPr>
              <w:t xml:space="preserve"> *</w:t>
            </w:r>
          </w:p>
        </w:tc>
        <w:tc>
          <w:tcPr>
            <w:tcW w:w="2684" w:type="dxa"/>
            <w:tcBorders>
              <w:bottom w:val="single" w:sz="4" w:space="0" w:color="auto"/>
            </w:tcBorders>
          </w:tcPr>
          <w:p w14:paraId="65CF3D32" w14:textId="441DAA35" w:rsidR="009C712F" w:rsidRPr="00041197" w:rsidRDefault="00564AA6" w:rsidP="009C712F">
            <w:pPr>
              <w:tabs>
                <w:tab w:val="left" w:pos="-720"/>
              </w:tabs>
              <w:suppressAutoHyphens/>
              <w:jc w:val="right"/>
              <w:rPr>
                <w:rFonts w:cstheme="minorHAnsi"/>
                <w:spacing w:val="-3"/>
                <w:sz w:val="24"/>
                <w:szCs w:val="24"/>
                <w:lang w:val="en-GB"/>
              </w:rPr>
            </w:pPr>
            <w:r>
              <w:rPr>
                <w:rFonts w:cstheme="minorHAnsi"/>
                <w:spacing w:val="-3"/>
                <w:sz w:val="24"/>
                <w:szCs w:val="24"/>
              </w:rPr>
              <w:t>11.0</w:t>
            </w:r>
          </w:p>
        </w:tc>
      </w:tr>
      <w:tr w:rsidR="009C712F" w:rsidRPr="00041197" w14:paraId="091588C6" w14:textId="77777777" w:rsidTr="00431335">
        <w:tc>
          <w:tcPr>
            <w:tcW w:w="6379" w:type="dxa"/>
            <w:tcBorders>
              <w:top w:val="single" w:sz="4" w:space="0" w:color="auto"/>
            </w:tcBorders>
          </w:tcPr>
          <w:p w14:paraId="6CCD2C2A" w14:textId="77777777" w:rsidR="009C712F" w:rsidRPr="00041197" w:rsidRDefault="009C712F" w:rsidP="009C712F">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7F5369FA" w:rsidR="009C712F" w:rsidRPr="00041197" w:rsidRDefault="00564AA6" w:rsidP="009C712F">
            <w:pPr>
              <w:tabs>
                <w:tab w:val="left" w:pos="-720"/>
              </w:tabs>
              <w:suppressAutoHyphens/>
              <w:jc w:val="right"/>
              <w:rPr>
                <w:rFonts w:cstheme="minorHAnsi"/>
                <w:b/>
                <w:spacing w:val="-3"/>
                <w:sz w:val="24"/>
                <w:szCs w:val="24"/>
                <w:lang w:val="en-GB"/>
              </w:rPr>
            </w:pPr>
            <w:r>
              <w:rPr>
                <w:rFonts w:cstheme="minorHAnsi"/>
                <w:b/>
                <w:spacing w:val="-3"/>
                <w:sz w:val="24"/>
                <w:szCs w:val="24"/>
              </w:rPr>
              <w:t>(204.</w:t>
            </w:r>
            <w:r w:rsidR="000D4AAD">
              <w:rPr>
                <w:rFonts w:cstheme="minorHAnsi"/>
                <w:b/>
                <w:spacing w:val="-3"/>
                <w:sz w:val="24"/>
                <w:szCs w:val="24"/>
              </w:rPr>
              <w:t>1</w:t>
            </w:r>
            <w:r>
              <w:rPr>
                <w:rFonts w:cstheme="minorHAnsi"/>
                <w:b/>
                <w:spacing w:val="-3"/>
                <w:sz w:val="24"/>
                <w:szCs w:val="24"/>
              </w:rPr>
              <w:t>)</w:t>
            </w:r>
          </w:p>
        </w:tc>
      </w:tr>
      <w:tr w:rsidR="007221ED" w:rsidRPr="00041197" w14:paraId="1B91F25B" w14:textId="77777777" w:rsidTr="00431335">
        <w:tc>
          <w:tcPr>
            <w:tcW w:w="6379" w:type="dxa"/>
            <w:tcBorders>
              <w:top w:val="single" w:sz="4" w:space="0" w:color="auto"/>
            </w:tcBorders>
          </w:tcPr>
          <w:p w14:paraId="1A2CBFFD" w14:textId="77777777" w:rsidR="007221ED" w:rsidRPr="00041197" w:rsidRDefault="007221ED" w:rsidP="007221ED">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7221ED" w:rsidRPr="00041197" w:rsidRDefault="007221ED" w:rsidP="007221ED">
            <w:pPr>
              <w:tabs>
                <w:tab w:val="left" w:pos="-720"/>
              </w:tabs>
              <w:suppressAutoHyphens/>
              <w:jc w:val="right"/>
              <w:rPr>
                <w:rFonts w:cstheme="minorHAnsi"/>
                <w:b/>
                <w:spacing w:val="-3"/>
                <w:sz w:val="16"/>
                <w:szCs w:val="16"/>
                <w:lang w:val="en-GB"/>
              </w:rPr>
            </w:pPr>
          </w:p>
        </w:tc>
      </w:tr>
      <w:tr w:rsidR="007221ED" w:rsidRPr="00041197" w14:paraId="53EAA913" w14:textId="77777777" w:rsidTr="00431335">
        <w:tc>
          <w:tcPr>
            <w:tcW w:w="9063" w:type="dxa"/>
            <w:gridSpan w:val="2"/>
          </w:tcPr>
          <w:p w14:paraId="490B5C8F" w14:textId="77777777" w:rsidR="007221ED" w:rsidRPr="00041197" w:rsidRDefault="007221ED" w:rsidP="007221ED">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00285B71"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36BAF8A8" w14:textId="77777777" w:rsidR="006369F0" w:rsidRPr="00CD10A2" w:rsidRDefault="006369F0" w:rsidP="006369F0">
      <w:pPr>
        <w:tabs>
          <w:tab w:val="left" w:pos="709"/>
        </w:tabs>
        <w:spacing w:after="0" w:line="240" w:lineRule="auto"/>
        <w:jc w:val="both"/>
        <w:rPr>
          <w:rFonts w:ascii="Calibri" w:eastAsia="Times New Roman" w:hAnsi="Calibri" w:cs="Arial"/>
          <w:b/>
          <w:spacing w:val="-3"/>
          <w:sz w:val="24"/>
          <w:szCs w:val="24"/>
          <w:lang w:val="en-GB"/>
        </w:rPr>
      </w:pPr>
    </w:p>
    <w:p w14:paraId="0B78A9EB" w14:textId="1A7F5966"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02647C63"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030C09">
        <w:rPr>
          <w:rFonts w:eastAsia="Times New Roman" w:cs="Calibri"/>
          <w:spacing w:val="-3"/>
          <w:sz w:val="24"/>
          <w:szCs w:val="24"/>
          <w:lang w:val="en-GB" w:eastAsia="hr-HR"/>
        </w:rPr>
        <w:t>437</w:t>
      </w:r>
      <w:r>
        <w:rPr>
          <w:rFonts w:eastAsia="Times New Roman" w:cs="Calibri"/>
          <w:spacing w:val="-3"/>
          <w:sz w:val="24"/>
          <w:szCs w:val="24"/>
          <w:lang w:val="en-GB" w:eastAsia="hr-HR"/>
        </w:rPr>
        <w:t>.</w:t>
      </w:r>
      <w:r w:rsidR="00030C09">
        <w:rPr>
          <w:rFonts w:eastAsia="Times New Roman" w:cs="Calibri"/>
          <w:spacing w:val="-3"/>
          <w:sz w:val="24"/>
          <w:szCs w:val="24"/>
          <w:lang w:val="en-GB" w:eastAsia="hr-HR"/>
        </w:rPr>
        <w:t>0</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D40238" w:rsidRPr="00041197">
        <w:rPr>
          <w:rFonts w:eastAsia="Times New Roman" w:cs="Calibri"/>
          <w:spacing w:val="-3"/>
          <w:sz w:val="24"/>
          <w:szCs w:val="24"/>
          <w:lang w:val="en-GB" w:eastAsia="hr-HR"/>
        </w:rPr>
        <w:t>3</w:t>
      </w:r>
      <w:r w:rsidR="00030C09">
        <w:rPr>
          <w:rFonts w:eastAsia="Times New Roman" w:cs="Calibri"/>
          <w:spacing w:val="-3"/>
          <w:sz w:val="24"/>
          <w:szCs w:val="24"/>
          <w:lang w:val="en-GB" w:eastAsia="hr-HR"/>
        </w:rPr>
        <w:t>5</w:t>
      </w:r>
      <w:r>
        <w:rPr>
          <w:rFonts w:eastAsia="Times New Roman" w:cs="Calibri"/>
          <w:spacing w:val="-3"/>
          <w:sz w:val="24"/>
          <w:szCs w:val="24"/>
          <w:lang w:val="en-GB" w:eastAsia="hr-HR"/>
        </w:rPr>
        <w:t>.</w:t>
      </w:r>
      <w:r w:rsidR="00D40238">
        <w:rPr>
          <w:rFonts w:eastAsia="Times New Roman" w:cs="Calibri"/>
          <w:spacing w:val="-3"/>
          <w:sz w:val="24"/>
          <w:szCs w:val="24"/>
          <w:lang w:val="en-GB" w:eastAsia="hr-HR"/>
        </w:rPr>
        <w:t>5</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w:t>
      </w:r>
      <w:proofErr w:type="gramStart"/>
      <w:r w:rsidRPr="0041359D">
        <w:rPr>
          <w:rFonts w:cstheme="minorHAnsi"/>
          <w:spacing w:val="-3"/>
          <w:sz w:val="24"/>
          <w:szCs w:val="24"/>
          <w:lang w:val="en-GB"/>
        </w:rPr>
        <w:t>reserves</w:t>
      </w:r>
      <w:proofErr w:type="gramEnd"/>
      <w:r w:rsidRPr="0041359D">
        <w:rPr>
          <w:rFonts w:cstheme="minorHAnsi"/>
          <w:spacing w:val="-3"/>
          <w:sz w:val="24"/>
          <w:szCs w:val="24"/>
          <w:lang w:val="en-GB"/>
        </w:rPr>
        <w:t xml:space="preserve">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20A08DD0" w14:textId="1811C4C7" w:rsidR="00030C09" w:rsidRDefault="00030C09" w:rsidP="00030C09">
      <w:pPr>
        <w:tabs>
          <w:tab w:val="left" w:pos="-720"/>
        </w:tabs>
        <w:spacing w:after="0" w:line="240" w:lineRule="auto"/>
        <w:jc w:val="both"/>
        <w:rPr>
          <w:rFonts w:cstheme="minorHAnsi"/>
          <w:spacing w:val="-3"/>
          <w:sz w:val="24"/>
          <w:szCs w:val="24"/>
          <w:lang w:val="en-GB"/>
        </w:rPr>
      </w:pPr>
      <w:r w:rsidRPr="0041359D">
        <w:rPr>
          <w:sz w:val="24"/>
          <w:szCs w:val="24"/>
          <w:lang w:val="en"/>
        </w:rPr>
        <w:t xml:space="preserve">In the period from </w:t>
      </w:r>
      <w:r w:rsidRPr="0041359D">
        <w:rPr>
          <w:rFonts w:cstheme="minorHAnsi"/>
          <w:spacing w:val="-3"/>
          <w:sz w:val="24"/>
          <w:szCs w:val="24"/>
          <w:lang w:val="en-GB"/>
        </w:rPr>
        <w:t xml:space="preserve">1 January to </w:t>
      </w:r>
      <w:r w:rsidRPr="0041359D">
        <w:rPr>
          <w:sz w:val="24"/>
          <w:szCs w:val="24"/>
          <w:lang w:val="en-GB"/>
        </w:rPr>
        <w:t>31 March 202</w:t>
      </w:r>
      <w:r>
        <w:rPr>
          <w:sz w:val="24"/>
          <w:szCs w:val="24"/>
          <w:lang w:val="en-GB"/>
        </w:rPr>
        <w:t>1</w:t>
      </w:r>
      <w:r w:rsidRPr="0041359D">
        <w:rPr>
          <w:sz w:val="24"/>
          <w:szCs w:val="24"/>
          <w:lang w:val="en"/>
        </w:rPr>
        <w:t xml:space="preserve"> there were no payments from the State Budget of the Republic of Croatia to the founder’s capital of HBOR. </w:t>
      </w:r>
      <w:r w:rsidRPr="0041359D">
        <w:rPr>
          <w:rFonts w:cstheme="minorHAnsi"/>
          <w:spacing w:val="-3"/>
          <w:sz w:val="24"/>
          <w:szCs w:val="24"/>
          <w:lang w:val="en-GB"/>
        </w:rPr>
        <w:t>The planned contribution in 202</w:t>
      </w:r>
      <w:r>
        <w:rPr>
          <w:rFonts w:cstheme="minorHAnsi"/>
          <w:spacing w:val="-3"/>
          <w:sz w:val="24"/>
          <w:szCs w:val="24"/>
          <w:lang w:val="en-GB"/>
        </w:rPr>
        <w:t>1</w:t>
      </w:r>
      <w:r w:rsidRPr="0041359D">
        <w:rPr>
          <w:rFonts w:cstheme="minorHAnsi"/>
          <w:spacing w:val="-3"/>
          <w:sz w:val="24"/>
          <w:szCs w:val="24"/>
          <w:lang w:val="en-GB"/>
        </w:rPr>
        <w:t xml:space="preserve"> is HRK 50.0 million.</w:t>
      </w:r>
    </w:p>
    <w:p w14:paraId="7CB6C574" w14:textId="77777777" w:rsidR="00030C09" w:rsidRPr="0041359D" w:rsidRDefault="00030C09" w:rsidP="00030C09">
      <w:pPr>
        <w:tabs>
          <w:tab w:val="left" w:pos="-720"/>
        </w:tabs>
        <w:spacing w:after="0" w:line="240" w:lineRule="auto"/>
        <w:jc w:val="both"/>
        <w:rPr>
          <w:rFonts w:cstheme="minorHAnsi"/>
          <w:spacing w:val="-3"/>
          <w:sz w:val="24"/>
          <w:szCs w:val="24"/>
          <w:lang w:val="en-GB"/>
        </w:rPr>
      </w:pPr>
    </w:p>
    <w:p w14:paraId="15DB6F51" w14:textId="0AC1F811" w:rsidR="0079556D" w:rsidRPr="00FC6062" w:rsidRDefault="0079556D" w:rsidP="0079556D">
      <w:pPr>
        <w:tabs>
          <w:tab w:val="left" w:pos="-720"/>
        </w:tabs>
        <w:spacing w:after="0" w:line="240" w:lineRule="auto"/>
        <w:jc w:val="both"/>
        <w:rPr>
          <w:rFonts w:cstheme="minorHAnsi"/>
          <w:spacing w:val="-3"/>
          <w:sz w:val="24"/>
          <w:szCs w:val="24"/>
          <w:lang w:val="en-GB"/>
        </w:rPr>
      </w:pPr>
      <w:r w:rsidRPr="00FC6062">
        <w:rPr>
          <w:rFonts w:cstheme="minorHAnsi"/>
          <w:spacing w:val="-3"/>
          <w:sz w:val="24"/>
          <w:szCs w:val="24"/>
          <w:lang w:val="en-GB"/>
        </w:rPr>
        <w:t>The total amount of capital contributed from the budget of the Republic of Croatia stood at HRK 6,</w:t>
      </w:r>
      <w:r>
        <w:rPr>
          <w:rFonts w:cstheme="minorHAnsi"/>
          <w:spacing w:val="-3"/>
          <w:sz w:val="24"/>
          <w:szCs w:val="24"/>
          <w:lang w:val="en-GB"/>
        </w:rPr>
        <w:t>708</w:t>
      </w:r>
      <w:r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Pr>
          <w:rFonts w:cstheme="minorHAnsi"/>
          <w:spacing w:val="-3"/>
          <w:sz w:val="24"/>
          <w:szCs w:val="24"/>
          <w:lang w:val="en-GB"/>
        </w:rPr>
        <w:t>292</w:t>
      </w:r>
      <w:r w:rsidRPr="00FC6062">
        <w:rPr>
          <w:rFonts w:cstheme="minorHAnsi"/>
          <w:spacing w:val="-3"/>
          <w:sz w:val="24"/>
          <w:szCs w:val="24"/>
          <w:lang w:val="en-GB"/>
        </w:rPr>
        <w:t>.0 million.</w:t>
      </w:r>
    </w:p>
    <w:p w14:paraId="1E4A37FE" w14:textId="77777777" w:rsidR="0079556D" w:rsidRPr="00FC6062" w:rsidRDefault="0079556D" w:rsidP="0079556D">
      <w:pPr>
        <w:tabs>
          <w:tab w:val="left" w:pos="-720"/>
        </w:tabs>
        <w:spacing w:after="0" w:line="240" w:lineRule="auto"/>
        <w:jc w:val="both"/>
        <w:rPr>
          <w:rFonts w:cstheme="minorHAnsi"/>
          <w:spacing w:val="-3"/>
          <w:sz w:val="24"/>
          <w:szCs w:val="24"/>
          <w:lang w:val="en-GB"/>
        </w:rPr>
      </w:pP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4"/>
          <w:footerReference w:type="default" r:id="rId45"/>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6DA42425" w14:textId="763F0918" w:rsidR="00E43402" w:rsidRDefault="00E43402" w:rsidP="00762760">
      <w:pPr>
        <w:tabs>
          <w:tab w:val="left" w:pos="-720"/>
        </w:tabs>
        <w:suppressAutoHyphens/>
        <w:spacing w:after="0" w:line="240" w:lineRule="auto"/>
        <w:ind w:left="-426" w:right="-426"/>
        <w:rPr>
          <w:rFonts w:cstheme="minorHAnsi"/>
          <w:noProof/>
          <w:sz w:val="24"/>
          <w:szCs w:val="24"/>
          <w:lang w:eastAsia="hr-HR"/>
        </w:rPr>
      </w:pPr>
      <w:r w:rsidRPr="001607DE">
        <w:rPr>
          <w:rFonts w:cstheme="minorHAnsi"/>
          <w:noProof/>
          <w:sz w:val="24"/>
          <w:szCs w:val="24"/>
          <w:lang w:eastAsia="hr-HR"/>
        </w:rPr>
        <w:lastRenderedPageBreak/>
        <w:t xml:space="preserve">     </w:t>
      </w:r>
      <w:r w:rsidR="00762760">
        <w:rPr>
          <w:rFonts w:cstheme="minorHAnsi"/>
          <w:noProof/>
          <w:sz w:val="24"/>
          <w:szCs w:val="24"/>
          <w:lang w:eastAsia="hr-HR"/>
        </w:rPr>
        <w:drawing>
          <wp:inline distT="0" distB="0" distL="0" distR="0" wp14:anchorId="78B7C0E2" wp14:editId="0B8AD2EC">
            <wp:extent cx="2880000" cy="37780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80000" cy="3778040"/>
                    </a:xfrm>
                    <a:prstGeom prst="rect">
                      <a:avLst/>
                    </a:prstGeom>
                    <a:noFill/>
                  </pic:spPr>
                </pic:pic>
              </a:graphicData>
            </a:graphic>
          </wp:inline>
        </w:drawing>
      </w:r>
      <w:r w:rsidRPr="001607DE">
        <w:rPr>
          <w:rFonts w:cstheme="minorHAnsi"/>
          <w:noProof/>
          <w:sz w:val="24"/>
          <w:szCs w:val="24"/>
          <w:lang w:eastAsia="hr-HR"/>
        </w:rPr>
        <w:t xml:space="preserve"> </w:t>
      </w:r>
      <w:r w:rsidR="00762760">
        <w:rPr>
          <w:rFonts w:cstheme="minorHAnsi"/>
          <w:noProof/>
          <w:sz w:val="24"/>
          <w:szCs w:val="24"/>
          <w:lang w:eastAsia="hr-HR"/>
        </w:rPr>
        <w:t xml:space="preserve">      </w:t>
      </w:r>
      <w:r w:rsidR="00762760">
        <w:rPr>
          <w:rFonts w:cstheme="minorHAnsi"/>
          <w:noProof/>
          <w:sz w:val="24"/>
          <w:szCs w:val="24"/>
          <w:lang w:eastAsia="hr-HR"/>
        </w:rPr>
        <w:drawing>
          <wp:inline distT="0" distB="0" distL="0" distR="0" wp14:anchorId="4C4C7D6D" wp14:editId="75DB24EE">
            <wp:extent cx="2880000" cy="37780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80000" cy="3778040"/>
                    </a:xfrm>
                    <a:prstGeom prst="rect">
                      <a:avLst/>
                    </a:prstGeom>
                    <a:noFill/>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Pr="001607DE">
        <w:rPr>
          <w:rFonts w:cstheme="minorHAnsi"/>
          <w:noProof/>
          <w:sz w:val="24"/>
          <w:szCs w:val="24"/>
          <w:lang w:eastAsia="hr-HR"/>
        </w:rPr>
        <w:t xml:space="preserve">   </w:t>
      </w:r>
    </w:p>
    <w:p w14:paraId="6B4CC425" w14:textId="7B0DA4F7" w:rsidR="00762760" w:rsidRDefault="00762760" w:rsidP="00762760">
      <w:pPr>
        <w:tabs>
          <w:tab w:val="left" w:pos="-720"/>
        </w:tabs>
        <w:suppressAutoHyphens/>
        <w:spacing w:after="0" w:line="240" w:lineRule="auto"/>
        <w:ind w:left="-426" w:right="-426"/>
        <w:rPr>
          <w:rFonts w:cstheme="minorHAnsi"/>
          <w:noProof/>
          <w:sz w:val="24"/>
          <w:szCs w:val="24"/>
          <w:lang w:eastAsia="hr-HR"/>
        </w:rPr>
      </w:pPr>
    </w:p>
    <w:p w14:paraId="557E9CBA" w14:textId="287F3C7B" w:rsidR="00762760" w:rsidRDefault="00762760" w:rsidP="00762760">
      <w:pPr>
        <w:tabs>
          <w:tab w:val="left" w:pos="-720"/>
        </w:tabs>
        <w:suppressAutoHyphens/>
        <w:spacing w:after="0" w:line="240" w:lineRule="auto"/>
        <w:ind w:left="-426" w:right="-426"/>
        <w:rPr>
          <w:rFonts w:cstheme="minorHAnsi"/>
          <w:noProof/>
          <w:sz w:val="24"/>
          <w:szCs w:val="24"/>
          <w:lang w:eastAsia="hr-HR"/>
        </w:rPr>
      </w:pPr>
      <w:r w:rsidRPr="001607DE">
        <w:rPr>
          <w:rFonts w:cstheme="minorHAnsi"/>
          <w:noProof/>
          <w:sz w:val="24"/>
          <w:szCs w:val="24"/>
          <w:lang w:eastAsia="hr-HR"/>
        </w:rPr>
        <w:t xml:space="preserve">     </w:t>
      </w:r>
      <w:r w:rsidR="008D4C78">
        <w:rPr>
          <w:rFonts w:cstheme="minorHAnsi"/>
          <w:noProof/>
          <w:sz w:val="24"/>
          <w:szCs w:val="24"/>
          <w:lang w:eastAsia="hr-HR"/>
        </w:rPr>
        <w:drawing>
          <wp:inline distT="0" distB="0" distL="0" distR="0" wp14:anchorId="233D548E" wp14:editId="57546694">
            <wp:extent cx="2880000" cy="3805262"/>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0000" cy="3805262"/>
                    </a:xfrm>
                    <a:prstGeom prst="rect">
                      <a:avLst/>
                    </a:prstGeom>
                    <a:noFill/>
                  </pic:spPr>
                </pic:pic>
              </a:graphicData>
            </a:graphic>
          </wp:inline>
        </w:drawing>
      </w:r>
      <w:r>
        <w:rPr>
          <w:rFonts w:cstheme="minorHAnsi"/>
          <w:noProof/>
          <w:sz w:val="24"/>
          <w:szCs w:val="24"/>
          <w:lang w:eastAsia="hr-HR"/>
        </w:rPr>
        <w:t xml:space="preserve">       </w:t>
      </w:r>
      <w:r w:rsidR="008D4C78">
        <w:rPr>
          <w:rFonts w:cstheme="minorHAnsi"/>
          <w:noProof/>
          <w:sz w:val="24"/>
          <w:szCs w:val="24"/>
          <w:lang w:eastAsia="hr-HR"/>
        </w:rPr>
        <w:drawing>
          <wp:inline distT="0" distB="0" distL="0" distR="0" wp14:anchorId="26739639" wp14:editId="71B008C9">
            <wp:extent cx="2880000" cy="3807008"/>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0000" cy="3807008"/>
                    </a:xfrm>
                    <a:prstGeom prst="rect">
                      <a:avLst/>
                    </a:prstGeom>
                    <a:noFill/>
                  </pic:spPr>
                </pic:pic>
              </a:graphicData>
            </a:graphic>
          </wp:inline>
        </w:drawing>
      </w: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 xml:space="preserve">Foreclosed </w:t>
      </w:r>
      <w:proofErr w:type="gramStart"/>
      <w:r w:rsidR="001607DE" w:rsidRPr="001607DE">
        <w:rPr>
          <w:rFonts w:eastAsia="Times New Roman" w:cs="Calibri"/>
          <w:color w:val="7F7F7F" w:themeColor="text1" w:themeTint="80"/>
          <w:spacing w:val="-3"/>
          <w:sz w:val="20"/>
          <w:szCs w:val="20"/>
          <w:lang w:val="en-GB" w:eastAsia="hr-HR"/>
        </w:rPr>
        <w:t>assets</w:t>
      </w:r>
      <w:proofErr w:type="gramEnd"/>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4A9B0E8"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963265">
        <w:rPr>
          <w:rFonts w:eastAsia="Times New Roman" w:cs="Calibri"/>
          <w:color w:val="7F7F7F" w:themeColor="text1" w:themeTint="80"/>
          <w:spacing w:val="-3"/>
          <w:sz w:val="20"/>
          <w:szCs w:val="20"/>
          <w:lang w:val="en-GB" w:eastAsia="hr-HR"/>
        </w:rPr>
        <w:t>Other liabilities, P</w:t>
      </w:r>
      <w:r w:rsidR="007446A8" w:rsidRPr="007446A8">
        <w:rPr>
          <w:rFonts w:eastAsia="Times New Roman" w:cs="Calibri"/>
          <w:color w:val="7F7F7F" w:themeColor="text1" w:themeTint="80"/>
          <w:spacing w:val="-3"/>
          <w:sz w:val="20"/>
          <w:szCs w:val="20"/>
          <w:lang w:val="en-GB" w:eastAsia="hr-HR"/>
        </w:rPr>
        <w:t>rovisioning for guarantees</w:t>
      </w:r>
      <w:r w:rsidR="007446A8" w:rsidRPr="002A10E9">
        <w:rPr>
          <w:rFonts w:eastAsia="Times New Roman" w:cs="Calibri"/>
          <w:color w:val="7F7F7F" w:themeColor="text1" w:themeTint="80"/>
          <w:spacing w:val="-3"/>
          <w:sz w:val="20"/>
          <w:szCs w:val="20"/>
          <w:lang w:val="en-GB" w:eastAsia="hr-HR"/>
        </w:rPr>
        <w:t xml:space="preserve">, </w:t>
      </w:r>
      <w:proofErr w:type="gramStart"/>
      <w:r w:rsidR="007446A8" w:rsidRPr="007446A8">
        <w:rPr>
          <w:rFonts w:eastAsia="Times New Roman" w:cs="Calibri"/>
          <w:color w:val="7F7F7F" w:themeColor="text1" w:themeTint="80"/>
          <w:spacing w:val="-3"/>
          <w:sz w:val="20"/>
          <w:szCs w:val="20"/>
          <w:lang w:val="en-GB" w:eastAsia="hr-HR"/>
        </w:rPr>
        <w:t>commitments</w:t>
      </w:r>
      <w:proofErr w:type="gramEnd"/>
      <w:r w:rsidR="007446A8" w:rsidRPr="007446A8">
        <w:rPr>
          <w:rFonts w:eastAsia="Times New Roman" w:cs="Calibri"/>
          <w:color w:val="7F7F7F" w:themeColor="text1" w:themeTint="80"/>
          <w:spacing w:val="-3"/>
          <w:sz w:val="20"/>
          <w:szCs w:val="20"/>
          <w:lang w:val="en-GB" w:eastAsia="hr-HR"/>
        </w:rPr>
        <w:t xml:space="preserve">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20F15" w14:textId="77777777" w:rsidR="007013FB" w:rsidRDefault="007013FB" w:rsidP="00AE35D1">
      <w:pPr>
        <w:spacing w:after="0" w:line="240" w:lineRule="auto"/>
      </w:pPr>
      <w:r>
        <w:separator/>
      </w:r>
    </w:p>
  </w:endnote>
  <w:endnote w:type="continuationSeparator" w:id="0">
    <w:p w14:paraId="5CD94DF8" w14:textId="77777777" w:rsidR="007013FB" w:rsidRDefault="007013FB"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B22D" w14:textId="77777777" w:rsidR="007013FB" w:rsidRPr="00290697" w:rsidRDefault="007013FB">
    <w:pPr>
      <w:pStyle w:val="Footer"/>
      <w:jc w:val="center"/>
      <w:rPr>
        <w:sz w:val="18"/>
        <w:szCs w:val="18"/>
      </w:rPr>
    </w:pPr>
  </w:p>
  <w:p w14:paraId="18F52D96" w14:textId="77777777" w:rsidR="007013FB" w:rsidRPr="000E7285" w:rsidRDefault="007013FB"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7013FB" w:rsidRDefault="007013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5F5A" w14:textId="48BD62AF"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740BE080" w14:textId="77777777" w:rsidR="007013FB" w:rsidRDefault="007013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9356" w14:textId="5223C20F" w:rsidR="007013FB" w:rsidRPr="000E7285" w:rsidRDefault="007013FB"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F123C5C" w14:textId="77777777" w:rsidR="007013FB" w:rsidRDefault="007013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46CE" w14:textId="4E27601C" w:rsidR="007013FB" w:rsidRPr="000E7285" w:rsidRDefault="007013FB"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1E34399" w14:textId="77777777" w:rsidR="007013FB" w:rsidRDefault="007013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2D60" w14:textId="054FD218" w:rsidR="007013FB" w:rsidRPr="000E7285" w:rsidRDefault="007013FB"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9C27D23" w14:textId="77777777" w:rsidR="007013FB" w:rsidRDefault="007013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3A1C" w14:textId="2531347D"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72F5249A" w14:textId="77777777" w:rsidR="007013FB" w:rsidRDefault="007013F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BAC1" w14:textId="7851A251"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17237B3F" w14:textId="77777777" w:rsidR="007013FB" w:rsidRDefault="007013FB"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281A" w14:textId="4719F308"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3AEA5991" w14:textId="77777777" w:rsidR="007013FB" w:rsidRDefault="007013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5783" w14:textId="4D769C32" w:rsidR="007013FB" w:rsidRPr="002C64CB" w:rsidRDefault="007013FB"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16</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6591980" w14:textId="77777777" w:rsidR="007013FB" w:rsidRDefault="0070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4E1B" w14:textId="53F90080" w:rsidR="007013FB" w:rsidRPr="000E7285" w:rsidRDefault="007013FB"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287955CD" w14:textId="77777777" w:rsidR="007013FB" w:rsidRDefault="0070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1488" w14:textId="77777777" w:rsidR="007013FB" w:rsidRPr="00290697" w:rsidRDefault="007013FB">
    <w:pPr>
      <w:pStyle w:val="Footer"/>
      <w:jc w:val="center"/>
      <w:rPr>
        <w:sz w:val="18"/>
        <w:szCs w:val="18"/>
      </w:rPr>
    </w:pPr>
  </w:p>
  <w:p w14:paraId="3BA78970" w14:textId="586F887A" w:rsidR="007013FB" w:rsidRPr="000E7285" w:rsidRDefault="007013FB"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7013FB" w:rsidRDefault="00701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8B67" w14:textId="447775D6" w:rsidR="007013FB" w:rsidRPr="000E7285" w:rsidRDefault="007013FB"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3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2D17F451" w14:textId="77777777" w:rsidR="007013FB" w:rsidRDefault="007013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9F44" w14:textId="65B2E895" w:rsidR="007013FB" w:rsidRPr="000E7285" w:rsidRDefault="007013FB"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4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1202C6A7" w14:textId="77777777" w:rsidR="007013FB" w:rsidRDefault="007013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9A46" w14:textId="36A3DA0D" w:rsidR="007013FB" w:rsidRPr="000E7285" w:rsidRDefault="007013FB"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for </w:t>
    </w:r>
    <w:r w:rsidRPr="006A2C02">
      <w:rPr>
        <w:rFonts w:eastAsia="Times New Roman" w:cs="Arial"/>
        <w:sz w:val="19"/>
        <w:szCs w:val="19"/>
        <w:lang w:val="en-GB"/>
      </w:rPr>
      <w:t>Reconstruction and Development</w:t>
    </w:r>
  </w:p>
  <w:p w14:paraId="740C5601" w14:textId="77777777" w:rsidR="007013FB" w:rsidRDefault="007013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5676" w14:textId="24D8DDB4" w:rsidR="007013FB" w:rsidRPr="000E7285" w:rsidRDefault="007013FB"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434D46C" w14:textId="77777777" w:rsidR="007013FB" w:rsidRDefault="007013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E3FB" w14:textId="4C9BC8A2"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Pr>
        <w:rFonts w:eastAsia="Times New Roman" w:cs="Arial"/>
        <w:sz w:val="19"/>
        <w:szCs w:val="19"/>
      </w:rPr>
      <w:t xml:space="preserve"> </w:t>
    </w:r>
    <w:r w:rsidRPr="00442490">
      <w:rPr>
        <w:rFonts w:eastAsia="Times New Roman" w:cs="Arial"/>
        <w:sz w:val="19"/>
        <w:szCs w:val="19"/>
      </w:rPr>
      <w:t>Croatian Bank for Reconstruction and Development</w:t>
    </w:r>
  </w:p>
  <w:p w14:paraId="452EDA3E" w14:textId="77777777" w:rsidR="007013FB" w:rsidRDefault="007013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A73" w14:textId="5C8F9222" w:rsidR="007013FB" w:rsidRPr="000E7285" w:rsidRDefault="007013FB"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6A4BDC2F" w14:textId="77777777" w:rsidR="007013FB" w:rsidRDefault="0070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E4A03" w14:textId="77777777" w:rsidR="007013FB" w:rsidRDefault="007013FB" w:rsidP="00AE35D1">
      <w:pPr>
        <w:spacing w:after="0" w:line="240" w:lineRule="auto"/>
      </w:pPr>
      <w:r>
        <w:separator/>
      </w:r>
    </w:p>
  </w:footnote>
  <w:footnote w:type="continuationSeparator" w:id="0">
    <w:p w14:paraId="27D54F46" w14:textId="77777777" w:rsidR="007013FB" w:rsidRDefault="007013FB"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51B2" w14:textId="77777777" w:rsidR="007013FB" w:rsidRDefault="00701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A79"/>
    <w:rsid w:val="00002FB6"/>
    <w:rsid w:val="00005E96"/>
    <w:rsid w:val="00006EF5"/>
    <w:rsid w:val="00011681"/>
    <w:rsid w:val="0001281B"/>
    <w:rsid w:val="0001297D"/>
    <w:rsid w:val="00013CB8"/>
    <w:rsid w:val="0001410A"/>
    <w:rsid w:val="000149E9"/>
    <w:rsid w:val="00015A3C"/>
    <w:rsid w:val="00022C04"/>
    <w:rsid w:val="00022EB0"/>
    <w:rsid w:val="000241D5"/>
    <w:rsid w:val="000244BE"/>
    <w:rsid w:val="000250FE"/>
    <w:rsid w:val="00030C09"/>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4298"/>
    <w:rsid w:val="000562A8"/>
    <w:rsid w:val="00057C14"/>
    <w:rsid w:val="000617E0"/>
    <w:rsid w:val="00062A07"/>
    <w:rsid w:val="00062E57"/>
    <w:rsid w:val="000660E7"/>
    <w:rsid w:val="000668CE"/>
    <w:rsid w:val="00067D16"/>
    <w:rsid w:val="00072C81"/>
    <w:rsid w:val="00073263"/>
    <w:rsid w:val="000737D9"/>
    <w:rsid w:val="000743E9"/>
    <w:rsid w:val="00075515"/>
    <w:rsid w:val="00075D3D"/>
    <w:rsid w:val="00077216"/>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FE6"/>
    <w:rsid w:val="000B56CC"/>
    <w:rsid w:val="000B7946"/>
    <w:rsid w:val="000B7E5F"/>
    <w:rsid w:val="000C2B06"/>
    <w:rsid w:val="000C3336"/>
    <w:rsid w:val="000C63F0"/>
    <w:rsid w:val="000C64D3"/>
    <w:rsid w:val="000C7868"/>
    <w:rsid w:val="000D41C4"/>
    <w:rsid w:val="000D4AAD"/>
    <w:rsid w:val="000D555D"/>
    <w:rsid w:val="000D7ADE"/>
    <w:rsid w:val="000E13CC"/>
    <w:rsid w:val="000E279A"/>
    <w:rsid w:val="000E3A01"/>
    <w:rsid w:val="000E4ABB"/>
    <w:rsid w:val="000E4B17"/>
    <w:rsid w:val="000E7285"/>
    <w:rsid w:val="000F04E1"/>
    <w:rsid w:val="000F09ED"/>
    <w:rsid w:val="000F54DA"/>
    <w:rsid w:val="000F59D5"/>
    <w:rsid w:val="000F670B"/>
    <w:rsid w:val="000F7480"/>
    <w:rsid w:val="001002A2"/>
    <w:rsid w:val="0010063A"/>
    <w:rsid w:val="001014AC"/>
    <w:rsid w:val="00102A38"/>
    <w:rsid w:val="00105122"/>
    <w:rsid w:val="00105C1F"/>
    <w:rsid w:val="001101C0"/>
    <w:rsid w:val="00111FB4"/>
    <w:rsid w:val="0011250C"/>
    <w:rsid w:val="0011293B"/>
    <w:rsid w:val="00113256"/>
    <w:rsid w:val="00117841"/>
    <w:rsid w:val="00122A35"/>
    <w:rsid w:val="001230A2"/>
    <w:rsid w:val="00124861"/>
    <w:rsid w:val="0012542F"/>
    <w:rsid w:val="00127810"/>
    <w:rsid w:val="001278F0"/>
    <w:rsid w:val="001312B5"/>
    <w:rsid w:val="001314B6"/>
    <w:rsid w:val="001320B3"/>
    <w:rsid w:val="001320FF"/>
    <w:rsid w:val="00132877"/>
    <w:rsid w:val="001330BD"/>
    <w:rsid w:val="0013477D"/>
    <w:rsid w:val="00135644"/>
    <w:rsid w:val="0013644E"/>
    <w:rsid w:val="001366A2"/>
    <w:rsid w:val="00140D1A"/>
    <w:rsid w:val="00141B29"/>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752"/>
    <w:rsid w:val="0018376E"/>
    <w:rsid w:val="0018377C"/>
    <w:rsid w:val="00184C66"/>
    <w:rsid w:val="00187D89"/>
    <w:rsid w:val="00192218"/>
    <w:rsid w:val="00192451"/>
    <w:rsid w:val="00192762"/>
    <w:rsid w:val="00192D81"/>
    <w:rsid w:val="0019558E"/>
    <w:rsid w:val="001966AA"/>
    <w:rsid w:val="00197E06"/>
    <w:rsid w:val="001A05CD"/>
    <w:rsid w:val="001A0A37"/>
    <w:rsid w:val="001A18BF"/>
    <w:rsid w:val="001A2189"/>
    <w:rsid w:val="001A2E50"/>
    <w:rsid w:val="001A41FE"/>
    <w:rsid w:val="001A4847"/>
    <w:rsid w:val="001A60B3"/>
    <w:rsid w:val="001A621E"/>
    <w:rsid w:val="001A6402"/>
    <w:rsid w:val="001A6968"/>
    <w:rsid w:val="001A7302"/>
    <w:rsid w:val="001B0533"/>
    <w:rsid w:val="001B0B2A"/>
    <w:rsid w:val="001B0E3E"/>
    <w:rsid w:val="001B1A65"/>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329C"/>
    <w:rsid w:val="001E4CD2"/>
    <w:rsid w:val="001F19FB"/>
    <w:rsid w:val="001F28BE"/>
    <w:rsid w:val="001F5041"/>
    <w:rsid w:val="001F5378"/>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FD3"/>
    <w:rsid w:val="002211A4"/>
    <w:rsid w:val="00221BB0"/>
    <w:rsid w:val="00221E48"/>
    <w:rsid w:val="002237F3"/>
    <w:rsid w:val="00223DA7"/>
    <w:rsid w:val="002260BD"/>
    <w:rsid w:val="00226C6E"/>
    <w:rsid w:val="002277BB"/>
    <w:rsid w:val="00232DB9"/>
    <w:rsid w:val="00234396"/>
    <w:rsid w:val="00236FE9"/>
    <w:rsid w:val="002417E1"/>
    <w:rsid w:val="00244B32"/>
    <w:rsid w:val="00244FF9"/>
    <w:rsid w:val="00245666"/>
    <w:rsid w:val="00246384"/>
    <w:rsid w:val="0024653F"/>
    <w:rsid w:val="002563D1"/>
    <w:rsid w:val="00257EE2"/>
    <w:rsid w:val="00264224"/>
    <w:rsid w:val="0026752C"/>
    <w:rsid w:val="00270525"/>
    <w:rsid w:val="002714FC"/>
    <w:rsid w:val="00272CA5"/>
    <w:rsid w:val="00273E6D"/>
    <w:rsid w:val="002744E8"/>
    <w:rsid w:val="0027532B"/>
    <w:rsid w:val="002754A5"/>
    <w:rsid w:val="0027566F"/>
    <w:rsid w:val="00275D45"/>
    <w:rsid w:val="0027798B"/>
    <w:rsid w:val="00277B1C"/>
    <w:rsid w:val="00280418"/>
    <w:rsid w:val="00280FD9"/>
    <w:rsid w:val="00282E66"/>
    <w:rsid w:val="002834B1"/>
    <w:rsid w:val="00285B02"/>
    <w:rsid w:val="00285B71"/>
    <w:rsid w:val="00285E1B"/>
    <w:rsid w:val="00290697"/>
    <w:rsid w:val="002910FC"/>
    <w:rsid w:val="002915DB"/>
    <w:rsid w:val="00292D67"/>
    <w:rsid w:val="00292FAF"/>
    <w:rsid w:val="002969B8"/>
    <w:rsid w:val="002A0507"/>
    <w:rsid w:val="002A10E9"/>
    <w:rsid w:val="002A38D0"/>
    <w:rsid w:val="002A599E"/>
    <w:rsid w:val="002B1A0D"/>
    <w:rsid w:val="002B3CC1"/>
    <w:rsid w:val="002B45D9"/>
    <w:rsid w:val="002B4AC1"/>
    <w:rsid w:val="002B6016"/>
    <w:rsid w:val="002B782C"/>
    <w:rsid w:val="002B795F"/>
    <w:rsid w:val="002B7D68"/>
    <w:rsid w:val="002C11A1"/>
    <w:rsid w:val="002C1BF3"/>
    <w:rsid w:val="002C3634"/>
    <w:rsid w:val="002C48CB"/>
    <w:rsid w:val="002C4FED"/>
    <w:rsid w:val="002C547A"/>
    <w:rsid w:val="002C64CB"/>
    <w:rsid w:val="002D16B7"/>
    <w:rsid w:val="002D1C76"/>
    <w:rsid w:val="002D23C5"/>
    <w:rsid w:val="002D3BA1"/>
    <w:rsid w:val="002D5848"/>
    <w:rsid w:val="002D5C34"/>
    <w:rsid w:val="002E121E"/>
    <w:rsid w:val="002E269E"/>
    <w:rsid w:val="002E6DE1"/>
    <w:rsid w:val="002E7EA9"/>
    <w:rsid w:val="002F0A29"/>
    <w:rsid w:val="002F0E4A"/>
    <w:rsid w:val="002F28C8"/>
    <w:rsid w:val="002F4419"/>
    <w:rsid w:val="002F52CD"/>
    <w:rsid w:val="002F66C5"/>
    <w:rsid w:val="0030186D"/>
    <w:rsid w:val="0030270F"/>
    <w:rsid w:val="00304DC3"/>
    <w:rsid w:val="00304FB3"/>
    <w:rsid w:val="0030575E"/>
    <w:rsid w:val="00306D3A"/>
    <w:rsid w:val="00306F85"/>
    <w:rsid w:val="00310146"/>
    <w:rsid w:val="00310F96"/>
    <w:rsid w:val="003132C3"/>
    <w:rsid w:val="00317B07"/>
    <w:rsid w:val="00317B7A"/>
    <w:rsid w:val="00317F7D"/>
    <w:rsid w:val="00320B48"/>
    <w:rsid w:val="003213D1"/>
    <w:rsid w:val="003222CF"/>
    <w:rsid w:val="003234B8"/>
    <w:rsid w:val="00324025"/>
    <w:rsid w:val="00324D27"/>
    <w:rsid w:val="00331D90"/>
    <w:rsid w:val="00331DF5"/>
    <w:rsid w:val="0033403B"/>
    <w:rsid w:val="003358AA"/>
    <w:rsid w:val="003378CD"/>
    <w:rsid w:val="003439D3"/>
    <w:rsid w:val="00344F38"/>
    <w:rsid w:val="00346285"/>
    <w:rsid w:val="00347BB2"/>
    <w:rsid w:val="003513FA"/>
    <w:rsid w:val="003516A1"/>
    <w:rsid w:val="0035238F"/>
    <w:rsid w:val="0035268A"/>
    <w:rsid w:val="003571A2"/>
    <w:rsid w:val="003571EC"/>
    <w:rsid w:val="003603A1"/>
    <w:rsid w:val="003661CA"/>
    <w:rsid w:val="00366BCB"/>
    <w:rsid w:val="00366CEB"/>
    <w:rsid w:val="00370E5A"/>
    <w:rsid w:val="00371E4D"/>
    <w:rsid w:val="003727B4"/>
    <w:rsid w:val="00373304"/>
    <w:rsid w:val="00373D3F"/>
    <w:rsid w:val="00374300"/>
    <w:rsid w:val="00375495"/>
    <w:rsid w:val="0037736C"/>
    <w:rsid w:val="0038011D"/>
    <w:rsid w:val="00383965"/>
    <w:rsid w:val="003847CF"/>
    <w:rsid w:val="003869DA"/>
    <w:rsid w:val="00386C27"/>
    <w:rsid w:val="00392C03"/>
    <w:rsid w:val="00393647"/>
    <w:rsid w:val="003979AE"/>
    <w:rsid w:val="003A289A"/>
    <w:rsid w:val="003A36A8"/>
    <w:rsid w:val="003A411B"/>
    <w:rsid w:val="003A76BC"/>
    <w:rsid w:val="003B22E8"/>
    <w:rsid w:val="003B25C7"/>
    <w:rsid w:val="003C1A73"/>
    <w:rsid w:val="003C574B"/>
    <w:rsid w:val="003C5F0E"/>
    <w:rsid w:val="003C7367"/>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38D1"/>
    <w:rsid w:val="004065CD"/>
    <w:rsid w:val="004066BD"/>
    <w:rsid w:val="00410152"/>
    <w:rsid w:val="0041096C"/>
    <w:rsid w:val="0041359D"/>
    <w:rsid w:val="00414463"/>
    <w:rsid w:val="00414491"/>
    <w:rsid w:val="00414FB4"/>
    <w:rsid w:val="00416526"/>
    <w:rsid w:val="00416F51"/>
    <w:rsid w:val="00417B56"/>
    <w:rsid w:val="00420392"/>
    <w:rsid w:val="0042106D"/>
    <w:rsid w:val="00422588"/>
    <w:rsid w:val="00422C5C"/>
    <w:rsid w:val="00424307"/>
    <w:rsid w:val="00425395"/>
    <w:rsid w:val="00425C36"/>
    <w:rsid w:val="00426055"/>
    <w:rsid w:val="00427B00"/>
    <w:rsid w:val="00427B54"/>
    <w:rsid w:val="00431335"/>
    <w:rsid w:val="004317DB"/>
    <w:rsid w:val="00431B44"/>
    <w:rsid w:val="004343FA"/>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1F7"/>
    <w:rsid w:val="0048635F"/>
    <w:rsid w:val="00486FCF"/>
    <w:rsid w:val="00494386"/>
    <w:rsid w:val="00494449"/>
    <w:rsid w:val="00496BFE"/>
    <w:rsid w:val="004A208B"/>
    <w:rsid w:val="004A2189"/>
    <w:rsid w:val="004A5658"/>
    <w:rsid w:val="004B02BC"/>
    <w:rsid w:val="004B339A"/>
    <w:rsid w:val="004C00E3"/>
    <w:rsid w:val="004C0C3A"/>
    <w:rsid w:val="004C4CAA"/>
    <w:rsid w:val="004C5C55"/>
    <w:rsid w:val="004C6F63"/>
    <w:rsid w:val="004C7CD7"/>
    <w:rsid w:val="004D585C"/>
    <w:rsid w:val="004D7EAF"/>
    <w:rsid w:val="004E082D"/>
    <w:rsid w:val="004E0E04"/>
    <w:rsid w:val="004E1E60"/>
    <w:rsid w:val="004E4CD5"/>
    <w:rsid w:val="004E588A"/>
    <w:rsid w:val="004E58D3"/>
    <w:rsid w:val="004F3415"/>
    <w:rsid w:val="004F726B"/>
    <w:rsid w:val="005014DC"/>
    <w:rsid w:val="00502A0A"/>
    <w:rsid w:val="00503167"/>
    <w:rsid w:val="0050347C"/>
    <w:rsid w:val="00504C3A"/>
    <w:rsid w:val="00505702"/>
    <w:rsid w:val="005106BC"/>
    <w:rsid w:val="00514881"/>
    <w:rsid w:val="005201C6"/>
    <w:rsid w:val="00520922"/>
    <w:rsid w:val="00520D37"/>
    <w:rsid w:val="005236B6"/>
    <w:rsid w:val="00523B40"/>
    <w:rsid w:val="00525A6E"/>
    <w:rsid w:val="00527F1B"/>
    <w:rsid w:val="00530BDD"/>
    <w:rsid w:val="00531434"/>
    <w:rsid w:val="00531C98"/>
    <w:rsid w:val="005320C3"/>
    <w:rsid w:val="00532BBD"/>
    <w:rsid w:val="00534E9C"/>
    <w:rsid w:val="00536FBE"/>
    <w:rsid w:val="005371EE"/>
    <w:rsid w:val="00544A1D"/>
    <w:rsid w:val="00551AFB"/>
    <w:rsid w:val="005522A6"/>
    <w:rsid w:val="0055291F"/>
    <w:rsid w:val="00555F2D"/>
    <w:rsid w:val="0056041B"/>
    <w:rsid w:val="005609E5"/>
    <w:rsid w:val="00562C3A"/>
    <w:rsid w:val="00564AA6"/>
    <w:rsid w:val="005654E7"/>
    <w:rsid w:val="00567460"/>
    <w:rsid w:val="00572377"/>
    <w:rsid w:val="005744F8"/>
    <w:rsid w:val="00576D51"/>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0A31"/>
    <w:rsid w:val="005B143F"/>
    <w:rsid w:val="005B3188"/>
    <w:rsid w:val="005B58C5"/>
    <w:rsid w:val="005B5C42"/>
    <w:rsid w:val="005B7AB5"/>
    <w:rsid w:val="005C047B"/>
    <w:rsid w:val="005C0CE8"/>
    <w:rsid w:val="005C1D07"/>
    <w:rsid w:val="005C2F63"/>
    <w:rsid w:val="005C324A"/>
    <w:rsid w:val="005C6BB4"/>
    <w:rsid w:val="005D019F"/>
    <w:rsid w:val="005D3904"/>
    <w:rsid w:val="005D4178"/>
    <w:rsid w:val="005D453B"/>
    <w:rsid w:val="005D4C16"/>
    <w:rsid w:val="005D559F"/>
    <w:rsid w:val="005D5AFF"/>
    <w:rsid w:val="005D5D73"/>
    <w:rsid w:val="005D71A4"/>
    <w:rsid w:val="005E0386"/>
    <w:rsid w:val="005E236B"/>
    <w:rsid w:val="005E2D42"/>
    <w:rsid w:val="005E2D7A"/>
    <w:rsid w:val="005E2E17"/>
    <w:rsid w:val="005E471B"/>
    <w:rsid w:val="005E4AC8"/>
    <w:rsid w:val="005E5574"/>
    <w:rsid w:val="005E6C3C"/>
    <w:rsid w:val="005E7AFD"/>
    <w:rsid w:val="005F0AE9"/>
    <w:rsid w:val="005F39E1"/>
    <w:rsid w:val="005F46EF"/>
    <w:rsid w:val="005F627E"/>
    <w:rsid w:val="005F6F84"/>
    <w:rsid w:val="005F7270"/>
    <w:rsid w:val="005F78AB"/>
    <w:rsid w:val="006003B1"/>
    <w:rsid w:val="00601BA3"/>
    <w:rsid w:val="00602844"/>
    <w:rsid w:val="00603925"/>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08BB"/>
    <w:rsid w:val="00661C0B"/>
    <w:rsid w:val="00662B68"/>
    <w:rsid w:val="00662C57"/>
    <w:rsid w:val="00665089"/>
    <w:rsid w:val="00665728"/>
    <w:rsid w:val="006672AE"/>
    <w:rsid w:val="00667312"/>
    <w:rsid w:val="00671E0F"/>
    <w:rsid w:val="006738F5"/>
    <w:rsid w:val="00676976"/>
    <w:rsid w:val="00677B6F"/>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16"/>
    <w:rsid w:val="006B3F2F"/>
    <w:rsid w:val="006B44F9"/>
    <w:rsid w:val="006B531C"/>
    <w:rsid w:val="006B7572"/>
    <w:rsid w:val="006C6102"/>
    <w:rsid w:val="006C6A89"/>
    <w:rsid w:val="006D614F"/>
    <w:rsid w:val="006D63F0"/>
    <w:rsid w:val="006E3E83"/>
    <w:rsid w:val="006E54A3"/>
    <w:rsid w:val="006F1D30"/>
    <w:rsid w:val="006F26D9"/>
    <w:rsid w:val="006F2B22"/>
    <w:rsid w:val="006F535B"/>
    <w:rsid w:val="007004E5"/>
    <w:rsid w:val="00700998"/>
    <w:rsid w:val="00700ED8"/>
    <w:rsid w:val="007013FB"/>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5255"/>
    <w:rsid w:val="0075772D"/>
    <w:rsid w:val="00761417"/>
    <w:rsid w:val="00762760"/>
    <w:rsid w:val="00765976"/>
    <w:rsid w:val="00765AC6"/>
    <w:rsid w:val="007667DB"/>
    <w:rsid w:val="0076739E"/>
    <w:rsid w:val="00767E36"/>
    <w:rsid w:val="0077024A"/>
    <w:rsid w:val="00777891"/>
    <w:rsid w:val="00777D96"/>
    <w:rsid w:val="00781556"/>
    <w:rsid w:val="00783A4F"/>
    <w:rsid w:val="00783AEC"/>
    <w:rsid w:val="00784F6E"/>
    <w:rsid w:val="007859D5"/>
    <w:rsid w:val="00786303"/>
    <w:rsid w:val="007866A7"/>
    <w:rsid w:val="00786C65"/>
    <w:rsid w:val="007937A8"/>
    <w:rsid w:val="00794772"/>
    <w:rsid w:val="0079556D"/>
    <w:rsid w:val="007955CC"/>
    <w:rsid w:val="00796388"/>
    <w:rsid w:val="00797994"/>
    <w:rsid w:val="00797BC9"/>
    <w:rsid w:val="007A13D3"/>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E7492"/>
    <w:rsid w:val="007F1E67"/>
    <w:rsid w:val="007F3257"/>
    <w:rsid w:val="007F3D20"/>
    <w:rsid w:val="007F3DA5"/>
    <w:rsid w:val="007F5394"/>
    <w:rsid w:val="007F60A8"/>
    <w:rsid w:val="0080046D"/>
    <w:rsid w:val="00801EB8"/>
    <w:rsid w:val="00804698"/>
    <w:rsid w:val="008047C6"/>
    <w:rsid w:val="00807D5B"/>
    <w:rsid w:val="00810A4B"/>
    <w:rsid w:val="00810E4D"/>
    <w:rsid w:val="008117C3"/>
    <w:rsid w:val="00811935"/>
    <w:rsid w:val="0081235D"/>
    <w:rsid w:val="00821087"/>
    <w:rsid w:val="00822F9F"/>
    <w:rsid w:val="008314DF"/>
    <w:rsid w:val="00833BDB"/>
    <w:rsid w:val="008340CD"/>
    <w:rsid w:val="00835BFB"/>
    <w:rsid w:val="00836038"/>
    <w:rsid w:val="00837123"/>
    <w:rsid w:val="008374B8"/>
    <w:rsid w:val="00841D3F"/>
    <w:rsid w:val="00842C40"/>
    <w:rsid w:val="00847298"/>
    <w:rsid w:val="00847EFF"/>
    <w:rsid w:val="008506C4"/>
    <w:rsid w:val="0085080A"/>
    <w:rsid w:val="00853613"/>
    <w:rsid w:val="00855C93"/>
    <w:rsid w:val="008560DB"/>
    <w:rsid w:val="0085643B"/>
    <w:rsid w:val="00856A4D"/>
    <w:rsid w:val="00857DE2"/>
    <w:rsid w:val="00857E8B"/>
    <w:rsid w:val="008646D7"/>
    <w:rsid w:val="00864CDC"/>
    <w:rsid w:val="00867F86"/>
    <w:rsid w:val="00871618"/>
    <w:rsid w:val="00871BFC"/>
    <w:rsid w:val="00872418"/>
    <w:rsid w:val="0087260B"/>
    <w:rsid w:val="00872C56"/>
    <w:rsid w:val="008748A6"/>
    <w:rsid w:val="00875B03"/>
    <w:rsid w:val="00880354"/>
    <w:rsid w:val="00884FF3"/>
    <w:rsid w:val="00886818"/>
    <w:rsid w:val="008908EE"/>
    <w:rsid w:val="008909B3"/>
    <w:rsid w:val="0089170B"/>
    <w:rsid w:val="0089181E"/>
    <w:rsid w:val="00893743"/>
    <w:rsid w:val="008940CA"/>
    <w:rsid w:val="0089707B"/>
    <w:rsid w:val="008A048B"/>
    <w:rsid w:val="008A1CA5"/>
    <w:rsid w:val="008A2936"/>
    <w:rsid w:val="008A29AA"/>
    <w:rsid w:val="008A7B17"/>
    <w:rsid w:val="008B03DC"/>
    <w:rsid w:val="008B18AE"/>
    <w:rsid w:val="008B47FA"/>
    <w:rsid w:val="008C0488"/>
    <w:rsid w:val="008C05EC"/>
    <w:rsid w:val="008C2923"/>
    <w:rsid w:val="008C3BDD"/>
    <w:rsid w:val="008C3E02"/>
    <w:rsid w:val="008C5513"/>
    <w:rsid w:val="008C5B68"/>
    <w:rsid w:val="008C6CBC"/>
    <w:rsid w:val="008C6E0E"/>
    <w:rsid w:val="008C7242"/>
    <w:rsid w:val="008D0A9C"/>
    <w:rsid w:val="008D2B4D"/>
    <w:rsid w:val="008D2EE6"/>
    <w:rsid w:val="008D4255"/>
    <w:rsid w:val="008D4C78"/>
    <w:rsid w:val="008D5E7E"/>
    <w:rsid w:val="008D71E9"/>
    <w:rsid w:val="008E2648"/>
    <w:rsid w:val="008E3305"/>
    <w:rsid w:val="008E3982"/>
    <w:rsid w:val="008E3ABC"/>
    <w:rsid w:val="008E433D"/>
    <w:rsid w:val="008E662D"/>
    <w:rsid w:val="008E7584"/>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765"/>
    <w:rsid w:val="00917ABC"/>
    <w:rsid w:val="0092128B"/>
    <w:rsid w:val="00921839"/>
    <w:rsid w:val="00922693"/>
    <w:rsid w:val="00922833"/>
    <w:rsid w:val="00924415"/>
    <w:rsid w:val="0092537E"/>
    <w:rsid w:val="00925616"/>
    <w:rsid w:val="00926B74"/>
    <w:rsid w:val="00927610"/>
    <w:rsid w:val="00931008"/>
    <w:rsid w:val="00931110"/>
    <w:rsid w:val="00934BFE"/>
    <w:rsid w:val="00935DC6"/>
    <w:rsid w:val="009373E1"/>
    <w:rsid w:val="009423D3"/>
    <w:rsid w:val="00943C6F"/>
    <w:rsid w:val="009456C8"/>
    <w:rsid w:val="00945776"/>
    <w:rsid w:val="00945DA9"/>
    <w:rsid w:val="00947AC0"/>
    <w:rsid w:val="00955BB2"/>
    <w:rsid w:val="009606D4"/>
    <w:rsid w:val="00961DA1"/>
    <w:rsid w:val="009626AB"/>
    <w:rsid w:val="00963265"/>
    <w:rsid w:val="009636B6"/>
    <w:rsid w:val="00966632"/>
    <w:rsid w:val="0097104D"/>
    <w:rsid w:val="0097153D"/>
    <w:rsid w:val="00972038"/>
    <w:rsid w:val="00972857"/>
    <w:rsid w:val="0097460C"/>
    <w:rsid w:val="00976DDC"/>
    <w:rsid w:val="00983403"/>
    <w:rsid w:val="009874F8"/>
    <w:rsid w:val="00990EF1"/>
    <w:rsid w:val="00996C02"/>
    <w:rsid w:val="009A0571"/>
    <w:rsid w:val="009A0C0F"/>
    <w:rsid w:val="009A0FF2"/>
    <w:rsid w:val="009A2486"/>
    <w:rsid w:val="009A3270"/>
    <w:rsid w:val="009A4055"/>
    <w:rsid w:val="009A6023"/>
    <w:rsid w:val="009B1CCB"/>
    <w:rsid w:val="009B1DCC"/>
    <w:rsid w:val="009B3074"/>
    <w:rsid w:val="009B3E8B"/>
    <w:rsid w:val="009B4285"/>
    <w:rsid w:val="009B4C6C"/>
    <w:rsid w:val="009B53FC"/>
    <w:rsid w:val="009B5BDD"/>
    <w:rsid w:val="009B6F97"/>
    <w:rsid w:val="009C2C42"/>
    <w:rsid w:val="009C6A57"/>
    <w:rsid w:val="009C712F"/>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60BE"/>
    <w:rsid w:val="009E6A41"/>
    <w:rsid w:val="009E6AB6"/>
    <w:rsid w:val="009E78D5"/>
    <w:rsid w:val="009F2049"/>
    <w:rsid w:val="009F6178"/>
    <w:rsid w:val="00A0118A"/>
    <w:rsid w:val="00A04CB8"/>
    <w:rsid w:val="00A11570"/>
    <w:rsid w:val="00A150B3"/>
    <w:rsid w:val="00A1635C"/>
    <w:rsid w:val="00A166D0"/>
    <w:rsid w:val="00A20A4B"/>
    <w:rsid w:val="00A22126"/>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2E68"/>
    <w:rsid w:val="00AA3292"/>
    <w:rsid w:val="00AA7675"/>
    <w:rsid w:val="00AB02E4"/>
    <w:rsid w:val="00AB177B"/>
    <w:rsid w:val="00AB1A3C"/>
    <w:rsid w:val="00AB1CB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5A7D"/>
    <w:rsid w:val="00AF7010"/>
    <w:rsid w:val="00B00198"/>
    <w:rsid w:val="00B03185"/>
    <w:rsid w:val="00B03442"/>
    <w:rsid w:val="00B03785"/>
    <w:rsid w:val="00B03D11"/>
    <w:rsid w:val="00B0511C"/>
    <w:rsid w:val="00B07119"/>
    <w:rsid w:val="00B12267"/>
    <w:rsid w:val="00B157D4"/>
    <w:rsid w:val="00B166A8"/>
    <w:rsid w:val="00B16A34"/>
    <w:rsid w:val="00B20662"/>
    <w:rsid w:val="00B23DAF"/>
    <w:rsid w:val="00B2425C"/>
    <w:rsid w:val="00B2659C"/>
    <w:rsid w:val="00B276F2"/>
    <w:rsid w:val="00B27A86"/>
    <w:rsid w:val="00B27E01"/>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63E6"/>
    <w:rsid w:val="00B77810"/>
    <w:rsid w:val="00B77DB9"/>
    <w:rsid w:val="00B8096F"/>
    <w:rsid w:val="00B80B83"/>
    <w:rsid w:val="00B81116"/>
    <w:rsid w:val="00B81C8B"/>
    <w:rsid w:val="00B81E20"/>
    <w:rsid w:val="00B81EB3"/>
    <w:rsid w:val="00B832FD"/>
    <w:rsid w:val="00B84393"/>
    <w:rsid w:val="00B8570D"/>
    <w:rsid w:val="00B864DE"/>
    <w:rsid w:val="00B865F9"/>
    <w:rsid w:val="00B86B0B"/>
    <w:rsid w:val="00B91990"/>
    <w:rsid w:val="00B92E84"/>
    <w:rsid w:val="00B933AB"/>
    <w:rsid w:val="00B94B83"/>
    <w:rsid w:val="00B9646B"/>
    <w:rsid w:val="00B97DEA"/>
    <w:rsid w:val="00BA16E8"/>
    <w:rsid w:val="00BA6269"/>
    <w:rsid w:val="00BB0260"/>
    <w:rsid w:val="00BB0300"/>
    <w:rsid w:val="00BB1AE8"/>
    <w:rsid w:val="00BB336B"/>
    <w:rsid w:val="00BB346E"/>
    <w:rsid w:val="00BB3BB6"/>
    <w:rsid w:val="00BB51B9"/>
    <w:rsid w:val="00BB655D"/>
    <w:rsid w:val="00BB68B9"/>
    <w:rsid w:val="00BC0A89"/>
    <w:rsid w:val="00BC104E"/>
    <w:rsid w:val="00BC412E"/>
    <w:rsid w:val="00BC43E0"/>
    <w:rsid w:val="00BC502C"/>
    <w:rsid w:val="00BD2FCB"/>
    <w:rsid w:val="00BD4F29"/>
    <w:rsid w:val="00BD6436"/>
    <w:rsid w:val="00BD6888"/>
    <w:rsid w:val="00BE0B4B"/>
    <w:rsid w:val="00BE1A75"/>
    <w:rsid w:val="00BE2841"/>
    <w:rsid w:val="00BE2A95"/>
    <w:rsid w:val="00BE6420"/>
    <w:rsid w:val="00BE778F"/>
    <w:rsid w:val="00BF0922"/>
    <w:rsid w:val="00BF17D9"/>
    <w:rsid w:val="00BF311F"/>
    <w:rsid w:val="00BF5A16"/>
    <w:rsid w:val="00BF7262"/>
    <w:rsid w:val="00C020AF"/>
    <w:rsid w:val="00C02F4E"/>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419E"/>
    <w:rsid w:val="00C5425F"/>
    <w:rsid w:val="00C56C16"/>
    <w:rsid w:val="00C57FCA"/>
    <w:rsid w:val="00C606A2"/>
    <w:rsid w:val="00C61753"/>
    <w:rsid w:val="00C620EE"/>
    <w:rsid w:val="00C6286A"/>
    <w:rsid w:val="00C65DD0"/>
    <w:rsid w:val="00C662EF"/>
    <w:rsid w:val="00C66A93"/>
    <w:rsid w:val="00C66DD7"/>
    <w:rsid w:val="00C672B3"/>
    <w:rsid w:val="00C70D18"/>
    <w:rsid w:val="00C71598"/>
    <w:rsid w:val="00C71712"/>
    <w:rsid w:val="00C7174B"/>
    <w:rsid w:val="00C71EEA"/>
    <w:rsid w:val="00C731DD"/>
    <w:rsid w:val="00C733D3"/>
    <w:rsid w:val="00C744B9"/>
    <w:rsid w:val="00C74504"/>
    <w:rsid w:val="00C750E0"/>
    <w:rsid w:val="00C753C2"/>
    <w:rsid w:val="00C802B6"/>
    <w:rsid w:val="00C80C9F"/>
    <w:rsid w:val="00C82841"/>
    <w:rsid w:val="00C85D58"/>
    <w:rsid w:val="00C86222"/>
    <w:rsid w:val="00C87104"/>
    <w:rsid w:val="00C8731E"/>
    <w:rsid w:val="00C901A8"/>
    <w:rsid w:val="00C92D53"/>
    <w:rsid w:val="00C92E03"/>
    <w:rsid w:val="00C93EFD"/>
    <w:rsid w:val="00C9422F"/>
    <w:rsid w:val="00C94693"/>
    <w:rsid w:val="00C95164"/>
    <w:rsid w:val="00C958BE"/>
    <w:rsid w:val="00CA0759"/>
    <w:rsid w:val="00CA08FA"/>
    <w:rsid w:val="00CA1BE9"/>
    <w:rsid w:val="00CA448A"/>
    <w:rsid w:val="00CA461F"/>
    <w:rsid w:val="00CA5EF5"/>
    <w:rsid w:val="00CA6FF0"/>
    <w:rsid w:val="00CA7A39"/>
    <w:rsid w:val="00CB074D"/>
    <w:rsid w:val="00CB1922"/>
    <w:rsid w:val="00CB54BF"/>
    <w:rsid w:val="00CB67EC"/>
    <w:rsid w:val="00CB6A0F"/>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783"/>
    <w:rsid w:val="00CD764F"/>
    <w:rsid w:val="00CE3241"/>
    <w:rsid w:val="00CE6C3F"/>
    <w:rsid w:val="00CE6D72"/>
    <w:rsid w:val="00CF1179"/>
    <w:rsid w:val="00CF14D9"/>
    <w:rsid w:val="00CF7E76"/>
    <w:rsid w:val="00D00012"/>
    <w:rsid w:val="00D00EE3"/>
    <w:rsid w:val="00D01244"/>
    <w:rsid w:val="00D028B6"/>
    <w:rsid w:val="00D02D2E"/>
    <w:rsid w:val="00D03A9F"/>
    <w:rsid w:val="00D03DDB"/>
    <w:rsid w:val="00D041FF"/>
    <w:rsid w:val="00D06365"/>
    <w:rsid w:val="00D10DEE"/>
    <w:rsid w:val="00D13066"/>
    <w:rsid w:val="00D15431"/>
    <w:rsid w:val="00D16BD8"/>
    <w:rsid w:val="00D17BD2"/>
    <w:rsid w:val="00D210B3"/>
    <w:rsid w:val="00D23843"/>
    <w:rsid w:val="00D23ADF"/>
    <w:rsid w:val="00D24055"/>
    <w:rsid w:val="00D25999"/>
    <w:rsid w:val="00D26ABB"/>
    <w:rsid w:val="00D309DE"/>
    <w:rsid w:val="00D31F95"/>
    <w:rsid w:val="00D3254D"/>
    <w:rsid w:val="00D3346B"/>
    <w:rsid w:val="00D34D2C"/>
    <w:rsid w:val="00D3606D"/>
    <w:rsid w:val="00D36DB0"/>
    <w:rsid w:val="00D3766B"/>
    <w:rsid w:val="00D40238"/>
    <w:rsid w:val="00D415FF"/>
    <w:rsid w:val="00D429D5"/>
    <w:rsid w:val="00D44F67"/>
    <w:rsid w:val="00D46AB4"/>
    <w:rsid w:val="00D50E1B"/>
    <w:rsid w:val="00D5109C"/>
    <w:rsid w:val="00D51B7B"/>
    <w:rsid w:val="00D53DBE"/>
    <w:rsid w:val="00D55A88"/>
    <w:rsid w:val="00D5702E"/>
    <w:rsid w:val="00D60B5C"/>
    <w:rsid w:val="00D61F7D"/>
    <w:rsid w:val="00D6362F"/>
    <w:rsid w:val="00D63EC4"/>
    <w:rsid w:val="00D63FE9"/>
    <w:rsid w:val="00D65A34"/>
    <w:rsid w:val="00D70147"/>
    <w:rsid w:val="00D732FB"/>
    <w:rsid w:val="00D75A21"/>
    <w:rsid w:val="00D760A5"/>
    <w:rsid w:val="00D776C6"/>
    <w:rsid w:val="00D81452"/>
    <w:rsid w:val="00D81B23"/>
    <w:rsid w:val="00D834DB"/>
    <w:rsid w:val="00D83DCC"/>
    <w:rsid w:val="00D83EB3"/>
    <w:rsid w:val="00D845FC"/>
    <w:rsid w:val="00D84764"/>
    <w:rsid w:val="00D850CB"/>
    <w:rsid w:val="00D85255"/>
    <w:rsid w:val="00D85449"/>
    <w:rsid w:val="00D85A7D"/>
    <w:rsid w:val="00D86611"/>
    <w:rsid w:val="00D868BB"/>
    <w:rsid w:val="00D87260"/>
    <w:rsid w:val="00D916B2"/>
    <w:rsid w:val="00D92A60"/>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64C3"/>
    <w:rsid w:val="00DD02F2"/>
    <w:rsid w:val="00DD1315"/>
    <w:rsid w:val="00DD1BE9"/>
    <w:rsid w:val="00DD26FD"/>
    <w:rsid w:val="00DD39A9"/>
    <w:rsid w:val="00DD43A9"/>
    <w:rsid w:val="00DD5058"/>
    <w:rsid w:val="00DD5DD5"/>
    <w:rsid w:val="00DE2D21"/>
    <w:rsid w:val="00DE30C6"/>
    <w:rsid w:val="00DE4960"/>
    <w:rsid w:val="00DE52B5"/>
    <w:rsid w:val="00DE5B2C"/>
    <w:rsid w:val="00DE5D49"/>
    <w:rsid w:val="00DE5EF2"/>
    <w:rsid w:val="00DE60D5"/>
    <w:rsid w:val="00DE65A2"/>
    <w:rsid w:val="00DE700B"/>
    <w:rsid w:val="00DE7950"/>
    <w:rsid w:val="00DF00E8"/>
    <w:rsid w:val="00DF01CC"/>
    <w:rsid w:val="00DF2232"/>
    <w:rsid w:val="00DF30AE"/>
    <w:rsid w:val="00DF4D5C"/>
    <w:rsid w:val="00E02D64"/>
    <w:rsid w:val="00E04A7C"/>
    <w:rsid w:val="00E1283F"/>
    <w:rsid w:val="00E13B27"/>
    <w:rsid w:val="00E13D4A"/>
    <w:rsid w:val="00E15E67"/>
    <w:rsid w:val="00E162B3"/>
    <w:rsid w:val="00E20184"/>
    <w:rsid w:val="00E20718"/>
    <w:rsid w:val="00E20A62"/>
    <w:rsid w:val="00E22320"/>
    <w:rsid w:val="00E232AD"/>
    <w:rsid w:val="00E251B1"/>
    <w:rsid w:val="00E3168F"/>
    <w:rsid w:val="00E33080"/>
    <w:rsid w:val="00E33732"/>
    <w:rsid w:val="00E35A04"/>
    <w:rsid w:val="00E35E55"/>
    <w:rsid w:val="00E3743C"/>
    <w:rsid w:val="00E415EC"/>
    <w:rsid w:val="00E415F5"/>
    <w:rsid w:val="00E4322F"/>
    <w:rsid w:val="00E43402"/>
    <w:rsid w:val="00E44AD4"/>
    <w:rsid w:val="00E502A6"/>
    <w:rsid w:val="00E51784"/>
    <w:rsid w:val="00E52290"/>
    <w:rsid w:val="00E52BAC"/>
    <w:rsid w:val="00E53580"/>
    <w:rsid w:val="00E540AB"/>
    <w:rsid w:val="00E540B2"/>
    <w:rsid w:val="00E5427F"/>
    <w:rsid w:val="00E55570"/>
    <w:rsid w:val="00E574D5"/>
    <w:rsid w:val="00E57A64"/>
    <w:rsid w:val="00E6283A"/>
    <w:rsid w:val="00E65201"/>
    <w:rsid w:val="00E658AC"/>
    <w:rsid w:val="00E66EED"/>
    <w:rsid w:val="00E6735F"/>
    <w:rsid w:val="00E70207"/>
    <w:rsid w:val="00E70A27"/>
    <w:rsid w:val="00E71D31"/>
    <w:rsid w:val="00E730D1"/>
    <w:rsid w:val="00E7412A"/>
    <w:rsid w:val="00E75759"/>
    <w:rsid w:val="00E75D21"/>
    <w:rsid w:val="00E803C5"/>
    <w:rsid w:val="00E803FD"/>
    <w:rsid w:val="00E81817"/>
    <w:rsid w:val="00E842F7"/>
    <w:rsid w:val="00E85F2A"/>
    <w:rsid w:val="00E86735"/>
    <w:rsid w:val="00E95227"/>
    <w:rsid w:val="00E9550F"/>
    <w:rsid w:val="00E96499"/>
    <w:rsid w:val="00E96992"/>
    <w:rsid w:val="00E9766B"/>
    <w:rsid w:val="00EA25B0"/>
    <w:rsid w:val="00EA54EE"/>
    <w:rsid w:val="00EA5E7A"/>
    <w:rsid w:val="00EB02A0"/>
    <w:rsid w:val="00EB224C"/>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EF70C1"/>
    <w:rsid w:val="00F00AB7"/>
    <w:rsid w:val="00F02F84"/>
    <w:rsid w:val="00F04274"/>
    <w:rsid w:val="00F053D9"/>
    <w:rsid w:val="00F0671B"/>
    <w:rsid w:val="00F110D7"/>
    <w:rsid w:val="00F11426"/>
    <w:rsid w:val="00F12A5F"/>
    <w:rsid w:val="00F13DAE"/>
    <w:rsid w:val="00F20111"/>
    <w:rsid w:val="00F23B41"/>
    <w:rsid w:val="00F2459C"/>
    <w:rsid w:val="00F24D36"/>
    <w:rsid w:val="00F25821"/>
    <w:rsid w:val="00F25BB1"/>
    <w:rsid w:val="00F27182"/>
    <w:rsid w:val="00F317FB"/>
    <w:rsid w:val="00F31A59"/>
    <w:rsid w:val="00F36FDF"/>
    <w:rsid w:val="00F37B13"/>
    <w:rsid w:val="00F40A57"/>
    <w:rsid w:val="00F40C90"/>
    <w:rsid w:val="00F41EE1"/>
    <w:rsid w:val="00F42B35"/>
    <w:rsid w:val="00F449AE"/>
    <w:rsid w:val="00F4670A"/>
    <w:rsid w:val="00F477AB"/>
    <w:rsid w:val="00F504BC"/>
    <w:rsid w:val="00F504CF"/>
    <w:rsid w:val="00F52B18"/>
    <w:rsid w:val="00F57EB6"/>
    <w:rsid w:val="00F601D0"/>
    <w:rsid w:val="00F62C26"/>
    <w:rsid w:val="00F647E7"/>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534E"/>
    <w:rsid w:val="00FA6684"/>
    <w:rsid w:val="00FA78FA"/>
    <w:rsid w:val="00FB0704"/>
    <w:rsid w:val="00FB36EA"/>
    <w:rsid w:val="00FB3A47"/>
    <w:rsid w:val="00FB561F"/>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584D"/>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2B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6647528">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21643176">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image" Target="media/image23.png"/><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image" Target="media/image15.png"/><Relationship Id="rId37" Type="http://schemas.openxmlformats.org/officeDocument/2006/relationships/footer" Target="footer13.xml"/><Relationship Id="rId40" Type="http://schemas.openxmlformats.org/officeDocument/2006/relationships/image" Target="media/image19.png"/><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2.xml"/><Relationship Id="rId49"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image" Target="media/image17.png"/><Relationship Id="rId43" Type="http://schemas.openxmlformats.org/officeDocument/2006/relationships/footer" Target="footer15.xml"/><Relationship Id="rId48"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image" Target="media/image22.png"/><Relationship Id="rId20"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15C3-0445-4C8F-ABBC-EEC6171D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2050</Words>
  <Characters>11688</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44</cp:revision>
  <cp:lastPrinted>2020-09-28T06:58:00Z</cp:lastPrinted>
  <dcterms:created xsi:type="dcterms:W3CDTF">2021-05-11T07:52:00Z</dcterms:created>
  <dcterms:modified xsi:type="dcterms:W3CDTF">2021-05-24T12:33:00Z</dcterms:modified>
</cp:coreProperties>
</file>