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2A" w:rsidRPr="0005777B" w:rsidRDefault="00621249"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Pr>
          <w:rFonts w:eastAsia="Times New Roman" w:cs="Calibri"/>
          <w:b/>
          <w:spacing w:val="-3"/>
          <w:sz w:val="24"/>
          <w:szCs w:val="24"/>
          <w:u w:val="single"/>
          <w:lang w:val="en-GB" w:eastAsia="hr-HR"/>
        </w:rPr>
        <w:t xml:space="preserve">  </w:t>
      </w: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AE35D1"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5777B">
        <w:rPr>
          <w:noProof/>
          <w:lang w:eastAsia="hr-HR"/>
        </w:rPr>
        <w:drawing>
          <wp:inline distT="0" distB="0" distL="0" distR="0" wp14:anchorId="3B12769F" wp14:editId="4E5D72F3">
            <wp:extent cx="2415540" cy="776605"/>
            <wp:effectExtent l="0" t="0" r="3810" b="4445"/>
            <wp:docPr id="1" name="Picture 1" descr="logo-01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a-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776605"/>
                    </a:xfrm>
                    <a:prstGeom prst="rect">
                      <a:avLst/>
                    </a:prstGeom>
                    <a:noFill/>
                    <a:ln>
                      <a:noFill/>
                    </a:ln>
                  </pic:spPr>
                </pic:pic>
              </a:graphicData>
            </a:graphic>
          </wp:inline>
        </w:drawing>
      </w: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2C7637" w:rsidRDefault="007E222A" w:rsidP="00422588">
      <w:pPr>
        <w:tabs>
          <w:tab w:val="left" w:pos="-720"/>
          <w:tab w:val="left" w:pos="426"/>
        </w:tabs>
        <w:suppressAutoHyphens/>
        <w:spacing w:after="0" w:line="240" w:lineRule="auto"/>
        <w:jc w:val="both"/>
        <w:rPr>
          <w:rFonts w:eastAsia="Times New Roman" w:cs="Calibri"/>
          <w:b/>
          <w:spacing w:val="-3"/>
          <w:sz w:val="40"/>
          <w:szCs w:val="40"/>
          <w:u w:val="single"/>
          <w:lang w:val="en-GB" w:eastAsia="hr-HR"/>
        </w:rPr>
      </w:pPr>
    </w:p>
    <w:p w:rsidR="002C7637" w:rsidRPr="002C7637" w:rsidRDefault="002C7637" w:rsidP="00290697">
      <w:pPr>
        <w:tabs>
          <w:tab w:val="left" w:pos="-720"/>
          <w:tab w:val="left" w:pos="0"/>
        </w:tabs>
        <w:suppressAutoHyphens/>
        <w:spacing w:after="0" w:line="240" w:lineRule="auto"/>
        <w:jc w:val="center"/>
        <w:rPr>
          <w:rFonts w:eastAsia="Times New Roman" w:cs="Calibri"/>
          <w:b/>
          <w:spacing w:val="-3"/>
          <w:sz w:val="40"/>
          <w:szCs w:val="40"/>
          <w:lang w:val="en-GB" w:eastAsia="hr-HR"/>
        </w:rPr>
      </w:pPr>
      <w:r w:rsidRPr="002C7637">
        <w:rPr>
          <w:rFonts w:eastAsia="Times New Roman" w:cs="Calibri"/>
          <w:b/>
          <w:spacing w:val="-3"/>
          <w:sz w:val="40"/>
          <w:szCs w:val="40"/>
          <w:lang w:val="en-GB" w:eastAsia="hr-HR"/>
        </w:rPr>
        <w:t>SEMI-ANNUAL REPORT</w:t>
      </w:r>
      <w:r w:rsidRPr="002C7637">
        <w:rPr>
          <w:rFonts w:eastAsia="Times New Roman" w:cs="Calibri"/>
          <w:b/>
          <w:spacing w:val="-3"/>
          <w:sz w:val="40"/>
          <w:szCs w:val="40"/>
          <w:lang w:val="en-GB" w:eastAsia="hr-HR"/>
        </w:rPr>
        <w:t xml:space="preserve"> </w:t>
      </w:r>
    </w:p>
    <w:p w:rsidR="00422588" w:rsidRPr="002C7637" w:rsidRDefault="00F04FDB" w:rsidP="00290697">
      <w:pPr>
        <w:tabs>
          <w:tab w:val="left" w:pos="-720"/>
          <w:tab w:val="left" w:pos="0"/>
        </w:tabs>
        <w:suppressAutoHyphens/>
        <w:spacing w:after="0" w:line="240" w:lineRule="auto"/>
        <w:jc w:val="center"/>
        <w:rPr>
          <w:rFonts w:eastAsia="Times New Roman" w:cs="Calibri"/>
          <w:b/>
          <w:spacing w:val="-3"/>
          <w:sz w:val="40"/>
          <w:szCs w:val="40"/>
          <w:lang w:val="en-GB" w:eastAsia="hr-HR"/>
        </w:rPr>
      </w:pPr>
      <w:r w:rsidRPr="002C7637">
        <w:rPr>
          <w:rFonts w:eastAsia="Times New Roman" w:cs="Calibri"/>
          <w:b/>
          <w:spacing w:val="-3"/>
          <w:sz w:val="40"/>
          <w:szCs w:val="40"/>
          <w:lang w:val="en-GB" w:eastAsia="hr-HR"/>
        </w:rPr>
        <w:t xml:space="preserve">FOR THE PERIOD </w:t>
      </w:r>
      <w:r w:rsidR="001D478E" w:rsidRPr="002C7637">
        <w:rPr>
          <w:rFonts w:eastAsia="Times New Roman" w:cs="Calibri"/>
          <w:b/>
          <w:spacing w:val="-3"/>
          <w:sz w:val="40"/>
          <w:szCs w:val="40"/>
          <w:lang w:val="en-GB" w:eastAsia="hr-HR"/>
        </w:rPr>
        <w:t>1</w:t>
      </w:r>
      <w:r w:rsidRPr="002C7637">
        <w:rPr>
          <w:rFonts w:eastAsia="Times New Roman" w:cs="Calibri"/>
          <w:b/>
          <w:spacing w:val="-3"/>
          <w:sz w:val="40"/>
          <w:szCs w:val="40"/>
          <w:lang w:val="en-GB" w:eastAsia="hr-HR"/>
        </w:rPr>
        <w:t xml:space="preserve"> JANUARY – </w:t>
      </w:r>
      <w:r w:rsidR="001B4F24" w:rsidRPr="002C7637">
        <w:rPr>
          <w:rFonts w:eastAsia="Times New Roman" w:cs="Calibri"/>
          <w:b/>
          <w:spacing w:val="-3"/>
          <w:sz w:val="40"/>
          <w:szCs w:val="40"/>
          <w:lang w:val="en-GB" w:eastAsia="hr-HR"/>
        </w:rPr>
        <w:t xml:space="preserve">30 JUNE </w:t>
      </w:r>
      <w:r w:rsidR="001D478E" w:rsidRPr="002C7637">
        <w:rPr>
          <w:rFonts w:eastAsia="Times New Roman" w:cs="Calibri"/>
          <w:b/>
          <w:spacing w:val="-3"/>
          <w:sz w:val="40"/>
          <w:szCs w:val="40"/>
          <w:lang w:val="en-GB" w:eastAsia="hr-HR"/>
        </w:rPr>
        <w:t>201</w:t>
      </w:r>
      <w:r w:rsidR="00AA2E68" w:rsidRPr="002C7637">
        <w:rPr>
          <w:rFonts w:eastAsia="Times New Roman" w:cs="Calibri"/>
          <w:b/>
          <w:spacing w:val="-3"/>
          <w:sz w:val="40"/>
          <w:szCs w:val="40"/>
          <w:lang w:val="en-GB" w:eastAsia="hr-HR"/>
        </w:rPr>
        <w:t>7</w:t>
      </w:r>
    </w:p>
    <w:p w:rsidR="007E222A" w:rsidRPr="002C7637" w:rsidRDefault="007E222A" w:rsidP="00422588">
      <w:pPr>
        <w:tabs>
          <w:tab w:val="left" w:pos="-720"/>
          <w:tab w:val="left" w:pos="426"/>
        </w:tabs>
        <w:suppressAutoHyphens/>
        <w:spacing w:after="0" w:line="240" w:lineRule="auto"/>
        <w:jc w:val="both"/>
        <w:rPr>
          <w:rFonts w:eastAsia="Times New Roman" w:cs="Calibri"/>
          <w:b/>
          <w:spacing w:val="-3"/>
          <w:sz w:val="40"/>
          <w:szCs w:val="40"/>
          <w:lang w:val="en-GB" w:eastAsia="hr-HR"/>
        </w:rPr>
      </w:pPr>
    </w:p>
    <w:p w:rsidR="007E222A" w:rsidRPr="002C7637" w:rsidRDefault="007E222A" w:rsidP="00422588">
      <w:pPr>
        <w:tabs>
          <w:tab w:val="left" w:pos="-720"/>
          <w:tab w:val="left" w:pos="426"/>
        </w:tabs>
        <w:suppressAutoHyphens/>
        <w:spacing w:after="0" w:line="240" w:lineRule="auto"/>
        <w:jc w:val="both"/>
        <w:rPr>
          <w:rFonts w:eastAsia="Times New Roman" w:cs="Calibri"/>
          <w:b/>
          <w:spacing w:val="-3"/>
          <w:sz w:val="40"/>
          <w:szCs w:val="40"/>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478E" w:rsidRPr="0005777B"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7E222A" w:rsidRPr="0005777B"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5777B">
        <w:rPr>
          <w:rFonts w:eastAsia="Times New Roman" w:cs="Calibri"/>
          <w:b/>
          <w:spacing w:val="-3"/>
          <w:sz w:val="24"/>
          <w:szCs w:val="24"/>
          <w:lang w:val="en-GB" w:eastAsia="hr-HR"/>
        </w:rPr>
        <w:t xml:space="preserve">Zagreb, </w:t>
      </w:r>
      <w:r w:rsidR="00BA694A">
        <w:rPr>
          <w:rFonts w:eastAsia="Times New Roman" w:cs="Calibri"/>
          <w:b/>
          <w:spacing w:val="-3"/>
          <w:sz w:val="24"/>
          <w:szCs w:val="24"/>
          <w:lang w:val="en-GB" w:eastAsia="hr-HR"/>
        </w:rPr>
        <w:t>August</w:t>
      </w:r>
      <w:r w:rsidR="0057425C" w:rsidRPr="0005777B">
        <w:rPr>
          <w:rFonts w:eastAsia="Times New Roman" w:cs="Calibri"/>
          <w:b/>
          <w:spacing w:val="-3"/>
          <w:sz w:val="24"/>
          <w:szCs w:val="24"/>
          <w:lang w:val="en-GB" w:eastAsia="hr-HR"/>
        </w:rPr>
        <w:t xml:space="preserve"> </w:t>
      </w:r>
      <w:r w:rsidRPr="0005777B">
        <w:rPr>
          <w:rFonts w:eastAsia="Times New Roman" w:cs="Calibri"/>
          <w:b/>
          <w:spacing w:val="-3"/>
          <w:sz w:val="24"/>
          <w:szCs w:val="24"/>
          <w:lang w:val="en-GB" w:eastAsia="hr-HR"/>
        </w:rPr>
        <w:t>201</w:t>
      </w:r>
      <w:r w:rsidR="00AA2E68" w:rsidRPr="0005777B">
        <w:rPr>
          <w:rFonts w:eastAsia="Times New Roman" w:cs="Calibri"/>
          <w:b/>
          <w:spacing w:val="-3"/>
          <w:sz w:val="24"/>
          <w:szCs w:val="24"/>
          <w:lang w:val="en-GB" w:eastAsia="hr-HR"/>
        </w:rPr>
        <w:t>7</w:t>
      </w:r>
    </w:p>
    <w:p w:rsidR="00E70A27" w:rsidRPr="0005777B"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5777B" w:rsidSect="000241D5">
          <w:footerReference w:type="default" r:id="rId9"/>
          <w:pgSz w:w="11906" w:h="16838" w:code="9"/>
          <w:pgMar w:top="596" w:right="1133" w:bottom="1417" w:left="1417" w:header="709" w:footer="709" w:gutter="0"/>
          <w:cols w:space="708"/>
          <w:titlePg/>
          <w:docGrid w:linePitch="360"/>
        </w:sectPr>
      </w:pPr>
    </w:p>
    <w:p w:rsidR="002C7637" w:rsidRDefault="002C7637" w:rsidP="002C7637">
      <w:pPr>
        <w:spacing w:after="0" w:line="240" w:lineRule="auto"/>
        <w:rPr>
          <w:rFonts w:eastAsia="Times New Roman" w:cs="Calibri"/>
          <w:b/>
          <w:spacing w:val="-3"/>
          <w:sz w:val="24"/>
          <w:szCs w:val="24"/>
          <w:u w:val="single"/>
          <w:lang w:eastAsia="hr-HR"/>
        </w:rPr>
      </w:pPr>
    </w:p>
    <w:p w:rsidR="002C7637" w:rsidRDefault="002C7637" w:rsidP="002C7637">
      <w:pPr>
        <w:spacing w:after="0" w:line="240" w:lineRule="auto"/>
        <w:rPr>
          <w:rFonts w:eastAsia="Times New Roman" w:cs="Calibri"/>
          <w:b/>
          <w:spacing w:val="-3"/>
          <w:sz w:val="24"/>
          <w:szCs w:val="24"/>
          <w:u w:val="single"/>
          <w:lang w:eastAsia="hr-HR"/>
        </w:rPr>
      </w:pPr>
      <w:r>
        <w:rPr>
          <w:noProof/>
          <w:lang w:eastAsia="hr-HR"/>
        </w:rPr>
        <w:drawing>
          <wp:inline distT="0" distB="0" distL="0" distR="0" wp14:anchorId="24E4DCD3" wp14:editId="7AF8641E">
            <wp:extent cx="2415540" cy="776605"/>
            <wp:effectExtent l="0" t="0" r="3810" b="4445"/>
            <wp:docPr id="8" name="Picture 1" descr="logo-01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a-bo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776605"/>
                    </a:xfrm>
                    <a:prstGeom prst="rect">
                      <a:avLst/>
                    </a:prstGeom>
                    <a:noFill/>
                    <a:ln>
                      <a:noFill/>
                    </a:ln>
                  </pic:spPr>
                </pic:pic>
              </a:graphicData>
            </a:graphic>
          </wp:inline>
        </w:drawing>
      </w:r>
    </w:p>
    <w:p w:rsidR="002C7637" w:rsidRDefault="002C7637" w:rsidP="002C7637">
      <w:pPr>
        <w:spacing w:after="0" w:line="240" w:lineRule="auto"/>
        <w:rPr>
          <w:rFonts w:eastAsia="Times New Roman" w:cs="Calibri"/>
          <w:b/>
          <w:spacing w:val="-3"/>
          <w:sz w:val="24"/>
          <w:szCs w:val="24"/>
          <w:u w:val="single"/>
          <w:lang w:eastAsia="hr-HR"/>
        </w:rPr>
      </w:pPr>
    </w:p>
    <w:p w:rsidR="002C7637" w:rsidRDefault="002C7637" w:rsidP="002C7637">
      <w:pPr>
        <w:spacing w:after="100" w:afterAutospacing="1"/>
        <w:jc w:val="both"/>
        <w:rPr>
          <w:b/>
          <w:sz w:val="24"/>
          <w:szCs w:val="24"/>
        </w:rPr>
      </w:pPr>
    </w:p>
    <w:p w:rsidR="002C7637" w:rsidRPr="00E030FD" w:rsidRDefault="002C7637" w:rsidP="002C7637">
      <w:pPr>
        <w:spacing w:after="100" w:afterAutospacing="1"/>
        <w:jc w:val="center"/>
        <w:rPr>
          <w:b/>
          <w:sz w:val="24"/>
          <w:szCs w:val="24"/>
          <w:lang w:val="en-GB"/>
        </w:rPr>
      </w:pPr>
      <w:r w:rsidRPr="00E030FD">
        <w:rPr>
          <w:b/>
          <w:sz w:val="24"/>
          <w:szCs w:val="24"/>
          <w:lang w:val="en-GB"/>
        </w:rPr>
        <w:t>STATEMENT OF PERSONS RESPONSIBLE FOR THE PR</w:t>
      </w:r>
      <w:r>
        <w:rPr>
          <w:b/>
          <w:sz w:val="24"/>
          <w:szCs w:val="24"/>
          <w:lang w:val="en-GB"/>
        </w:rPr>
        <w:t>EPARATION OF SEMI-ANNUAL REPORT</w:t>
      </w:r>
    </w:p>
    <w:p w:rsidR="002C7637" w:rsidRPr="00E030FD" w:rsidRDefault="002C7637" w:rsidP="002C7637">
      <w:pPr>
        <w:spacing w:after="100" w:afterAutospacing="1"/>
        <w:jc w:val="both"/>
        <w:rPr>
          <w:b/>
          <w:sz w:val="24"/>
          <w:szCs w:val="24"/>
          <w:lang w:val="en-GB"/>
        </w:rPr>
      </w:pPr>
    </w:p>
    <w:p w:rsidR="002C7637" w:rsidRPr="00E030FD" w:rsidRDefault="002C7637" w:rsidP="002C7637">
      <w:pPr>
        <w:tabs>
          <w:tab w:val="left" w:pos="-720"/>
          <w:tab w:val="left" w:pos="0"/>
        </w:tabs>
        <w:suppressAutoHyphens/>
        <w:spacing w:after="0" w:line="240" w:lineRule="auto"/>
        <w:jc w:val="both"/>
        <w:rPr>
          <w:sz w:val="24"/>
          <w:szCs w:val="24"/>
          <w:lang w:val="en-GB"/>
        </w:rPr>
      </w:pPr>
      <w:r w:rsidRPr="00E030FD">
        <w:rPr>
          <w:sz w:val="24"/>
          <w:szCs w:val="24"/>
          <w:lang w:val="en-GB"/>
        </w:rPr>
        <w:t xml:space="preserve">To the best of our knowledge the management report </w:t>
      </w:r>
      <w:r>
        <w:rPr>
          <w:sz w:val="24"/>
          <w:szCs w:val="24"/>
          <w:lang w:val="en-GB"/>
        </w:rPr>
        <w:t xml:space="preserve">for the period 1 January – 30 June 2017 </w:t>
      </w:r>
      <w:r w:rsidRPr="00E030FD">
        <w:rPr>
          <w:sz w:val="24"/>
          <w:szCs w:val="24"/>
          <w:lang w:val="en-GB"/>
        </w:rPr>
        <w:t xml:space="preserve">contains a truthful development of events and business results as well as the position of the Croatian Bank for Reconstruction and Development and the Group, and the description of the most significant risks and contingencies the Croatian Bank for Reconstruction and Development and the Group are exposed to. </w:t>
      </w:r>
    </w:p>
    <w:p w:rsidR="002C7637" w:rsidRPr="00E030FD" w:rsidRDefault="002C7637" w:rsidP="002C7637">
      <w:pPr>
        <w:spacing w:after="100" w:afterAutospacing="1"/>
        <w:jc w:val="both"/>
        <w:rPr>
          <w:sz w:val="24"/>
          <w:szCs w:val="24"/>
          <w:lang w:val="en-GB"/>
        </w:rPr>
      </w:pPr>
    </w:p>
    <w:p w:rsidR="002C7637" w:rsidRPr="00E030FD" w:rsidRDefault="002C7637" w:rsidP="002C7637">
      <w:pPr>
        <w:spacing w:after="100" w:afterAutospacing="1"/>
        <w:jc w:val="both"/>
        <w:rPr>
          <w:sz w:val="24"/>
          <w:szCs w:val="24"/>
          <w:lang w:val="en-GB"/>
        </w:rPr>
      </w:pPr>
    </w:p>
    <w:p w:rsidR="002C7637" w:rsidRDefault="002C7637" w:rsidP="002C7637">
      <w:pPr>
        <w:spacing w:after="100" w:afterAutospacing="1"/>
        <w:rPr>
          <w:sz w:val="24"/>
          <w:szCs w:val="24"/>
          <w:lang w:val="en-GB"/>
        </w:rPr>
      </w:pPr>
      <w:r w:rsidRPr="00E030FD">
        <w:rPr>
          <w:sz w:val="24"/>
          <w:szCs w:val="24"/>
          <w:lang w:val="en-GB"/>
        </w:rPr>
        <w:t>President of the</w:t>
      </w:r>
      <w:r>
        <w:rPr>
          <w:sz w:val="24"/>
          <w:szCs w:val="24"/>
          <w:lang w:val="en-GB"/>
        </w:rPr>
        <w:t xml:space="preserve"> </w:t>
      </w:r>
      <w:r w:rsidRPr="00E030FD">
        <w:rPr>
          <w:sz w:val="24"/>
          <w:szCs w:val="24"/>
          <w:lang w:val="en-GB"/>
        </w:rPr>
        <w:t>Manag</w:t>
      </w:r>
      <w:r>
        <w:rPr>
          <w:sz w:val="24"/>
          <w:szCs w:val="24"/>
          <w:lang w:val="en-GB"/>
        </w:rPr>
        <w:t>ement</w:t>
      </w:r>
      <w:r w:rsidRPr="00E030FD">
        <w:rPr>
          <w:sz w:val="24"/>
          <w:szCs w:val="24"/>
          <w:lang w:val="en-GB"/>
        </w:rPr>
        <w:t xml:space="preserve"> Board</w:t>
      </w:r>
      <w:r>
        <w:rPr>
          <w:sz w:val="24"/>
          <w:szCs w:val="24"/>
          <w:lang w:val="en-GB"/>
        </w:rPr>
        <w:tab/>
      </w:r>
      <w:r>
        <w:rPr>
          <w:sz w:val="24"/>
          <w:szCs w:val="24"/>
          <w:lang w:val="en-GB"/>
        </w:rPr>
        <w:tab/>
      </w:r>
      <w:r>
        <w:rPr>
          <w:sz w:val="24"/>
          <w:szCs w:val="24"/>
          <w:lang w:val="en-GB"/>
        </w:rPr>
        <w:tab/>
      </w:r>
      <w:r w:rsidRPr="00E030FD">
        <w:rPr>
          <w:sz w:val="24"/>
          <w:szCs w:val="24"/>
          <w:lang w:val="en-GB"/>
        </w:rPr>
        <w:t>Member of the Manag</w:t>
      </w:r>
      <w:r>
        <w:rPr>
          <w:sz w:val="24"/>
          <w:szCs w:val="24"/>
          <w:lang w:val="en-GB"/>
        </w:rPr>
        <w:t>ement</w:t>
      </w:r>
      <w:r w:rsidRPr="00E030FD">
        <w:rPr>
          <w:sz w:val="24"/>
          <w:szCs w:val="24"/>
          <w:lang w:val="en-GB"/>
        </w:rPr>
        <w:t xml:space="preserve"> Board</w:t>
      </w:r>
      <w:r w:rsidRPr="00E030FD">
        <w:rPr>
          <w:sz w:val="24"/>
          <w:szCs w:val="24"/>
          <w:lang w:val="en-GB"/>
        </w:rPr>
        <w:tab/>
      </w:r>
    </w:p>
    <w:p w:rsidR="002C7637" w:rsidRDefault="002C7637" w:rsidP="002C7637">
      <w:pPr>
        <w:spacing w:after="100" w:afterAutospacing="1"/>
        <w:rPr>
          <w:sz w:val="24"/>
          <w:szCs w:val="24"/>
          <w:lang w:val="en-GB"/>
        </w:rPr>
      </w:pPr>
    </w:p>
    <w:p w:rsidR="002C7637" w:rsidRPr="00E030FD" w:rsidRDefault="002C7637" w:rsidP="002C7637">
      <w:pPr>
        <w:spacing w:after="100" w:afterAutospacing="1"/>
        <w:rPr>
          <w:sz w:val="24"/>
          <w:szCs w:val="24"/>
          <w:lang w:val="en-GB"/>
        </w:rPr>
      </w:pPr>
      <w:r>
        <w:rPr>
          <w:sz w:val="24"/>
          <w:szCs w:val="24"/>
          <w:lang w:val="en-GB"/>
        </w:rPr>
        <w:t xml:space="preserve">     Tamara Perko, MSc</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 xml:space="preserve">       Martina Jus </w:t>
      </w:r>
    </w:p>
    <w:p w:rsidR="002C7637" w:rsidRDefault="002C7637" w:rsidP="002C7637">
      <w:pPr>
        <w:spacing w:after="100" w:afterAutospacing="1"/>
        <w:jc w:val="both"/>
        <w:rPr>
          <w:b/>
          <w:sz w:val="24"/>
          <w:szCs w:val="24"/>
        </w:rPr>
      </w:pPr>
    </w:p>
    <w:p w:rsidR="002C7637" w:rsidRPr="00E030FD" w:rsidRDefault="002C7637" w:rsidP="002C7637">
      <w:pPr>
        <w:spacing w:after="100" w:afterAutospacing="1"/>
        <w:jc w:val="both"/>
        <w:outlineLvl w:val="0"/>
        <w:rPr>
          <w:sz w:val="24"/>
          <w:szCs w:val="24"/>
          <w:lang w:val="en-GB"/>
        </w:rPr>
      </w:pPr>
      <w:r w:rsidRPr="009A5152">
        <w:rPr>
          <w:sz w:val="24"/>
          <w:szCs w:val="24"/>
          <w:lang w:val="en-GB"/>
        </w:rPr>
        <w:t>Zagreb, 2</w:t>
      </w:r>
      <w:r>
        <w:rPr>
          <w:sz w:val="24"/>
          <w:szCs w:val="24"/>
          <w:lang w:val="en-GB"/>
        </w:rPr>
        <w:t>8</w:t>
      </w:r>
      <w:r w:rsidRPr="009A5152">
        <w:rPr>
          <w:sz w:val="24"/>
          <w:szCs w:val="24"/>
          <w:lang w:val="en-GB"/>
        </w:rPr>
        <w:t xml:space="preserve"> August 201</w:t>
      </w:r>
      <w:r>
        <w:rPr>
          <w:sz w:val="24"/>
          <w:szCs w:val="24"/>
          <w:lang w:val="en-GB"/>
        </w:rPr>
        <w:t>7</w:t>
      </w:r>
    </w:p>
    <w:p w:rsidR="002C7637" w:rsidRDefault="002C7637" w:rsidP="002C7637">
      <w:pPr>
        <w:spacing w:after="0" w:line="240" w:lineRule="auto"/>
        <w:rPr>
          <w:rFonts w:eastAsia="Times New Roman" w:cs="Calibri"/>
          <w:b/>
          <w:spacing w:val="-3"/>
          <w:sz w:val="24"/>
          <w:szCs w:val="24"/>
          <w:u w:val="single"/>
          <w:lang w:eastAsia="hr-HR"/>
        </w:rPr>
      </w:pPr>
    </w:p>
    <w:p w:rsidR="001D2396" w:rsidRPr="0005777B" w:rsidRDefault="001D2396" w:rsidP="00290697">
      <w:pPr>
        <w:spacing w:after="0" w:line="240" w:lineRule="auto"/>
        <w:rPr>
          <w:rFonts w:eastAsia="Times New Roman" w:cs="Calibri"/>
          <w:b/>
          <w:spacing w:val="-3"/>
          <w:sz w:val="24"/>
          <w:szCs w:val="24"/>
          <w:u w:val="single"/>
          <w:lang w:val="en-GB" w:eastAsia="hr-HR"/>
        </w:rPr>
      </w:pPr>
    </w:p>
    <w:p w:rsidR="001D2396" w:rsidRPr="0005777B" w:rsidRDefault="001D2396" w:rsidP="00290697">
      <w:pPr>
        <w:spacing w:after="0" w:line="240" w:lineRule="auto"/>
        <w:rPr>
          <w:rFonts w:eastAsia="Times New Roman" w:cs="Calibri"/>
          <w:b/>
          <w:spacing w:val="-3"/>
          <w:sz w:val="24"/>
          <w:szCs w:val="24"/>
          <w:u w:val="single"/>
          <w:lang w:val="en-GB" w:eastAsia="hr-HR"/>
        </w:rPr>
      </w:pPr>
    </w:p>
    <w:p w:rsidR="001D2396" w:rsidRPr="0005777B" w:rsidRDefault="001D2396" w:rsidP="00290697">
      <w:pPr>
        <w:spacing w:after="0" w:line="240" w:lineRule="auto"/>
        <w:rPr>
          <w:rFonts w:eastAsia="Times New Roman" w:cs="Calibri"/>
          <w:b/>
          <w:spacing w:val="-3"/>
          <w:sz w:val="24"/>
          <w:szCs w:val="24"/>
          <w:u w:val="single"/>
          <w:lang w:val="en-GB" w:eastAsia="hr-HR"/>
        </w:rPr>
      </w:pPr>
    </w:p>
    <w:p w:rsidR="001D2396" w:rsidRPr="0005777B" w:rsidRDefault="001D2396"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C21778" w:rsidRDefault="00C21778"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Default="002C7637" w:rsidP="00290697">
      <w:pPr>
        <w:spacing w:after="0" w:line="240" w:lineRule="auto"/>
        <w:rPr>
          <w:rFonts w:eastAsia="Times New Roman" w:cs="Calibri"/>
          <w:b/>
          <w:spacing w:val="-3"/>
          <w:sz w:val="24"/>
          <w:szCs w:val="24"/>
          <w:u w:val="single"/>
          <w:lang w:val="en-GB" w:eastAsia="hr-HR"/>
        </w:rPr>
      </w:pPr>
    </w:p>
    <w:p w:rsidR="002C7637" w:rsidRPr="0005777B" w:rsidRDefault="002C7637"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C21778" w:rsidRPr="0005777B" w:rsidRDefault="00C21778" w:rsidP="00290697">
      <w:pPr>
        <w:spacing w:after="0" w:line="240" w:lineRule="auto"/>
        <w:rPr>
          <w:rFonts w:eastAsia="Times New Roman" w:cs="Calibri"/>
          <w:b/>
          <w:spacing w:val="-3"/>
          <w:sz w:val="24"/>
          <w:szCs w:val="24"/>
          <w:u w:val="single"/>
          <w:lang w:val="en-GB" w:eastAsia="hr-HR"/>
        </w:rPr>
      </w:pPr>
    </w:p>
    <w:p w:rsidR="002C7637" w:rsidRDefault="002C7637" w:rsidP="002C7637">
      <w:pPr>
        <w:spacing w:after="0" w:line="240" w:lineRule="auto"/>
        <w:jc w:val="center"/>
        <w:rPr>
          <w:rFonts w:ascii="Calibri" w:eastAsia="Times New Roman" w:hAnsi="Calibri" w:cs="Arial"/>
          <w:b/>
          <w:sz w:val="32"/>
          <w:szCs w:val="32"/>
          <w:lang w:val="en-GB"/>
        </w:rPr>
      </w:pPr>
      <w:r w:rsidRPr="002C7637">
        <w:rPr>
          <w:rFonts w:ascii="Calibri" w:eastAsia="Times New Roman" w:hAnsi="Calibri" w:cs="Arial"/>
          <w:b/>
          <w:sz w:val="32"/>
          <w:szCs w:val="32"/>
          <w:lang w:val="en-GB"/>
        </w:rPr>
        <w:t>MANAGEMENT REPORT FOR THE PERIOD</w:t>
      </w:r>
    </w:p>
    <w:p w:rsidR="00C21778" w:rsidRPr="002C7637" w:rsidRDefault="002C7637" w:rsidP="002C7637">
      <w:pPr>
        <w:spacing w:after="0" w:line="240" w:lineRule="auto"/>
        <w:jc w:val="center"/>
        <w:rPr>
          <w:rFonts w:ascii="Calibri" w:eastAsia="Times New Roman" w:hAnsi="Calibri" w:cs="Arial"/>
          <w:b/>
          <w:sz w:val="32"/>
          <w:szCs w:val="32"/>
          <w:lang w:val="en-GB"/>
        </w:rPr>
      </w:pPr>
      <w:r w:rsidRPr="002C7637">
        <w:rPr>
          <w:rFonts w:ascii="Calibri" w:eastAsia="Times New Roman" w:hAnsi="Calibri" w:cs="Arial"/>
          <w:b/>
          <w:sz w:val="32"/>
          <w:szCs w:val="32"/>
          <w:lang w:val="en-GB"/>
        </w:rPr>
        <w:t>1 JANUARY – 30 JUNE 2017</w:t>
      </w:r>
    </w:p>
    <w:p w:rsidR="001D2396" w:rsidRDefault="001D2396" w:rsidP="002C7637">
      <w:pPr>
        <w:spacing w:after="0" w:line="240" w:lineRule="auto"/>
        <w:jc w:val="center"/>
        <w:rPr>
          <w:rFonts w:eastAsia="Times New Roman" w:cs="Calibri"/>
          <w:b/>
          <w:spacing w:val="-3"/>
          <w:sz w:val="24"/>
          <w:szCs w:val="24"/>
          <w:u w:val="single"/>
          <w:lang w:val="en-GB" w:eastAsia="hr-HR"/>
        </w:rPr>
      </w:pPr>
    </w:p>
    <w:p w:rsidR="002C7637" w:rsidRDefault="002C7637" w:rsidP="002C7637">
      <w:pPr>
        <w:spacing w:after="0" w:line="240" w:lineRule="auto"/>
        <w:jc w:val="center"/>
        <w:rPr>
          <w:rFonts w:eastAsia="Times New Roman" w:cs="Calibri"/>
          <w:b/>
          <w:spacing w:val="-3"/>
          <w:sz w:val="24"/>
          <w:szCs w:val="24"/>
          <w:u w:val="single"/>
          <w:lang w:val="en-GB" w:eastAsia="hr-HR"/>
        </w:rPr>
      </w:pPr>
    </w:p>
    <w:p w:rsidR="002C7637" w:rsidRPr="0005777B" w:rsidRDefault="002C7637" w:rsidP="002C7637">
      <w:pPr>
        <w:spacing w:after="0" w:line="240" w:lineRule="auto"/>
        <w:jc w:val="center"/>
        <w:rPr>
          <w:rFonts w:eastAsia="Times New Roman" w:cs="Calibri"/>
          <w:b/>
          <w:spacing w:val="-3"/>
          <w:sz w:val="24"/>
          <w:szCs w:val="24"/>
          <w:u w:val="single"/>
          <w:lang w:val="en-GB" w:eastAsia="hr-HR"/>
        </w:rPr>
      </w:pPr>
    </w:p>
    <w:p w:rsidR="001D2396" w:rsidRPr="0005777B" w:rsidRDefault="001D2396"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5777B">
        <w:rPr>
          <w:rFonts w:ascii="Calibri" w:eastAsia="Times New Roman" w:hAnsi="Calibri" w:cs="Arial"/>
          <w:b/>
          <w:sz w:val="32"/>
          <w:szCs w:val="32"/>
          <w:lang w:val="en-GB"/>
        </w:rPr>
        <w:t>RE</w:t>
      </w:r>
      <w:r w:rsidR="0057425C" w:rsidRPr="0005777B">
        <w:rPr>
          <w:rFonts w:ascii="Calibri" w:eastAsia="Times New Roman" w:hAnsi="Calibri" w:cs="Arial"/>
          <w:b/>
          <w:sz w:val="32"/>
          <w:szCs w:val="32"/>
          <w:lang w:val="en-GB"/>
        </w:rPr>
        <w:t xml:space="preserve">SULTS OF THE </w:t>
      </w:r>
      <w:r w:rsidRPr="0005777B">
        <w:rPr>
          <w:rFonts w:ascii="Calibri" w:eastAsia="Times New Roman" w:hAnsi="Calibri" w:cs="Arial"/>
          <w:b/>
          <w:sz w:val="32"/>
          <w:szCs w:val="32"/>
          <w:lang w:val="en-GB"/>
        </w:rPr>
        <w:t>GR</w:t>
      </w:r>
      <w:r w:rsidR="0057425C" w:rsidRPr="0005777B">
        <w:rPr>
          <w:rFonts w:ascii="Calibri" w:eastAsia="Times New Roman" w:hAnsi="Calibri" w:cs="Arial"/>
          <w:b/>
          <w:sz w:val="32"/>
          <w:szCs w:val="32"/>
          <w:lang w:val="en-GB"/>
        </w:rPr>
        <w:t>O</w:t>
      </w:r>
      <w:r w:rsidRPr="0005777B">
        <w:rPr>
          <w:rFonts w:ascii="Calibri" w:eastAsia="Times New Roman" w:hAnsi="Calibri" w:cs="Arial"/>
          <w:b/>
          <w:sz w:val="32"/>
          <w:szCs w:val="32"/>
          <w:lang w:val="en-GB"/>
        </w:rPr>
        <w:t>UP</w:t>
      </w:r>
    </w:p>
    <w:p w:rsidR="00B37082" w:rsidRPr="0005777B" w:rsidRDefault="00B37082">
      <w:pPr>
        <w:rPr>
          <w:rFonts w:eastAsia="Times New Roman" w:cs="Calibri"/>
          <w:b/>
          <w:spacing w:val="-3"/>
          <w:sz w:val="24"/>
          <w:szCs w:val="24"/>
          <w:u w:val="single"/>
          <w:lang w:val="en-GB" w:eastAsia="hr-HR"/>
        </w:rPr>
        <w:sectPr w:rsidR="00B37082" w:rsidRPr="0005777B" w:rsidSect="00C23C95">
          <w:footerReference w:type="first" r:id="rId10"/>
          <w:pgSz w:w="11906" w:h="16838" w:code="9"/>
          <w:pgMar w:top="863" w:right="1133" w:bottom="1417" w:left="1417" w:header="709" w:footer="709" w:gutter="0"/>
          <w:cols w:space="708"/>
          <w:titlePg/>
          <w:docGrid w:linePitch="360"/>
        </w:sectPr>
      </w:pPr>
    </w:p>
    <w:p w:rsidR="001D2396" w:rsidRPr="0005777B" w:rsidRDefault="001D2396">
      <w:pPr>
        <w:rPr>
          <w:rFonts w:eastAsia="Times New Roman" w:cs="Calibri"/>
          <w:b/>
          <w:spacing w:val="-3"/>
          <w:sz w:val="24"/>
          <w:szCs w:val="24"/>
          <w:u w:val="single"/>
          <w:lang w:val="en-GB" w:eastAsia="hr-HR"/>
        </w:rPr>
      </w:pPr>
    </w:p>
    <w:p w:rsidR="001D2396" w:rsidRPr="0005777B" w:rsidRDefault="009E49A2"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5777B">
        <w:rPr>
          <w:rFonts w:eastAsia="Times New Roman" w:cs="Calibri"/>
          <w:b/>
          <w:caps/>
          <w:spacing w:val="-3"/>
          <w:sz w:val="26"/>
          <w:szCs w:val="26"/>
          <w:lang w:val="en-GB" w:eastAsia="hr-HR"/>
        </w:rPr>
        <w:t>BREAKDOWN OF THE MOST SIGNIFICANT FINANCIAL IN</w:t>
      </w:r>
      <w:r w:rsidR="00E12A0D" w:rsidRPr="0005777B">
        <w:rPr>
          <w:rFonts w:eastAsia="Times New Roman" w:cs="Calibri"/>
          <w:b/>
          <w:caps/>
          <w:spacing w:val="-3"/>
          <w:sz w:val="26"/>
          <w:szCs w:val="26"/>
          <w:lang w:val="en-GB" w:eastAsia="hr-HR"/>
        </w:rPr>
        <w:t xml:space="preserve">FORMATION </w:t>
      </w:r>
      <w:r w:rsidRPr="0005777B">
        <w:rPr>
          <w:rFonts w:eastAsia="Times New Roman" w:cs="Calibri"/>
          <w:b/>
          <w:caps/>
          <w:spacing w:val="-3"/>
          <w:sz w:val="26"/>
          <w:szCs w:val="26"/>
          <w:lang w:val="en-GB" w:eastAsia="hr-HR"/>
        </w:rPr>
        <w:t xml:space="preserve">OF hbor </w:t>
      </w:r>
      <w:r w:rsidR="00D845FC" w:rsidRPr="0005777B">
        <w:rPr>
          <w:rFonts w:eastAsia="Times New Roman" w:cs="Calibri"/>
          <w:b/>
          <w:caps/>
          <w:spacing w:val="-3"/>
          <w:sz w:val="26"/>
          <w:szCs w:val="26"/>
          <w:lang w:val="en-GB" w:eastAsia="hr-HR"/>
        </w:rPr>
        <w:t>GR</w:t>
      </w:r>
      <w:r w:rsidRPr="0005777B">
        <w:rPr>
          <w:rFonts w:eastAsia="Times New Roman" w:cs="Calibri"/>
          <w:b/>
          <w:caps/>
          <w:spacing w:val="-3"/>
          <w:sz w:val="26"/>
          <w:szCs w:val="26"/>
          <w:lang w:val="en-GB" w:eastAsia="hr-HR"/>
        </w:rPr>
        <w:t>O</w:t>
      </w:r>
      <w:r w:rsidR="00D845FC" w:rsidRPr="0005777B">
        <w:rPr>
          <w:rFonts w:eastAsia="Times New Roman" w:cs="Calibri"/>
          <w:b/>
          <w:caps/>
          <w:spacing w:val="-3"/>
          <w:sz w:val="26"/>
          <w:szCs w:val="26"/>
          <w:lang w:val="en-GB" w:eastAsia="hr-HR"/>
        </w:rPr>
        <w:t>UP</w:t>
      </w:r>
    </w:p>
    <w:p w:rsidR="00794772" w:rsidRPr="0005777B" w:rsidRDefault="00DB38B6" w:rsidP="00C23C95">
      <w:pPr>
        <w:spacing w:before="120" w:after="120"/>
        <w:ind w:left="360"/>
        <w:jc w:val="center"/>
        <w:rPr>
          <w:rFonts w:ascii="Calibri" w:hAnsi="Calibri" w:cs="Calibri"/>
          <w:lang w:val="en-GB"/>
        </w:rPr>
      </w:pPr>
      <w:r w:rsidRPr="0005777B">
        <w:rPr>
          <w:rFonts w:ascii="Calibri" w:hAnsi="Calibri" w:cs="Calibri"/>
          <w:bCs/>
          <w:lang w:val="en-GB"/>
        </w:rPr>
        <w:t>-</w:t>
      </w:r>
      <w:r w:rsidR="009E49A2" w:rsidRPr="0005777B">
        <w:rPr>
          <w:rFonts w:ascii="Calibri" w:hAnsi="Calibri" w:cs="Calibri"/>
          <w:bCs/>
          <w:lang w:val="en-GB"/>
        </w:rPr>
        <w:t>HRK millions</w:t>
      </w:r>
      <w:r w:rsidR="00794772" w:rsidRPr="0005777B">
        <w:rPr>
          <w:rFonts w:ascii="Calibri" w:hAnsi="Calibri" w:cs="Calibri"/>
          <w:bCs/>
          <w:lang w:val="en-GB"/>
        </w:rPr>
        <w:t>-</w:t>
      </w:r>
    </w:p>
    <w:p w:rsidR="00D845FC" w:rsidRPr="0005777B" w:rsidRDefault="00D845FC"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tbl>
      <w:tblPr>
        <w:tblW w:w="9115" w:type="dxa"/>
        <w:tblInd w:w="98" w:type="dxa"/>
        <w:tblLook w:val="04A0" w:firstRow="1" w:lastRow="0" w:firstColumn="1" w:lastColumn="0" w:noHBand="0" w:noVBand="1"/>
      </w:tblPr>
      <w:tblGrid>
        <w:gridCol w:w="3574"/>
        <w:gridCol w:w="2059"/>
        <w:gridCol w:w="1741"/>
        <w:gridCol w:w="1741"/>
      </w:tblGrid>
      <w:tr w:rsidR="00AA2E68" w:rsidRPr="0005777B" w:rsidTr="00366BCB">
        <w:trPr>
          <w:trHeight w:val="270"/>
        </w:trPr>
        <w:tc>
          <w:tcPr>
            <w:tcW w:w="3574" w:type="dxa"/>
            <w:tcBorders>
              <w:top w:val="single" w:sz="8" w:space="0" w:color="808080"/>
              <w:left w:val="single" w:sz="8" w:space="0" w:color="808080"/>
              <w:bottom w:val="single" w:sz="8" w:space="0" w:color="999999"/>
              <w:right w:val="single" w:sz="8" w:space="0" w:color="999999"/>
            </w:tcBorders>
            <w:shd w:val="clear" w:color="000000" w:fill="FFFFFF"/>
            <w:vAlign w:val="center"/>
            <w:hideMark/>
          </w:tcPr>
          <w:p w:rsidR="00AA2E68" w:rsidRPr="0005777B" w:rsidRDefault="00AA2E68" w:rsidP="00AA2E68">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w:t>
            </w:r>
          </w:p>
        </w:tc>
        <w:tc>
          <w:tcPr>
            <w:tcW w:w="2059" w:type="dxa"/>
            <w:tcBorders>
              <w:top w:val="single" w:sz="8" w:space="0" w:color="808080"/>
              <w:left w:val="nil"/>
              <w:bottom w:val="single" w:sz="8" w:space="0" w:color="999999"/>
              <w:right w:val="single" w:sz="8" w:space="0" w:color="999999"/>
            </w:tcBorders>
            <w:shd w:val="clear" w:color="000000" w:fill="FFFFFF"/>
            <w:vAlign w:val="center"/>
            <w:hideMark/>
          </w:tcPr>
          <w:p w:rsidR="00AA2E68" w:rsidRPr="0005777B" w:rsidRDefault="00AA2E68" w:rsidP="008446FB">
            <w:pPr>
              <w:spacing w:after="0" w:line="240" w:lineRule="auto"/>
              <w:jc w:val="right"/>
              <w:rPr>
                <w:rFonts w:ascii="Calibri" w:eastAsia="Times New Roman" w:hAnsi="Calibri" w:cs="Times New Roman"/>
                <w:b/>
                <w:bCs/>
                <w:color w:val="000000"/>
                <w:sz w:val="24"/>
                <w:szCs w:val="24"/>
                <w:lang w:val="en-GB" w:eastAsia="hr-HR"/>
              </w:rPr>
            </w:pPr>
            <w:r w:rsidRPr="0005777B">
              <w:rPr>
                <w:rFonts w:ascii="Calibri" w:eastAsia="Times New Roman" w:hAnsi="Calibri" w:cs="Times New Roman"/>
                <w:b/>
                <w:bCs/>
                <w:color w:val="000000"/>
                <w:sz w:val="24"/>
                <w:szCs w:val="24"/>
                <w:lang w:val="en-GB" w:eastAsia="hr-HR"/>
              </w:rPr>
              <w:t>2015</w:t>
            </w:r>
          </w:p>
        </w:tc>
        <w:tc>
          <w:tcPr>
            <w:tcW w:w="1741" w:type="dxa"/>
            <w:tcBorders>
              <w:top w:val="single" w:sz="8" w:space="0" w:color="808080"/>
              <w:left w:val="nil"/>
              <w:bottom w:val="single" w:sz="8" w:space="0" w:color="999999"/>
              <w:right w:val="single" w:sz="8" w:space="0" w:color="808080"/>
            </w:tcBorders>
            <w:shd w:val="clear" w:color="000000" w:fill="FFFFFF"/>
          </w:tcPr>
          <w:p w:rsidR="00AA2E68" w:rsidRPr="0005777B" w:rsidRDefault="00AA2E68" w:rsidP="008446FB">
            <w:pPr>
              <w:spacing w:after="0" w:line="240" w:lineRule="auto"/>
              <w:jc w:val="right"/>
              <w:rPr>
                <w:rFonts w:ascii="Calibri" w:eastAsia="Times New Roman" w:hAnsi="Calibri" w:cs="Times New Roman"/>
                <w:b/>
                <w:bCs/>
                <w:color w:val="000000"/>
                <w:sz w:val="24"/>
                <w:szCs w:val="24"/>
                <w:lang w:val="en-GB" w:eastAsia="hr-HR"/>
              </w:rPr>
            </w:pPr>
            <w:r w:rsidRPr="0005777B">
              <w:rPr>
                <w:rFonts w:ascii="Calibri" w:eastAsia="Times New Roman" w:hAnsi="Calibri" w:cs="Times New Roman"/>
                <w:b/>
                <w:bCs/>
                <w:color w:val="000000"/>
                <w:sz w:val="24"/>
                <w:szCs w:val="24"/>
                <w:lang w:val="en-GB" w:eastAsia="hr-HR"/>
              </w:rPr>
              <w:t>2016</w:t>
            </w:r>
          </w:p>
        </w:tc>
        <w:tc>
          <w:tcPr>
            <w:tcW w:w="1741" w:type="dxa"/>
            <w:tcBorders>
              <w:top w:val="single" w:sz="8" w:space="0" w:color="808080"/>
              <w:left w:val="single" w:sz="8" w:space="0" w:color="808080"/>
              <w:bottom w:val="single" w:sz="8" w:space="0" w:color="999999"/>
              <w:right w:val="single" w:sz="8" w:space="0" w:color="999999"/>
            </w:tcBorders>
            <w:shd w:val="clear" w:color="000000" w:fill="FFFFFF"/>
          </w:tcPr>
          <w:p w:rsidR="00AA2E68" w:rsidRPr="0005777B" w:rsidRDefault="00BA694A" w:rsidP="00284B85">
            <w:pPr>
              <w:spacing w:after="0" w:line="240" w:lineRule="auto"/>
              <w:jc w:val="right"/>
              <w:rPr>
                <w:rFonts w:ascii="Calibri" w:eastAsia="Times New Roman" w:hAnsi="Calibri" w:cs="Times New Roman"/>
                <w:b/>
                <w:bCs/>
                <w:color w:val="000000"/>
                <w:sz w:val="24"/>
                <w:szCs w:val="24"/>
                <w:lang w:val="en-GB" w:eastAsia="hr-HR"/>
              </w:rPr>
            </w:pPr>
            <w:r>
              <w:rPr>
                <w:rFonts w:ascii="Calibri" w:eastAsia="Times New Roman" w:hAnsi="Calibri" w:cs="Times New Roman"/>
                <w:b/>
                <w:bCs/>
                <w:color w:val="000000"/>
                <w:sz w:val="24"/>
                <w:szCs w:val="24"/>
                <w:lang w:val="en-GB" w:eastAsia="hr-HR"/>
              </w:rPr>
              <w:t>30 June</w:t>
            </w:r>
            <w:r w:rsidR="00284B85">
              <w:rPr>
                <w:rFonts w:ascii="Calibri" w:eastAsia="Times New Roman" w:hAnsi="Calibri" w:cs="Times New Roman"/>
                <w:b/>
                <w:bCs/>
                <w:color w:val="000000"/>
                <w:sz w:val="24"/>
                <w:szCs w:val="24"/>
                <w:lang w:val="en-GB" w:eastAsia="hr-HR"/>
              </w:rPr>
              <w:t xml:space="preserve"> </w:t>
            </w:r>
            <w:r w:rsidR="00AA2E68" w:rsidRPr="0005777B">
              <w:rPr>
                <w:rFonts w:ascii="Calibri" w:eastAsia="Times New Roman" w:hAnsi="Calibri" w:cs="Times New Roman"/>
                <w:b/>
                <w:bCs/>
                <w:color w:val="000000"/>
                <w:sz w:val="24"/>
                <w:szCs w:val="24"/>
                <w:lang w:val="en-GB" w:eastAsia="hr-HR"/>
              </w:rPr>
              <w:t>201</w:t>
            </w:r>
            <w:r w:rsidR="00794772" w:rsidRPr="0005777B">
              <w:rPr>
                <w:rFonts w:ascii="Calibri" w:eastAsia="Times New Roman" w:hAnsi="Calibri" w:cs="Times New Roman"/>
                <w:b/>
                <w:bCs/>
                <w:color w:val="000000"/>
                <w:sz w:val="24"/>
                <w:szCs w:val="24"/>
                <w:lang w:val="en-GB" w:eastAsia="hr-HR"/>
              </w:rPr>
              <w:t>7</w:t>
            </w:r>
          </w:p>
        </w:tc>
      </w:tr>
      <w:tr w:rsidR="00794772" w:rsidRPr="0005777B" w:rsidTr="00C23C95">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794772" w:rsidRPr="0005777B" w:rsidRDefault="008446FB"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xml:space="preserve">Total assets </w:t>
            </w:r>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hideMark/>
          </w:tcPr>
          <w:p w:rsidR="00794772" w:rsidRPr="0005777B" w:rsidRDefault="00794772" w:rsidP="00C76B9C">
            <w:pPr>
              <w:spacing w:after="0" w:line="240" w:lineRule="auto"/>
              <w:jc w:val="right"/>
              <w:rPr>
                <w:rFonts w:ascii="Calibri" w:eastAsia="Times New Roman" w:hAnsi="Calibri" w:cs="Times New Roman"/>
                <w:color w:val="000000"/>
                <w:sz w:val="24"/>
                <w:szCs w:val="24"/>
                <w:lang w:val="en-GB" w:eastAsia="hr-HR"/>
              </w:rPr>
            </w:pPr>
            <w:r w:rsidRPr="0005777B">
              <w:rPr>
                <w:rFonts w:ascii="Calibri" w:hAnsi="Calibri" w:cs="Calibri"/>
                <w:lang w:val="en-GB"/>
              </w:rPr>
              <w:t>25</w:t>
            </w:r>
            <w:r w:rsidR="00C76B9C" w:rsidRPr="0005777B">
              <w:rPr>
                <w:rFonts w:ascii="Calibri" w:hAnsi="Calibri" w:cs="Calibri"/>
                <w:lang w:val="en-GB"/>
              </w:rPr>
              <w:t>,</w:t>
            </w:r>
            <w:r w:rsidRPr="0005777B">
              <w:rPr>
                <w:rFonts w:ascii="Calibri" w:hAnsi="Calibri" w:cs="Calibri"/>
                <w:lang w:val="en-GB"/>
              </w:rPr>
              <w:t>552</w:t>
            </w:r>
            <w:r w:rsidR="00C76B9C" w:rsidRPr="0005777B">
              <w:rPr>
                <w:rFonts w:ascii="Calibri" w:hAnsi="Calibri" w:cs="Calibri"/>
                <w:lang w:val="en-GB"/>
              </w:rPr>
              <w:t>.</w:t>
            </w:r>
            <w:r w:rsidR="000A14D2" w:rsidRPr="0005777B">
              <w:rPr>
                <w:rFonts w:ascii="Calibri" w:hAnsi="Calibri" w:cs="Calibri"/>
                <w:lang w:val="en-GB"/>
              </w:rPr>
              <w:t>80</w:t>
            </w:r>
          </w:p>
        </w:tc>
        <w:tc>
          <w:tcPr>
            <w:tcW w:w="1741" w:type="dxa"/>
            <w:tcBorders>
              <w:top w:val="single" w:sz="8" w:space="0" w:color="999999"/>
              <w:left w:val="single" w:sz="8" w:space="0" w:color="999999"/>
              <w:bottom w:val="single" w:sz="8" w:space="0" w:color="999999"/>
              <w:right w:val="single" w:sz="6" w:space="0" w:color="999999"/>
            </w:tcBorders>
            <w:shd w:val="clear" w:color="auto" w:fill="FFFFFF"/>
            <w:vAlign w:val="center"/>
          </w:tcPr>
          <w:p w:rsidR="00794772" w:rsidRPr="0005777B" w:rsidRDefault="00794772" w:rsidP="00C76B9C">
            <w:pPr>
              <w:spacing w:after="0" w:line="240" w:lineRule="auto"/>
              <w:jc w:val="right"/>
              <w:rPr>
                <w:rFonts w:ascii="Calibri" w:eastAsia="Times New Roman" w:hAnsi="Calibri" w:cs="Times New Roman"/>
                <w:color w:val="000000"/>
                <w:sz w:val="24"/>
                <w:szCs w:val="24"/>
                <w:lang w:val="en-GB" w:eastAsia="hr-HR"/>
              </w:rPr>
            </w:pPr>
            <w:r w:rsidRPr="0005777B">
              <w:rPr>
                <w:rFonts w:ascii="Calibri" w:hAnsi="Calibri" w:cs="Calibri"/>
                <w:lang w:val="en-GB"/>
              </w:rPr>
              <w:t>27</w:t>
            </w:r>
            <w:r w:rsidR="00C76B9C" w:rsidRPr="0005777B">
              <w:rPr>
                <w:rFonts w:ascii="Calibri" w:hAnsi="Calibri" w:cs="Calibri"/>
                <w:lang w:val="en-GB"/>
              </w:rPr>
              <w:t>,</w:t>
            </w:r>
            <w:r w:rsidRPr="0005777B">
              <w:rPr>
                <w:rFonts w:ascii="Calibri" w:hAnsi="Calibri" w:cs="Calibri"/>
                <w:lang w:val="en-GB"/>
              </w:rPr>
              <w:t>390</w:t>
            </w:r>
            <w:r w:rsidR="00C76B9C" w:rsidRPr="0005777B">
              <w:rPr>
                <w:rFonts w:ascii="Calibri" w:hAnsi="Calibri" w:cs="Calibri"/>
                <w:lang w:val="en-GB"/>
              </w:rPr>
              <w:t>.</w:t>
            </w:r>
            <w:r w:rsidRPr="0005777B">
              <w:rPr>
                <w:rFonts w:ascii="Calibri" w:hAnsi="Calibri" w:cs="Calibri"/>
                <w:lang w:val="en-GB"/>
              </w:rPr>
              <w:t>82</w:t>
            </w:r>
          </w:p>
        </w:tc>
        <w:tc>
          <w:tcPr>
            <w:tcW w:w="1741" w:type="dxa"/>
            <w:tcBorders>
              <w:top w:val="nil"/>
              <w:left w:val="nil"/>
              <w:bottom w:val="single" w:sz="8" w:space="0" w:color="999999"/>
              <w:right w:val="single" w:sz="8" w:space="0" w:color="999999"/>
            </w:tcBorders>
            <w:shd w:val="clear" w:color="000000" w:fill="FFFFFF"/>
          </w:tcPr>
          <w:p w:rsidR="00794772" w:rsidRPr="0005777B" w:rsidRDefault="00BA694A" w:rsidP="00C76B9C">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27</w:t>
            </w:r>
            <w:r>
              <w:rPr>
                <w:rFonts w:ascii="Calibri" w:hAnsi="Calibri"/>
                <w:color w:val="000000"/>
                <w:sz w:val="24"/>
                <w:szCs w:val="24"/>
              </w:rPr>
              <w:t>,</w:t>
            </w:r>
            <w:r w:rsidRPr="00236941">
              <w:rPr>
                <w:rFonts w:ascii="Calibri" w:hAnsi="Calibri"/>
                <w:color w:val="000000"/>
                <w:sz w:val="24"/>
                <w:szCs w:val="24"/>
              </w:rPr>
              <w:t>823</w:t>
            </w:r>
            <w:r>
              <w:rPr>
                <w:rFonts w:ascii="Calibri" w:hAnsi="Calibri"/>
                <w:color w:val="000000"/>
                <w:sz w:val="24"/>
                <w:szCs w:val="24"/>
              </w:rPr>
              <w:t>.</w:t>
            </w:r>
            <w:r w:rsidRPr="00236941">
              <w:rPr>
                <w:rFonts w:ascii="Calibri" w:hAnsi="Calibri"/>
                <w:color w:val="000000"/>
                <w:sz w:val="24"/>
                <w:szCs w:val="24"/>
              </w:rPr>
              <w:t>84</w:t>
            </w:r>
          </w:p>
        </w:tc>
      </w:tr>
      <w:tr w:rsidR="00794772" w:rsidRPr="0005777B" w:rsidTr="00C23C95">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794772" w:rsidRPr="0005777B" w:rsidRDefault="008446FB"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Gross loans</w:t>
            </w:r>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hideMark/>
          </w:tcPr>
          <w:p w:rsidR="00794772" w:rsidRPr="0005777B" w:rsidRDefault="00794772" w:rsidP="00C76B9C">
            <w:pPr>
              <w:spacing w:after="0" w:line="240" w:lineRule="auto"/>
              <w:jc w:val="right"/>
              <w:rPr>
                <w:rFonts w:ascii="Calibri" w:eastAsia="Times New Roman" w:hAnsi="Calibri" w:cs="Times New Roman"/>
                <w:color w:val="000000"/>
                <w:sz w:val="24"/>
                <w:szCs w:val="24"/>
                <w:lang w:val="en-GB" w:eastAsia="hr-HR"/>
              </w:rPr>
            </w:pPr>
            <w:r w:rsidRPr="0005777B">
              <w:rPr>
                <w:rFonts w:ascii="Calibri" w:hAnsi="Calibri" w:cs="Calibri"/>
                <w:lang w:val="en-GB"/>
              </w:rPr>
              <w:t>24</w:t>
            </w:r>
            <w:r w:rsidR="00C76B9C" w:rsidRPr="0005777B">
              <w:rPr>
                <w:rFonts w:ascii="Calibri" w:hAnsi="Calibri" w:cs="Calibri"/>
                <w:lang w:val="en-GB"/>
              </w:rPr>
              <w:t>,</w:t>
            </w:r>
            <w:r w:rsidRPr="0005777B">
              <w:rPr>
                <w:rFonts w:ascii="Calibri" w:hAnsi="Calibri" w:cs="Calibri"/>
                <w:lang w:val="en-GB"/>
              </w:rPr>
              <w:t>722</w:t>
            </w:r>
            <w:r w:rsidR="00C76B9C" w:rsidRPr="0005777B">
              <w:rPr>
                <w:rFonts w:ascii="Calibri" w:hAnsi="Calibri" w:cs="Calibri"/>
                <w:lang w:val="en-GB"/>
              </w:rPr>
              <w:t>.</w:t>
            </w:r>
            <w:r w:rsidRPr="0005777B">
              <w:rPr>
                <w:rFonts w:ascii="Calibri" w:hAnsi="Calibri" w:cs="Calibri"/>
                <w:lang w:val="en-GB"/>
              </w:rPr>
              <w:t>82</w:t>
            </w:r>
          </w:p>
        </w:tc>
        <w:tc>
          <w:tcPr>
            <w:tcW w:w="1741" w:type="dxa"/>
            <w:tcBorders>
              <w:top w:val="single" w:sz="8" w:space="0" w:color="999999"/>
              <w:left w:val="single" w:sz="8" w:space="0" w:color="999999"/>
              <w:bottom w:val="single" w:sz="8" w:space="0" w:color="999999"/>
              <w:right w:val="single" w:sz="6" w:space="0" w:color="999999"/>
            </w:tcBorders>
            <w:shd w:val="clear" w:color="auto" w:fill="FFFFFF"/>
            <w:vAlign w:val="center"/>
          </w:tcPr>
          <w:p w:rsidR="00794772" w:rsidRPr="0005777B" w:rsidRDefault="00794772" w:rsidP="00C76B9C">
            <w:pPr>
              <w:spacing w:after="0" w:line="240" w:lineRule="auto"/>
              <w:jc w:val="right"/>
              <w:rPr>
                <w:rFonts w:ascii="Calibri" w:eastAsia="Times New Roman" w:hAnsi="Calibri" w:cs="Times New Roman"/>
                <w:color w:val="000000"/>
                <w:sz w:val="24"/>
                <w:szCs w:val="24"/>
                <w:lang w:val="en-GB" w:eastAsia="hr-HR"/>
              </w:rPr>
            </w:pPr>
            <w:r w:rsidRPr="0005777B">
              <w:rPr>
                <w:rFonts w:ascii="Calibri" w:hAnsi="Calibri" w:cs="Calibri"/>
                <w:lang w:val="en-GB"/>
              </w:rPr>
              <w:t>26</w:t>
            </w:r>
            <w:r w:rsidR="00C76B9C" w:rsidRPr="0005777B">
              <w:rPr>
                <w:rFonts w:ascii="Calibri" w:hAnsi="Calibri" w:cs="Calibri"/>
                <w:lang w:val="en-GB"/>
              </w:rPr>
              <w:t>,</w:t>
            </w:r>
            <w:r w:rsidRPr="0005777B">
              <w:rPr>
                <w:rFonts w:ascii="Calibri" w:hAnsi="Calibri" w:cs="Calibri"/>
                <w:lang w:val="en-GB"/>
              </w:rPr>
              <w:t>343</w:t>
            </w:r>
            <w:r w:rsidR="00C76B9C" w:rsidRPr="0005777B">
              <w:rPr>
                <w:rFonts w:ascii="Calibri" w:hAnsi="Calibri" w:cs="Calibri"/>
                <w:lang w:val="en-GB"/>
              </w:rPr>
              <w:t>.</w:t>
            </w:r>
            <w:r w:rsidRPr="0005777B">
              <w:rPr>
                <w:rFonts w:ascii="Calibri" w:hAnsi="Calibri" w:cs="Calibri"/>
                <w:lang w:val="en-GB"/>
              </w:rPr>
              <w:t>12</w:t>
            </w:r>
          </w:p>
        </w:tc>
        <w:tc>
          <w:tcPr>
            <w:tcW w:w="1741" w:type="dxa"/>
            <w:tcBorders>
              <w:top w:val="nil"/>
              <w:left w:val="nil"/>
              <w:bottom w:val="single" w:sz="8" w:space="0" w:color="999999"/>
              <w:right w:val="single" w:sz="8" w:space="0" w:color="999999"/>
            </w:tcBorders>
            <w:shd w:val="clear" w:color="000000" w:fill="FFFFFF"/>
          </w:tcPr>
          <w:p w:rsidR="00794772" w:rsidRPr="0005777B" w:rsidRDefault="00BA694A" w:rsidP="00C76B9C">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25</w:t>
            </w:r>
            <w:r>
              <w:rPr>
                <w:rFonts w:ascii="Calibri" w:hAnsi="Calibri"/>
                <w:color w:val="000000"/>
                <w:sz w:val="24"/>
                <w:szCs w:val="24"/>
              </w:rPr>
              <w:t>,</w:t>
            </w:r>
            <w:r w:rsidRPr="00236941">
              <w:rPr>
                <w:rFonts w:ascii="Calibri" w:hAnsi="Calibri"/>
                <w:color w:val="000000"/>
                <w:sz w:val="24"/>
                <w:szCs w:val="24"/>
              </w:rPr>
              <w:t>946</w:t>
            </w:r>
            <w:r>
              <w:rPr>
                <w:rFonts w:ascii="Calibri" w:hAnsi="Calibri"/>
                <w:color w:val="000000"/>
                <w:sz w:val="24"/>
                <w:szCs w:val="24"/>
              </w:rPr>
              <w:t>.</w:t>
            </w:r>
            <w:r w:rsidRPr="00236941">
              <w:rPr>
                <w:rFonts w:ascii="Calibri" w:hAnsi="Calibri"/>
                <w:color w:val="000000"/>
                <w:sz w:val="24"/>
                <w:szCs w:val="24"/>
              </w:rPr>
              <w:t>82</w:t>
            </w:r>
          </w:p>
        </w:tc>
      </w:tr>
      <w:tr w:rsidR="00794772" w:rsidRPr="0005777B" w:rsidTr="00366BCB">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794772" w:rsidRPr="0005777B" w:rsidRDefault="008446FB"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xml:space="preserve">Total equity </w:t>
            </w:r>
          </w:p>
        </w:tc>
        <w:tc>
          <w:tcPr>
            <w:tcW w:w="2059" w:type="dxa"/>
            <w:tcBorders>
              <w:top w:val="single" w:sz="8" w:space="0" w:color="999999"/>
              <w:left w:val="single" w:sz="6" w:space="0" w:color="999999"/>
              <w:bottom w:val="single" w:sz="8" w:space="0" w:color="999999"/>
              <w:right w:val="single" w:sz="8" w:space="0" w:color="999999"/>
            </w:tcBorders>
            <w:shd w:val="clear" w:color="auto" w:fill="FFFFFF"/>
            <w:vAlign w:val="center"/>
            <w:hideMark/>
          </w:tcPr>
          <w:p w:rsidR="00794772" w:rsidRPr="0005777B" w:rsidRDefault="00794772" w:rsidP="00C76B9C">
            <w:pPr>
              <w:spacing w:after="0" w:line="240" w:lineRule="auto"/>
              <w:jc w:val="right"/>
              <w:rPr>
                <w:rFonts w:ascii="Calibri" w:eastAsia="Times New Roman" w:hAnsi="Calibri" w:cs="Times New Roman"/>
                <w:color w:val="000000"/>
                <w:sz w:val="24"/>
                <w:szCs w:val="24"/>
                <w:lang w:val="en-GB" w:eastAsia="hr-HR"/>
              </w:rPr>
            </w:pPr>
            <w:r w:rsidRPr="0005777B">
              <w:rPr>
                <w:rFonts w:ascii="Calibri" w:hAnsi="Calibri" w:cs="Calibri"/>
                <w:lang w:val="en-GB"/>
              </w:rPr>
              <w:t>9</w:t>
            </w:r>
            <w:r w:rsidR="00C76B9C" w:rsidRPr="0005777B">
              <w:rPr>
                <w:rFonts w:ascii="Calibri" w:hAnsi="Calibri" w:cs="Calibri"/>
                <w:lang w:val="en-GB"/>
              </w:rPr>
              <w:t>,</w:t>
            </w:r>
            <w:r w:rsidRPr="0005777B">
              <w:rPr>
                <w:rFonts w:ascii="Calibri" w:hAnsi="Calibri" w:cs="Calibri"/>
                <w:lang w:val="en-GB"/>
              </w:rPr>
              <w:t>664</w:t>
            </w:r>
            <w:r w:rsidR="00C76B9C" w:rsidRPr="0005777B">
              <w:rPr>
                <w:rFonts w:ascii="Calibri" w:hAnsi="Calibri" w:cs="Calibri"/>
                <w:lang w:val="en-GB"/>
              </w:rPr>
              <w:t>.</w:t>
            </w:r>
            <w:r w:rsidRPr="0005777B">
              <w:rPr>
                <w:rFonts w:ascii="Calibri" w:hAnsi="Calibri" w:cs="Calibri"/>
                <w:lang w:val="en-GB"/>
              </w:rPr>
              <w:t>54</w:t>
            </w:r>
          </w:p>
        </w:tc>
        <w:tc>
          <w:tcPr>
            <w:tcW w:w="1741" w:type="dxa"/>
            <w:tcBorders>
              <w:top w:val="single" w:sz="8" w:space="0" w:color="999999"/>
              <w:left w:val="single" w:sz="8" w:space="0" w:color="999999"/>
              <w:bottom w:val="single" w:sz="8" w:space="0" w:color="999999"/>
              <w:right w:val="single" w:sz="6" w:space="0" w:color="999999"/>
            </w:tcBorders>
            <w:shd w:val="clear" w:color="auto" w:fill="FFFFFF"/>
            <w:vAlign w:val="center"/>
          </w:tcPr>
          <w:p w:rsidR="00794772" w:rsidRPr="0005777B" w:rsidRDefault="00794772" w:rsidP="00C76B9C">
            <w:pPr>
              <w:spacing w:after="0" w:line="240" w:lineRule="auto"/>
              <w:jc w:val="right"/>
              <w:rPr>
                <w:rFonts w:ascii="Calibri" w:eastAsia="Times New Roman" w:hAnsi="Calibri" w:cs="Times New Roman"/>
                <w:color w:val="000000"/>
                <w:sz w:val="24"/>
                <w:szCs w:val="24"/>
                <w:lang w:val="en-GB" w:eastAsia="hr-HR"/>
              </w:rPr>
            </w:pPr>
            <w:r w:rsidRPr="0005777B">
              <w:rPr>
                <w:rFonts w:ascii="Calibri" w:hAnsi="Calibri" w:cs="Calibri"/>
                <w:lang w:val="en-GB"/>
              </w:rPr>
              <w:t>10</w:t>
            </w:r>
            <w:r w:rsidR="00C76B9C" w:rsidRPr="0005777B">
              <w:rPr>
                <w:rFonts w:ascii="Calibri" w:hAnsi="Calibri" w:cs="Calibri"/>
                <w:lang w:val="en-GB"/>
              </w:rPr>
              <w:t>,</w:t>
            </w:r>
            <w:r w:rsidRPr="0005777B">
              <w:rPr>
                <w:rFonts w:ascii="Calibri" w:hAnsi="Calibri" w:cs="Calibri"/>
                <w:lang w:val="en-GB"/>
              </w:rPr>
              <w:t>042</w:t>
            </w:r>
            <w:r w:rsidR="00C76B9C" w:rsidRPr="0005777B">
              <w:rPr>
                <w:rFonts w:ascii="Calibri" w:hAnsi="Calibri" w:cs="Calibri"/>
                <w:lang w:val="en-GB"/>
              </w:rPr>
              <w:t>.</w:t>
            </w:r>
            <w:r w:rsidRPr="0005777B">
              <w:rPr>
                <w:rFonts w:ascii="Calibri" w:hAnsi="Calibri" w:cs="Calibri"/>
                <w:lang w:val="en-GB"/>
              </w:rPr>
              <w:t>70</w:t>
            </w:r>
          </w:p>
        </w:tc>
        <w:tc>
          <w:tcPr>
            <w:tcW w:w="1741" w:type="dxa"/>
            <w:tcBorders>
              <w:top w:val="nil"/>
              <w:left w:val="nil"/>
              <w:bottom w:val="single" w:sz="8" w:space="0" w:color="999999"/>
              <w:right w:val="single" w:sz="8" w:space="0" w:color="999999"/>
            </w:tcBorders>
            <w:shd w:val="clear" w:color="000000" w:fill="FFFFFF"/>
          </w:tcPr>
          <w:p w:rsidR="00794772" w:rsidRPr="0005777B" w:rsidRDefault="00BA694A" w:rsidP="00C76B9C">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10</w:t>
            </w:r>
            <w:r>
              <w:rPr>
                <w:rFonts w:ascii="Calibri" w:hAnsi="Calibri"/>
                <w:color w:val="000000"/>
                <w:sz w:val="24"/>
                <w:szCs w:val="24"/>
              </w:rPr>
              <w:t>,</w:t>
            </w:r>
            <w:r w:rsidRPr="00236941">
              <w:rPr>
                <w:rFonts w:ascii="Calibri" w:hAnsi="Calibri"/>
                <w:color w:val="000000"/>
                <w:sz w:val="24"/>
                <w:szCs w:val="24"/>
              </w:rPr>
              <w:t>172</w:t>
            </w:r>
            <w:r>
              <w:rPr>
                <w:rFonts w:ascii="Calibri" w:hAnsi="Calibri"/>
                <w:color w:val="000000"/>
                <w:sz w:val="24"/>
                <w:szCs w:val="24"/>
              </w:rPr>
              <w:t>.</w:t>
            </w:r>
            <w:r w:rsidRPr="00236941">
              <w:rPr>
                <w:rFonts w:ascii="Calibri" w:hAnsi="Calibri"/>
                <w:color w:val="000000"/>
                <w:sz w:val="24"/>
                <w:szCs w:val="24"/>
              </w:rPr>
              <w:t>67</w:t>
            </w:r>
          </w:p>
        </w:tc>
      </w:tr>
      <w:tr w:rsidR="005F1EB0" w:rsidRPr="0005777B" w:rsidTr="00366BCB">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AA2E68" w:rsidRPr="0005777B" w:rsidRDefault="00AA2E68" w:rsidP="00AA2E68">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w:t>
            </w:r>
          </w:p>
        </w:tc>
        <w:tc>
          <w:tcPr>
            <w:tcW w:w="2059" w:type="dxa"/>
            <w:tcBorders>
              <w:top w:val="single" w:sz="8" w:space="0" w:color="999999"/>
              <w:left w:val="nil"/>
              <w:bottom w:val="single" w:sz="8" w:space="0" w:color="999999"/>
              <w:right w:val="single" w:sz="8" w:space="0" w:color="999999"/>
            </w:tcBorders>
            <w:shd w:val="clear" w:color="000000" w:fill="FFFFFF"/>
            <w:vAlign w:val="center"/>
            <w:hideMark/>
          </w:tcPr>
          <w:p w:rsidR="00AA2E68" w:rsidRPr="0005777B" w:rsidRDefault="00AA2E68" w:rsidP="00AA2E68">
            <w:pPr>
              <w:spacing w:after="0" w:line="240" w:lineRule="auto"/>
              <w:jc w:val="right"/>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w:t>
            </w:r>
          </w:p>
        </w:tc>
        <w:tc>
          <w:tcPr>
            <w:tcW w:w="1741" w:type="dxa"/>
            <w:tcBorders>
              <w:top w:val="single" w:sz="8" w:space="0" w:color="999999"/>
              <w:left w:val="nil"/>
              <w:bottom w:val="single" w:sz="8" w:space="0" w:color="999999"/>
              <w:right w:val="single" w:sz="8" w:space="0" w:color="999999"/>
            </w:tcBorders>
            <w:shd w:val="clear" w:color="000000" w:fill="FFFFFF"/>
          </w:tcPr>
          <w:p w:rsidR="00AA2E68" w:rsidRPr="0005777B" w:rsidRDefault="00AA2E68" w:rsidP="00AA2E68">
            <w:pPr>
              <w:spacing w:after="0" w:line="240" w:lineRule="auto"/>
              <w:jc w:val="right"/>
              <w:rPr>
                <w:rFonts w:ascii="Calibri" w:eastAsia="Times New Roman" w:hAnsi="Calibri" w:cs="Times New Roman"/>
                <w:color w:val="000000"/>
                <w:sz w:val="24"/>
                <w:szCs w:val="24"/>
                <w:lang w:val="en-GB" w:eastAsia="hr-HR"/>
              </w:rPr>
            </w:pPr>
          </w:p>
        </w:tc>
        <w:tc>
          <w:tcPr>
            <w:tcW w:w="1741" w:type="dxa"/>
            <w:tcBorders>
              <w:top w:val="single" w:sz="8" w:space="0" w:color="999999"/>
              <w:left w:val="single" w:sz="8" w:space="0" w:color="999999"/>
              <w:bottom w:val="single" w:sz="8" w:space="0" w:color="999999"/>
              <w:right w:val="single" w:sz="8" w:space="0" w:color="999999"/>
            </w:tcBorders>
            <w:shd w:val="clear" w:color="000000" w:fill="FFFFFF"/>
          </w:tcPr>
          <w:p w:rsidR="00AA2E68" w:rsidRPr="0005777B" w:rsidRDefault="00AA2E68" w:rsidP="00AA2E68">
            <w:pPr>
              <w:spacing w:after="0" w:line="240" w:lineRule="auto"/>
              <w:jc w:val="right"/>
              <w:rPr>
                <w:rFonts w:ascii="Calibri" w:eastAsia="Times New Roman" w:hAnsi="Calibri" w:cs="Times New Roman"/>
                <w:color w:val="000000"/>
                <w:sz w:val="24"/>
                <w:szCs w:val="24"/>
                <w:lang w:val="en-GB" w:eastAsia="hr-HR"/>
              </w:rPr>
            </w:pPr>
          </w:p>
        </w:tc>
      </w:tr>
      <w:tr w:rsidR="00AA2E68" w:rsidRPr="0005777B" w:rsidTr="00C23C95">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tcPr>
          <w:p w:rsidR="00AA2E68" w:rsidRPr="0005777B" w:rsidRDefault="00AA2E68" w:rsidP="00AA2E68">
            <w:pPr>
              <w:spacing w:after="0" w:line="240" w:lineRule="auto"/>
              <w:rPr>
                <w:rFonts w:ascii="Calibri" w:eastAsia="Times New Roman" w:hAnsi="Calibri" w:cs="Times New Roman"/>
                <w:color w:val="000000"/>
                <w:sz w:val="24"/>
                <w:szCs w:val="24"/>
                <w:lang w:val="en-GB" w:eastAsia="hr-HR"/>
              </w:rPr>
            </w:pPr>
          </w:p>
        </w:tc>
        <w:tc>
          <w:tcPr>
            <w:tcW w:w="2059" w:type="dxa"/>
            <w:tcBorders>
              <w:top w:val="nil"/>
              <w:left w:val="nil"/>
              <w:bottom w:val="single" w:sz="8" w:space="0" w:color="999999"/>
              <w:right w:val="single" w:sz="8" w:space="0" w:color="999999"/>
            </w:tcBorders>
            <w:shd w:val="clear" w:color="000000" w:fill="FFFFFF"/>
            <w:vAlign w:val="center"/>
          </w:tcPr>
          <w:p w:rsidR="00AA2E68" w:rsidRPr="0005777B" w:rsidRDefault="00697416" w:rsidP="00C76B9C">
            <w:pPr>
              <w:spacing w:after="0" w:line="240" w:lineRule="auto"/>
              <w:jc w:val="right"/>
              <w:rPr>
                <w:rFonts w:ascii="Calibri" w:eastAsia="Times New Roman" w:hAnsi="Calibri" w:cs="Times New Roman"/>
                <w:color w:val="000000"/>
                <w:sz w:val="24"/>
                <w:szCs w:val="24"/>
                <w:lang w:val="en-GB" w:eastAsia="hr-HR"/>
              </w:rPr>
            </w:pPr>
            <w:r>
              <w:rPr>
                <w:rFonts w:ascii="Calibri" w:hAnsi="Calibri"/>
                <w:b/>
                <w:bCs/>
                <w:color w:val="000000"/>
                <w:sz w:val="24"/>
                <w:szCs w:val="24"/>
                <w:lang w:val="en-GB"/>
              </w:rPr>
              <w:t>30 June</w:t>
            </w:r>
            <w:r w:rsidR="00C76B9C" w:rsidRPr="0005777B">
              <w:rPr>
                <w:rFonts w:ascii="Calibri" w:hAnsi="Calibri"/>
                <w:b/>
                <w:bCs/>
                <w:color w:val="000000"/>
                <w:sz w:val="24"/>
                <w:szCs w:val="24"/>
                <w:lang w:val="en-GB"/>
              </w:rPr>
              <w:t xml:space="preserve"> </w:t>
            </w:r>
            <w:r w:rsidR="00AA2E68" w:rsidRPr="0005777B">
              <w:rPr>
                <w:rFonts w:ascii="Calibri" w:hAnsi="Calibri"/>
                <w:b/>
                <w:bCs/>
                <w:color w:val="000000"/>
                <w:sz w:val="24"/>
                <w:szCs w:val="24"/>
                <w:lang w:val="en-GB"/>
              </w:rPr>
              <w:t>2015</w:t>
            </w:r>
          </w:p>
        </w:tc>
        <w:tc>
          <w:tcPr>
            <w:tcW w:w="1741" w:type="dxa"/>
            <w:tcBorders>
              <w:top w:val="single" w:sz="8" w:space="0" w:color="999999"/>
              <w:left w:val="nil"/>
              <w:bottom w:val="single" w:sz="8" w:space="0" w:color="999999"/>
              <w:right w:val="single" w:sz="8" w:space="0" w:color="999999"/>
            </w:tcBorders>
            <w:shd w:val="clear" w:color="000000" w:fill="FFFFFF"/>
          </w:tcPr>
          <w:p w:rsidR="00AA2E68" w:rsidRPr="0005777B" w:rsidRDefault="00697416" w:rsidP="00C76B9C">
            <w:pPr>
              <w:spacing w:after="0" w:line="240" w:lineRule="auto"/>
              <w:jc w:val="right"/>
              <w:rPr>
                <w:rFonts w:ascii="Calibri" w:hAnsi="Calibri"/>
                <w:b/>
                <w:bCs/>
                <w:color w:val="000000"/>
                <w:sz w:val="24"/>
                <w:szCs w:val="24"/>
                <w:lang w:val="en-GB"/>
              </w:rPr>
            </w:pPr>
            <w:r>
              <w:rPr>
                <w:rFonts w:ascii="Calibri" w:hAnsi="Calibri"/>
                <w:b/>
                <w:bCs/>
                <w:color w:val="000000"/>
                <w:sz w:val="24"/>
                <w:szCs w:val="24"/>
                <w:lang w:val="en-GB"/>
              </w:rPr>
              <w:t>30 June</w:t>
            </w:r>
            <w:r w:rsidR="00C76B9C" w:rsidRPr="0005777B">
              <w:rPr>
                <w:rFonts w:ascii="Calibri" w:hAnsi="Calibri"/>
                <w:b/>
                <w:bCs/>
                <w:color w:val="000000"/>
                <w:sz w:val="24"/>
                <w:szCs w:val="24"/>
                <w:lang w:val="en-GB"/>
              </w:rPr>
              <w:t xml:space="preserve"> </w:t>
            </w:r>
            <w:r w:rsidR="00AA2E68" w:rsidRPr="0005777B">
              <w:rPr>
                <w:rFonts w:ascii="Calibri" w:hAnsi="Calibri"/>
                <w:b/>
                <w:bCs/>
                <w:color w:val="000000"/>
                <w:sz w:val="24"/>
                <w:szCs w:val="24"/>
                <w:lang w:val="en-GB"/>
              </w:rPr>
              <w:t>2016</w:t>
            </w:r>
          </w:p>
        </w:tc>
        <w:tc>
          <w:tcPr>
            <w:tcW w:w="1741" w:type="dxa"/>
            <w:tcBorders>
              <w:top w:val="nil"/>
              <w:left w:val="single" w:sz="8" w:space="0" w:color="999999"/>
              <w:bottom w:val="single" w:sz="8" w:space="0" w:color="999999"/>
              <w:right w:val="single" w:sz="8" w:space="0" w:color="999999"/>
            </w:tcBorders>
            <w:shd w:val="clear" w:color="000000" w:fill="FFFFFF"/>
            <w:vAlign w:val="center"/>
          </w:tcPr>
          <w:p w:rsidR="00AA2E68" w:rsidRPr="0005777B" w:rsidRDefault="00697416" w:rsidP="00C76B9C">
            <w:pPr>
              <w:spacing w:after="0" w:line="240" w:lineRule="auto"/>
              <w:jc w:val="right"/>
              <w:rPr>
                <w:rFonts w:ascii="Calibri" w:eastAsia="Times New Roman" w:hAnsi="Calibri" w:cs="Times New Roman"/>
                <w:color w:val="000000"/>
                <w:sz w:val="24"/>
                <w:szCs w:val="24"/>
                <w:lang w:val="en-GB" w:eastAsia="hr-HR"/>
              </w:rPr>
            </w:pPr>
            <w:r>
              <w:rPr>
                <w:rFonts w:ascii="Calibri" w:hAnsi="Calibri"/>
                <w:b/>
                <w:bCs/>
                <w:color w:val="000000"/>
                <w:sz w:val="24"/>
                <w:szCs w:val="24"/>
                <w:lang w:val="en-GB"/>
              </w:rPr>
              <w:t>30 June</w:t>
            </w:r>
            <w:r w:rsidR="00C76B9C" w:rsidRPr="0005777B">
              <w:rPr>
                <w:rFonts w:ascii="Calibri" w:hAnsi="Calibri"/>
                <w:b/>
                <w:bCs/>
                <w:color w:val="000000"/>
                <w:sz w:val="24"/>
                <w:szCs w:val="24"/>
                <w:lang w:val="en-GB"/>
              </w:rPr>
              <w:t xml:space="preserve"> </w:t>
            </w:r>
            <w:r w:rsidR="00AA2E68" w:rsidRPr="0005777B">
              <w:rPr>
                <w:rFonts w:ascii="Calibri" w:hAnsi="Calibri"/>
                <w:b/>
                <w:bCs/>
                <w:color w:val="000000"/>
                <w:sz w:val="24"/>
                <w:szCs w:val="24"/>
                <w:lang w:val="en-GB"/>
              </w:rPr>
              <w:t>2017</w:t>
            </w:r>
          </w:p>
        </w:tc>
      </w:tr>
      <w:tr w:rsidR="00AA2E68" w:rsidRPr="0005777B" w:rsidTr="00C23C95">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AA2E68" w:rsidRPr="0005777B" w:rsidRDefault="008446FB"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xml:space="preserve">Total income </w:t>
            </w:r>
          </w:p>
        </w:tc>
        <w:tc>
          <w:tcPr>
            <w:tcW w:w="2059" w:type="dxa"/>
            <w:tcBorders>
              <w:top w:val="nil"/>
              <w:left w:val="nil"/>
              <w:bottom w:val="single" w:sz="8" w:space="0" w:color="999999"/>
              <w:right w:val="single" w:sz="8" w:space="0" w:color="999999"/>
            </w:tcBorders>
            <w:shd w:val="clear" w:color="000000" w:fill="FFFFFF"/>
            <w:vAlign w:val="center"/>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456</w:t>
            </w:r>
            <w:r>
              <w:rPr>
                <w:rFonts w:ascii="Calibri" w:hAnsi="Calibri"/>
                <w:color w:val="000000"/>
                <w:sz w:val="24"/>
                <w:szCs w:val="24"/>
              </w:rPr>
              <w:t>.</w:t>
            </w:r>
            <w:r w:rsidRPr="00236941">
              <w:rPr>
                <w:rFonts w:ascii="Calibri" w:hAnsi="Calibri"/>
                <w:color w:val="000000"/>
                <w:sz w:val="24"/>
                <w:szCs w:val="24"/>
              </w:rPr>
              <w:t>16</w:t>
            </w:r>
          </w:p>
        </w:tc>
        <w:tc>
          <w:tcPr>
            <w:tcW w:w="1741" w:type="dxa"/>
            <w:tcBorders>
              <w:top w:val="single" w:sz="8" w:space="0" w:color="999999"/>
              <w:left w:val="nil"/>
              <w:bottom w:val="single" w:sz="8" w:space="0" w:color="999999"/>
              <w:right w:val="single" w:sz="8" w:space="0" w:color="999999"/>
            </w:tcBorders>
            <w:shd w:val="clear" w:color="000000" w:fill="FFFFFF"/>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450</w:t>
            </w:r>
            <w:r>
              <w:rPr>
                <w:rFonts w:ascii="Calibri" w:hAnsi="Calibri"/>
                <w:color w:val="000000"/>
                <w:sz w:val="24"/>
                <w:szCs w:val="24"/>
              </w:rPr>
              <w:t>.</w:t>
            </w:r>
            <w:r w:rsidRPr="00236941">
              <w:rPr>
                <w:rFonts w:ascii="Calibri" w:hAnsi="Calibri"/>
                <w:color w:val="000000"/>
                <w:sz w:val="24"/>
                <w:szCs w:val="24"/>
              </w:rPr>
              <w:t>98</w:t>
            </w:r>
          </w:p>
        </w:tc>
        <w:tc>
          <w:tcPr>
            <w:tcW w:w="1741" w:type="dxa"/>
            <w:tcBorders>
              <w:top w:val="nil"/>
              <w:left w:val="single" w:sz="8" w:space="0" w:color="999999"/>
              <w:bottom w:val="single" w:sz="8" w:space="0" w:color="999999"/>
              <w:right w:val="single" w:sz="8" w:space="0" w:color="999999"/>
            </w:tcBorders>
            <w:shd w:val="clear" w:color="000000" w:fill="FFFFFF"/>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476</w:t>
            </w:r>
            <w:r>
              <w:rPr>
                <w:rFonts w:ascii="Calibri" w:hAnsi="Calibri"/>
                <w:color w:val="000000"/>
                <w:sz w:val="24"/>
                <w:szCs w:val="24"/>
              </w:rPr>
              <w:t>.</w:t>
            </w:r>
            <w:r w:rsidRPr="00236941">
              <w:rPr>
                <w:rFonts w:ascii="Calibri" w:hAnsi="Calibri"/>
                <w:color w:val="000000"/>
                <w:sz w:val="24"/>
                <w:szCs w:val="24"/>
              </w:rPr>
              <w:t>54</w:t>
            </w:r>
          </w:p>
        </w:tc>
      </w:tr>
      <w:tr w:rsidR="00AA2E68" w:rsidRPr="0005777B" w:rsidTr="00C23C95">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AA2E68" w:rsidRPr="0005777B" w:rsidRDefault="008446FB"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xml:space="preserve">Total expense </w:t>
            </w:r>
          </w:p>
        </w:tc>
        <w:tc>
          <w:tcPr>
            <w:tcW w:w="2059" w:type="dxa"/>
            <w:tcBorders>
              <w:top w:val="nil"/>
              <w:left w:val="nil"/>
              <w:bottom w:val="single" w:sz="8" w:space="0" w:color="999999"/>
              <w:right w:val="single" w:sz="8" w:space="0" w:color="999999"/>
            </w:tcBorders>
            <w:shd w:val="clear" w:color="000000" w:fill="FFFFFF"/>
            <w:vAlign w:val="center"/>
          </w:tcPr>
          <w:p w:rsidR="00AA2E68" w:rsidRPr="0005777B" w:rsidRDefault="00AA2E68" w:rsidP="00AA2E68">
            <w:pPr>
              <w:spacing w:after="0" w:line="240" w:lineRule="auto"/>
              <w:jc w:val="right"/>
              <w:rPr>
                <w:rFonts w:ascii="Calibri" w:eastAsia="Times New Roman" w:hAnsi="Calibri" w:cs="Times New Roman"/>
                <w:color w:val="000000"/>
                <w:sz w:val="24"/>
                <w:szCs w:val="24"/>
                <w:lang w:val="en-GB" w:eastAsia="hr-HR"/>
              </w:rPr>
            </w:pPr>
            <w:r w:rsidRPr="0005777B">
              <w:rPr>
                <w:rFonts w:ascii="Calibri" w:hAnsi="Calibri"/>
                <w:color w:val="000000"/>
                <w:sz w:val="24"/>
                <w:szCs w:val="24"/>
                <w:lang w:val="en-GB"/>
              </w:rPr>
              <w:t>(</w:t>
            </w:r>
            <w:r w:rsidR="00697416" w:rsidRPr="00236941">
              <w:rPr>
                <w:rFonts w:ascii="Calibri" w:hAnsi="Calibri"/>
                <w:color w:val="000000"/>
                <w:sz w:val="24"/>
                <w:szCs w:val="24"/>
              </w:rPr>
              <w:t>391</w:t>
            </w:r>
            <w:r w:rsidR="00697416">
              <w:rPr>
                <w:rFonts w:ascii="Calibri" w:hAnsi="Calibri"/>
                <w:color w:val="000000"/>
                <w:sz w:val="24"/>
                <w:szCs w:val="24"/>
              </w:rPr>
              <w:t>.</w:t>
            </w:r>
            <w:r w:rsidR="00697416" w:rsidRPr="00236941">
              <w:rPr>
                <w:rFonts w:ascii="Calibri" w:hAnsi="Calibri"/>
                <w:color w:val="000000"/>
                <w:sz w:val="24"/>
                <w:szCs w:val="24"/>
              </w:rPr>
              <w:t>67</w:t>
            </w:r>
            <w:r w:rsidRPr="0005777B">
              <w:rPr>
                <w:rFonts w:ascii="Calibri" w:eastAsia="Times New Roman" w:hAnsi="Calibri" w:cs="Times New Roman"/>
                <w:color w:val="000000"/>
                <w:sz w:val="24"/>
                <w:szCs w:val="24"/>
                <w:lang w:val="en-GB" w:eastAsia="hr-HR"/>
              </w:rPr>
              <w:t>)</w:t>
            </w:r>
          </w:p>
        </w:tc>
        <w:tc>
          <w:tcPr>
            <w:tcW w:w="1741" w:type="dxa"/>
            <w:tcBorders>
              <w:top w:val="single" w:sz="8" w:space="0" w:color="999999"/>
              <w:left w:val="nil"/>
              <w:bottom w:val="single" w:sz="8" w:space="0" w:color="999999"/>
              <w:right w:val="single" w:sz="8" w:space="0" w:color="999999"/>
            </w:tcBorders>
            <w:shd w:val="clear" w:color="000000" w:fill="FFFFFF"/>
          </w:tcPr>
          <w:p w:rsidR="00AA2E68" w:rsidRPr="0005777B" w:rsidRDefault="00AA2E68" w:rsidP="00AA2E68">
            <w:pPr>
              <w:spacing w:after="0" w:line="240" w:lineRule="auto"/>
              <w:jc w:val="right"/>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w:t>
            </w:r>
            <w:r w:rsidR="00697416" w:rsidRPr="00236941">
              <w:rPr>
                <w:rFonts w:ascii="Calibri" w:hAnsi="Calibri"/>
                <w:color w:val="000000"/>
                <w:sz w:val="24"/>
                <w:szCs w:val="24"/>
              </w:rPr>
              <w:t>343</w:t>
            </w:r>
            <w:r w:rsidR="00697416">
              <w:rPr>
                <w:rFonts w:ascii="Calibri" w:hAnsi="Calibri"/>
                <w:color w:val="000000"/>
                <w:sz w:val="24"/>
                <w:szCs w:val="24"/>
              </w:rPr>
              <w:t>.</w:t>
            </w:r>
            <w:r w:rsidR="00697416" w:rsidRPr="00236941">
              <w:rPr>
                <w:rFonts w:ascii="Calibri" w:hAnsi="Calibri"/>
                <w:color w:val="000000"/>
                <w:sz w:val="24"/>
                <w:szCs w:val="24"/>
              </w:rPr>
              <w:t>30</w:t>
            </w:r>
            <w:r w:rsidRPr="0005777B">
              <w:rPr>
                <w:rFonts w:ascii="Calibri" w:eastAsia="Times New Roman" w:hAnsi="Calibri" w:cs="Times New Roman"/>
                <w:color w:val="000000"/>
                <w:sz w:val="24"/>
                <w:szCs w:val="24"/>
                <w:lang w:val="en-GB" w:eastAsia="hr-HR"/>
              </w:rPr>
              <w:t>)</w:t>
            </w:r>
          </w:p>
        </w:tc>
        <w:tc>
          <w:tcPr>
            <w:tcW w:w="1741" w:type="dxa"/>
            <w:tcBorders>
              <w:top w:val="nil"/>
              <w:left w:val="single" w:sz="8" w:space="0" w:color="999999"/>
              <w:bottom w:val="single" w:sz="8" w:space="0" w:color="999999"/>
              <w:right w:val="single" w:sz="8" w:space="0" w:color="999999"/>
            </w:tcBorders>
            <w:shd w:val="clear" w:color="000000" w:fill="FFFFFF"/>
          </w:tcPr>
          <w:p w:rsidR="00AA2E68" w:rsidRPr="0005777B" w:rsidRDefault="008C5513" w:rsidP="00AA2E68">
            <w:pPr>
              <w:spacing w:after="0" w:line="240" w:lineRule="auto"/>
              <w:jc w:val="right"/>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w:t>
            </w:r>
            <w:r w:rsidR="00697416" w:rsidRPr="00236941">
              <w:rPr>
                <w:rFonts w:ascii="Calibri" w:hAnsi="Calibri"/>
                <w:color w:val="000000"/>
                <w:sz w:val="24"/>
                <w:szCs w:val="24"/>
              </w:rPr>
              <w:t>345</w:t>
            </w:r>
            <w:r w:rsidR="00697416">
              <w:rPr>
                <w:rFonts w:ascii="Calibri" w:hAnsi="Calibri"/>
                <w:color w:val="000000"/>
                <w:sz w:val="24"/>
                <w:szCs w:val="24"/>
              </w:rPr>
              <w:t>.</w:t>
            </w:r>
            <w:r w:rsidR="00697416" w:rsidRPr="00236941">
              <w:rPr>
                <w:rFonts w:ascii="Calibri" w:hAnsi="Calibri"/>
                <w:color w:val="000000"/>
                <w:sz w:val="24"/>
                <w:szCs w:val="24"/>
              </w:rPr>
              <w:t>79</w:t>
            </w:r>
            <w:r w:rsidRPr="0005777B">
              <w:rPr>
                <w:rFonts w:ascii="Calibri" w:eastAsia="Times New Roman" w:hAnsi="Calibri" w:cs="Times New Roman"/>
                <w:color w:val="000000"/>
                <w:sz w:val="24"/>
                <w:szCs w:val="24"/>
                <w:lang w:val="en-GB" w:eastAsia="hr-HR"/>
              </w:rPr>
              <w:t>)</w:t>
            </w:r>
          </w:p>
        </w:tc>
      </w:tr>
      <w:tr w:rsidR="00AA2E68" w:rsidRPr="0005777B" w:rsidTr="00366BCB">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AA2E68" w:rsidRPr="0005777B" w:rsidRDefault="008446FB"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xml:space="preserve">Profit </w:t>
            </w:r>
          </w:p>
        </w:tc>
        <w:tc>
          <w:tcPr>
            <w:tcW w:w="2059" w:type="dxa"/>
            <w:tcBorders>
              <w:top w:val="nil"/>
              <w:left w:val="nil"/>
              <w:bottom w:val="single" w:sz="8" w:space="0" w:color="999999"/>
              <w:right w:val="single" w:sz="8" w:space="0" w:color="999999"/>
            </w:tcBorders>
            <w:shd w:val="clear" w:color="000000" w:fill="FFFFFF"/>
            <w:vAlign w:val="center"/>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64</w:t>
            </w:r>
            <w:r>
              <w:rPr>
                <w:rFonts w:ascii="Calibri" w:hAnsi="Calibri"/>
                <w:color w:val="000000"/>
                <w:sz w:val="24"/>
                <w:szCs w:val="24"/>
              </w:rPr>
              <w:t>.</w:t>
            </w:r>
            <w:r w:rsidRPr="00236941">
              <w:rPr>
                <w:rFonts w:ascii="Calibri" w:hAnsi="Calibri"/>
                <w:color w:val="000000"/>
                <w:sz w:val="24"/>
                <w:szCs w:val="24"/>
              </w:rPr>
              <w:t>49</w:t>
            </w:r>
          </w:p>
        </w:tc>
        <w:tc>
          <w:tcPr>
            <w:tcW w:w="1741" w:type="dxa"/>
            <w:tcBorders>
              <w:top w:val="single" w:sz="8" w:space="0" w:color="999999"/>
              <w:left w:val="nil"/>
              <w:bottom w:val="single" w:sz="8" w:space="0" w:color="999999"/>
              <w:right w:val="single" w:sz="8" w:space="0" w:color="999999"/>
            </w:tcBorders>
            <w:shd w:val="clear" w:color="000000" w:fill="FFFFFF"/>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107</w:t>
            </w:r>
            <w:r>
              <w:rPr>
                <w:rFonts w:ascii="Calibri" w:hAnsi="Calibri"/>
                <w:color w:val="000000"/>
                <w:sz w:val="24"/>
                <w:szCs w:val="24"/>
              </w:rPr>
              <w:t>.</w:t>
            </w:r>
            <w:r w:rsidRPr="00236941">
              <w:rPr>
                <w:rFonts w:ascii="Calibri" w:hAnsi="Calibri"/>
                <w:color w:val="000000"/>
                <w:sz w:val="24"/>
                <w:szCs w:val="24"/>
              </w:rPr>
              <w:t>68</w:t>
            </w:r>
          </w:p>
        </w:tc>
        <w:tc>
          <w:tcPr>
            <w:tcW w:w="1741" w:type="dxa"/>
            <w:tcBorders>
              <w:top w:val="nil"/>
              <w:left w:val="single" w:sz="8" w:space="0" w:color="999999"/>
              <w:bottom w:val="single" w:sz="8" w:space="0" w:color="999999"/>
              <w:right w:val="single" w:sz="8" w:space="0" w:color="999999"/>
            </w:tcBorders>
            <w:shd w:val="clear" w:color="000000" w:fill="FFFFFF"/>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130</w:t>
            </w:r>
            <w:r>
              <w:rPr>
                <w:rFonts w:ascii="Calibri" w:hAnsi="Calibri"/>
                <w:color w:val="000000"/>
                <w:sz w:val="24"/>
                <w:szCs w:val="24"/>
              </w:rPr>
              <w:t>.</w:t>
            </w:r>
            <w:r w:rsidRPr="00236941">
              <w:rPr>
                <w:rFonts w:ascii="Calibri" w:hAnsi="Calibri"/>
                <w:color w:val="000000"/>
                <w:sz w:val="24"/>
                <w:szCs w:val="24"/>
              </w:rPr>
              <w:t>75</w:t>
            </w:r>
          </w:p>
        </w:tc>
      </w:tr>
      <w:tr w:rsidR="005F1EB0" w:rsidRPr="0005777B" w:rsidTr="00366BCB">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AA2E68" w:rsidRPr="0005777B" w:rsidRDefault="00AA2E68" w:rsidP="00AA2E68">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w:t>
            </w:r>
          </w:p>
        </w:tc>
        <w:tc>
          <w:tcPr>
            <w:tcW w:w="2059" w:type="dxa"/>
            <w:tcBorders>
              <w:top w:val="nil"/>
              <w:left w:val="nil"/>
              <w:bottom w:val="single" w:sz="8" w:space="0" w:color="999999"/>
              <w:right w:val="single" w:sz="8" w:space="0" w:color="999999"/>
            </w:tcBorders>
            <w:shd w:val="clear" w:color="000000" w:fill="FFFFFF"/>
            <w:vAlign w:val="center"/>
          </w:tcPr>
          <w:p w:rsidR="00AA2E68" w:rsidRPr="0005777B" w:rsidRDefault="00AA2E68" w:rsidP="00AA2E68">
            <w:pPr>
              <w:spacing w:after="0" w:line="240" w:lineRule="auto"/>
              <w:rPr>
                <w:rFonts w:ascii="Calibri" w:eastAsia="Times New Roman" w:hAnsi="Calibri" w:cs="Times New Roman"/>
                <w:color w:val="000000"/>
                <w:sz w:val="24"/>
                <w:szCs w:val="24"/>
                <w:lang w:val="en-GB" w:eastAsia="hr-HR"/>
              </w:rPr>
            </w:pPr>
            <w:r w:rsidRPr="0005777B">
              <w:rPr>
                <w:rFonts w:ascii="Calibri" w:hAnsi="Calibri"/>
                <w:color w:val="000000"/>
                <w:sz w:val="24"/>
                <w:szCs w:val="24"/>
                <w:lang w:val="en-GB"/>
              </w:rPr>
              <w:t> </w:t>
            </w:r>
          </w:p>
        </w:tc>
        <w:tc>
          <w:tcPr>
            <w:tcW w:w="1741" w:type="dxa"/>
            <w:tcBorders>
              <w:top w:val="single" w:sz="8" w:space="0" w:color="999999"/>
              <w:left w:val="nil"/>
              <w:bottom w:val="single" w:sz="8" w:space="0" w:color="999999"/>
              <w:right w:val="single" w:sz="8" w:space="0" w:color="999999"/>
            </w:tcBorders>
            <w:shd w:val="clear" w:color="000000" w:fill="FFFFFF"/>
          </w:tcPr>
          <w:p w:rsidR="00AA2E68" w:rsidRPr="0005777B" w:rsidRDefault="00AA2E68" w:rsidP="00AA2E68">
            <w:pPr>
              <w:spacing w:after="0" w:line="240" w:lineRule="auto"/>
              <w:rPr>
                <w:rFonts w:ascii="Calibri" w:eastAsia="Times New Roman" w:hAnsi="Calibri" w:cs="Times New Roman"/>
                <w:color w:val="000000"/>
                <w:sz w:val="24"/>
                <w:szCs w:val="24"/>
                <w:lang w:val="en-GB" w:eastAsia="hr-HR"/>
              </w:rPr>
            </w:pPr>
          </w:p>
        </w:tc>
        <w:tc>
          <w:tcPr>
            <w:tcW w:w="1741" w:type="dxa"/>
            <w:tcBorders>
              <w:top w:val="single" w:sz="8" w:space="0" w:color="999999"/>
              <w:left w:val="single" w:sz="8" w:space="0" w:color="999999"/>
              <w:bottom w:val="single" w:sz="8" w:space="0" w:color="999999"/>
              <w:right w:val="single" w:sz="8" w:space="0" w:color="999999"/>
            </w:tcBorders>
            <w:shd w:val="clear" w:color="000000" w:fill="FFFFFF"/>
          </w:tcPr>
          <w:p w:rsidR="00AA2E68" w:rsidRPr="0005777B" w:rsidRDefault="00AA2E68" w:rsidP="00AA2E68">
            <w:pPr>
              <w:spacing w:after="0" w:line="240" w:lineRule="auto"/>
              <w:rPr>
                <w:rFonts w:ascii="Calibri" w:eastAsia="Times New Roman" w:hAnsi="Calibri" w:cs="Times New Roman"/>
                <w:color w:val="000000"/>
                <w:sz w:val="24"/>
                <w:szCs w:val="24"/>
                <w:lang w:val="en-GB" w:eastAsia="hr-HR"/>
              </w:rPr>
            </w:pPr>
          </w:p>
        </w:tc>
      </w:tr>
      <w:tr w:rsidR="00AA2E68" w:rsidRPr="0005777B" w:rsidTr="00366BCB">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AA2E68" w:rsidRPr="0005777B" w:rsidRDefault="008446FB"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xml:space="preserve">Interest income </w:t>
            </w:r>
          </w:p>
        </w:tc>
        <w:tc>
          <w:tcPr>
            <w:tcW w:w="2059" w:type="dxa"/>
            <w:tcBorders>
              <w:top w:val="nil"/>
              <w:left w:val="nil"/>
              <w:bottom w:val="single" w:sz="8" w:space="0" w:color="999999"/>
              <w:right w:val="single" w:sz="8" w:space="0" w:color="999999"/>
            </w:tcBorders>
            <w:shd w:val="clear" w:color="000000" w:fill="FFFFFF"/>
            <w:vAlign w:val="center"/>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432</w:t>
            </w:r>
            <w:r>
              <w:rPr>
                <w:rFonts w:ascii="Calibri" w:hAnsi="Calibri"/>
                <w:color w:val="000000"/>
                <w:sz w:val="24"/>
                <w:szCs w:val="24"/>
              </w:rPr>
              <w:t>.</w:t>
            </w:r>
            <w:r w:rsidRPr="00236941">
              <w:rPr>
                <w:rFonts w:ascii="Calibri" w:hAnsi="Calibri"/>
                <w:color w:val="000000"/>
                <w:sz w:val="24"/>
                <w:szCs w:val="24"/>
              </w:rPr>
              <w:t>73</w:t>
            </w:r>
          </w:p>
        </w:tc>
        <w:tc>
          <w:tcPr>
            <w:tcW w:w="1741" w:type="dxa"/>
            <w:tcBorders>
              <w:top w:val="nil"/>
              <w:left w:val="nil"/>
              <w:bottom w:val="single" w:sz="8" w:space="0" w:color="999999"/>
              <w:right w:val="single" w:sz="8" w:space="0" w:color="999999"/>
            </w:tcBorders>
            <w:shd w:val="clear" w:color="000000" w:fill="FFFFFF"/>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429</w:t>
            </w:r>
            <w:r>
              <w:rPr>
                <w:rFonts w:ascii="Calibri" w:hAnsi="Calibri"/>
                <w:color w:val="000000"/>
                <w:sz w:val="24"/>
                <w:szCs w:val="24"/>
              </w:rPr>
              <w:t>.</w:t>
            </w:r>
            <w:r w:rsidRPr="00236941">
              <w:rPr>
                <w:rFonts w:ascii="Calibri" w:hAnsi="Calibri"/>
                <w:color w:val="000000"/>
                <w:sz w:val="24"/>
                <w:szCs w:val="24"/>
              </w:rPr>
              <w:t>02</w:t>
            </w:r>
          </w:p>
        </w:tc>
        <w:tc>
          <w:tcPr>
            <w:tcW w:w="1741" w:type="dxa"/>
            <w:tcBorders>
              <w:top w:val="single" w:sz="8" w:space="0" w:color="999999"/>
              <w:left w:val="single" w:sz="8" w:space="0" w:color="999999"/>
              <w:bottom w:val="single" w:sz="8" w:space="0" w:color="999999"/>
              <w:right w:val="single" w:sz="8" w:space="0" w:color="999999"/>
            </w:tcBorders>
            <w:shd w:val="clear" w:color="000000" w:fill="FFFFFF"/>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451</w:t>
            </w:r>
            <w:r>
              <w:rPr>
                <w:rFonts w:ascii="Calibri" w:hAnsi="Calibri"/>
                <w:color w:val="000000"/>
                <w:sz w:val="24"/>
                <w:szCs w:val="24"/>
              </w:rPr>
              <w:t>.</w:t>
            </w:r>
            <w:r w:rsidRPr="00236941">
              <w:rPr>
                <w:rFonts w:ascii="Calibri" w:hAnsi="Calibri"/>
                <w:color w:val="000000"/>
                <w:sz w:val="24"/>
                <w:szCs w:val="24"/>
              </w:rPr>
              <w:t>84</w:t>
            </w:r>
          </w:p>
        </w:tc>
      </w:tr>
      <w:tr w:rsidR="00AA2E68" w:rsidRPr="0005777B" w:rsidTr="00366BCB">
        <w:trPr>
          <w:trHeight w:val="270"/>
        </w:trPr>
        <w:tc>
          <w:tcPr>
            <w:tcW w:w="3574" w:type="dxa"/>
            <w:tcBorders>
              <w:top w:val="nil"/>
              <w:left w:val="single" w:sz="8" w:space="0" w:color="808080"/>
              <w:bottom w:val="single" w:sz="8" w:space="0" w:color="999999"/>
              <w:right w:val="single" w:sz="8" w:space="0" w:color="999999"/>
            </w:tcBorders>
            <w:shd w:val="clear" w:color="000000" w:fill="FFFFFF"/>
            <w:vAlign w:val="center"/>
            <w:hideMark/>
          </w:tcPr>
          <w:p w:rsidR="00AA2E68" w:rsidRPr="0005777B" w:rsidRDefault="008446FB"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 xml:space="preserve">Interest expense </w:t>
            </w:r>
          </w:p>
        </w:tc>
        <w:tc>
          <w:tcPr>
            <w:tcW w:w="2059" w:type="dxa"/>
            <w:tcBorders>
              <w:top w:val="nil"/>
              <w:left w:val="nil"/>
              <w:bottom w:val="single" w:sz="8" w:space="0" w:color="999999"/>
              <w:right w:val="single" w:sz="8" w:space="0" w:color="999999"/>
            </w:tcBorders>
            <w:shd w:val="clear" w:color="000000" w:fill="FFFFFF"/>
            <w:noWrap/>
            <w:vAlign w:val="center"/>
          </w:tcPr>
          <w:p w:rsidR="00AA2E68" w:rsidRPr="0005777B" w:rsidRDefault="00AA2E68" w:rsidP="00AA2E68">
            <w:pPr>
              <w:spacing w:after="0" w:line="240" w:lineRule="auto"/>
              <w:jc w:val="right"/>
              <w:rPr>
                <w:rFonts w:ascii="Calibri" w:eastAsia="Times New Roman" w:hAnsi="Calibri" w:cs="Times New Roman"/>
                <w:color w:val="000000"/>
                <w:sz w:val="24"/>
                <w:szCs w:val="24"/>
                <w:lang w:val="en-GB" w:eastAsia="hr-HR"/>
              </w:rPr>
            </w:pPr>
            <w:r w:rsidRPr="0005777B">
              <w:rPr>
                <w:rFonts w:ascii="Calibri" w:hAnsi="Calibri"/>
                <w:color w:val="000000"/>
                <w:sz w:val="24"/>
                <w:szCs w:val="24"/>
                <w:lang w:val="en-GB"/>
              </w:rPr>
              <w:t>(</w:t>
            </w:r>
            <w:r w:rsidR="00697416" w:rsidRPr="00236941">
              <w:rPr>
                <w:rFonts w:ascii="Calibri" w:hAnsi="Calibri"/>
                <w:color w:val="000000"/>
                <w:sz w:val="24"/>
                <w:szCs w:val="24"/>
              </w:rPr>
              <w:t>240</w:t>
            </w:r>
            <w:r w:rsidR="00697416">
              <w:rPr>
                <w:rFonts w:ascii="Calibri" w:hAnsi="Calibri"/>
                <w:color w:val="000000"/>
                <w:sz w:val="24"/>
                <w:szCs w:val="24"/>
              </w:rPr>
              <w:t>.</w:t>
            </w:r>
            <w:r w:rsidR="00697416" w:rsidRPr="00236941">
              <w:rPr>
                <w:rFonts w:ascii="Calibri" w:hAnsi="Calibri"/>
                <w:color w:val="000000"/>
                <w:sz w:val="24"/>
                <w:szCs w:val="24"/>
              </w:rPr>
              <w:t>51</w:t>
            </w:r>
            <w:r w:rsidRPr="0005777B">
              <w:rPr>
                <w:rFonts w:ascii="Calibri" w:hAnsi="Calibri"/>
                <w:color w:val="000000"/>
                <w:sz w:val="24"/>
                <w:szCs w:val="24"/>
                <w:lang w:val="en-GB"/>
              </w:rPr>
              <w:t>)</w:t>
            </w:r>
          </w:p>
        </w:tc>
        <w:tc>
          <w:tcPr>
            <w:tcW w:w="1741" w:type="dxa"/>
            <w:tcBorders>
              <w:top w:val="nil"/>
              <w:left w:val="nil"/>
              <w:bottom w:val="single" w:sz="8" w:space="0" w:color="999999"/>
              <w:right w:val="single" w:sz="8" w:space="0" w:color="999999"/>
            </w:tcBorders>
          </w:tcPr>
          <w:p w:rsidR="00AA2E68" w:rsidRPr="0005777B" w:rsidRDefault="00AA2E68" w:rsidP="00AA2E68">
            <w:pPr>
              <w:spacing w:after="0" w:line="240" w:lineRule="auto"/>
              <w:jc w:val="right"/>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w:t>
            </w:r>
            <w:r w:rsidR="00697416" w:rsidRPr="00236941">
              <w:rPr>
                <w:rFonts w:ascii="Calibri" w:hAnsi="Calibri"/>
                <w:color w:val="000000"/>
                <w:sz w:val="24"/>
                <w:szCs w:val="24"/>
              </w:rPr>
              <w:t>228</w:t>
            </w:r>
            <w:r w:rsidR="00697416">
              <w:rPr>
                <w:rFonts w:ascii="Calibri" w:hAnsi="Calibri"/>
                <w:color w:val="000000"/>
                <w:sz w:val="24"/>
                <w:szCs w:val="24"/>
              </w:rPr>
              <w:t>.</w:t>
            </w:r>
            <w:r w:rsidR="00697416" w:rsidRPr="00236941">
              <w:rPr>
                <w:rFonts w:ascii="Calibri" w:hAnsi="Calibri"/>
                <w:color w:val="000000"/>
                <w:sz w:val="24"/>
                <w:szCs w:val="24"/>
              </w:rPr>
              <w:t>23</w:t>
            </w:r>
            <w:r w:rsidR="00CF14D9" w:rsidRPr="0005777B">
              <w:rPr>
                <w:rFonts w:ascii="Calibri" w:eastAsia="Times New Roman" w:hAnsi="Calibri" w:cs="Times New Roman"/>
                <w:color w:val="000000"/>
                <w:sz w:val="24"/>
                <w:szCs w:val="24"/>
                <w:lang w:val="en-GB" w:eastAsia="hr-HR"/>
              </w:rPr>
              <w:t>)</w:t>
            </w:r>
          </w:p>
        </w:tc>
        <w:tc>
          <w:tcPr>
            <w:tcW w:w="1741" w:type="dxa"/>
            <w:tcBorders>
              <w:top w:val="single" w:sz="8" w:space="0" w:color="999999"/>
              <w:left w:val="single" w:sz="8" w:space="0" w:color="999999"/>
              <w:bottom w:val="single" w:sz="8" w:space="0" w:color="999999"/>
              <w:right w:val="single" w:sz="8" w:space="0" w:color="999999"/>
            </w:tcBorders>
          </w:tcPr>
          <w:p w:rsidR="00AA2E68" w:rsidRPr="0005777B" w:rsidRDefault="008C5513" w:rsidP="00AA2E68">
            <w:pPr>
              <w:spacing w:after="0" w:line="240" w:lineRule="auto"/>
              <w:jc w:val="right"/>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w:t>
            </w:r>
            <w:r w:rsidR="004033D9" w:rsidRPr="00236941">
              <w:rPr>
                <w:rFonts w:ascii="Calibri" w:hAnsi="Calibri"/>
                <w:color w:val="000000"/>
                <w:sz w:val="24"/>
                <w:szCs w:val="24"/>
              </w:rPr>
              <w:t>215</w:t>
            </w:r>
            <w:r w:rsidR="004033D9">
              <w:rPr>
                <w:rFonts w:ascii="Calibri" w:hAnsi="Calibri"/>
                <w:color w:val="000000"/>
                <w:sz w:val="24"/>
                <w:szCs w:val="24"/>
              </w:rPr>
              <w:t>.</w:t>
            </w:r>
            <w:r w:rsidR="004033D9" w:rsidRPr="00236941">
              <w:rPr>
                <w:rFonts w:ascii="Calibri" w:hAnsi="Calibri"/>
                <w:color w:val="000000"/>
                <w:sz w:val="24"/>
                <w:szCs w:val="24"/>
              </w:rPr>
              <w:t>15</w:t>
            </w:r>
            <w:r w:rsidRPr="0005777B">
              <w:rPr>
                <w:rFonts w:ascii="Calibri" w:eastAsia="Times New Roman" w:hAnsi="Calibri" w:cs="Times New Roman"/>
                <w:color w:val="000000"/>
                <w:sz w:val="24"/>
                <w:szCs w:val="24"/>
                <w:lang w:val="en-GB" w:eastAsia="hr-HR"/>
              </w:rPr>
              <w:t>)</w:t>
            </w:r>
          </w:p>
        </w:tc>
      </w:tr>
      <w:tr w:rsidR="00AA2E68" w:rsidRPr="0005777B" w:rsidTr="00366BCB">
        <w:trPr>
          <w:trHeight w:val="270"/>
        </w:trPr>
        <w:tc>
          <w:tcPr>
            <w:tcW w:w="3574" w:type="dxa"/>
            <w:tcBorders>
              <w:top w:val="nil"/>
              <w:left w:val="single" w:sz="8" w:space="0" w:color="808080"/>
              <w:bottom w:val="single" w:sz="8" w:space="0" w:color="808080"/>
              <w:right w:val="single" w:sz="8" w:space="0" w:color="999999"/>
            </w:tcBorders>
            <w:shd w:val="clear" w:color="000000" w:fill="FFFFFF"/>
            <w:vAlign w:val="center"/>
            <w:hideMark/>
          </w:tcPr>
          <w:p w:rsidR="00AA2E68" w:rsidRPr="0005777B" w:rsidRDefault="00AA2E68" w:rsidP="008446FB">
            <w:pPr>
              <w:spacing w:after="0" w:line="240" w:lineRule="auto"/>
              <w:rPr>
                <w:rFonts w:ascii="Calibri" w:eastAsia="Times New Roman" w:hAnsi="Calibri" w:cs="Times New Roman"/>
                <w:color w:val="000000"/>
                <w:sz w:val="24"/>
                <w:szCs w:val="24"/>
                <w:lang w:val="en-GB" w:eastAsia="hr-HR"/>
              </w:rPr>
            </w:pPr>
            <w:r w:rsidRPr="0005777B">
              <w:rPr>
                <w:rFonts w:ascii="Calibri" w:eastAsia="Times New Roman" w:hAnsi="Calibri" w:cs="Times New Roman"/>
                <w:color w:val="000000"/>
                <w:sz w:val="24"/>
                <w:szCs w:val="24"/>
                <w:lang w:val="en-GB" w:eastAsia="hr-HR"/>
              </w:rPr>
              <w:t>Net</w:t>
            </w:r>
            <w:r w:rsidR="008446FB" w:rsidRPr="0005777B">
              <w:rPr>
                <w:rFonts w:ascii="Calibri" w:eastAsia="Times New Roman" w:hAnsi="Calibri" w:cs="Times New Roman"/>
                <w:color w:val="000000"/>
                <w:sz w:val="24"/>
                <w:szCs w:val="24"/>
                <w:lang w:val="en-GB" w:eastAsia="hr-HR"/>
              </w:rPr>
              <w:t xml:space="preserve"> interest income </w:t>
            </w:r>
          </w:p>
        </w:tc>
        <w:tc>
          <w:tcPr>
            <w:tcW w:w="2059" w:type="dxa"/>
            <w:tcBorders>
              <w:top w:val="nil"/>
              <w:left w:val="nil"/>
              <w:bottom w:val="single" w:sz="8" w:space="0" w:color="808080"/>
              <w:right w:val="single" w:sz="8" w:space="0" w:color="999999"/>
            </w:tcBorders>
            <w:shd w:val="clear" w:color="000000" w:fill="FFFFFF"/>
            <w:vAlign w:val="center"/>
          </w:tcPr>
          <w:p w:rsidR="00AA2E68" w:rsidRPr="0005777B" w:rsidRDefault="00697416"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192</w:t>
            </w:r>
            <w:r>
              <w:rPr>
                <w:rFonts w:ascii="Calibri" w:hAnsi="Calibri"/>
                <w:color w:val="000000"/>
                <w:sz w:val="24"/>
                <w:szCs w:val="24"/>
              </w:rPr>
              <w:t>.</w:t>
            </w:r>
            <w:r w:rsidRPr="00236941">
              <w:rPr>
                <w:rFonts w:ascii="Calibri" w:hAnsi="Calibri"/>
                <w:color w:val="000000"/>
                <w:sz w:val="24"/>
                <w:szCs w:val="24"/>
              </w:rPr>
              <w:t>22</w:t>
            </w:r>
          </w:p>
        </w:tc>
        <w:tc>
          <w:tcPr>
            <w:tcW w:w="1741" w:type="dxa"/>
            <w:tcBorders>
              <w:top w:val="nil"/>
              <w:left w:val="nil"/>
              <w:bottom w:val="single" w:sz="8" w:space="0" w:color="808080"/>
              <w:right w:val="single" w:sz="8" w:space="0" w:color="999999"/>
            </w:tcBorders>
            <w:shd w:val="clear" w:color="000000" w:fill="FFFFFF"/>
          </w:tcPr>
          <w:p w:rsidR="00AA2E68" w:rsidRPr="0005777B" w:rsidRDefault="004033D9" w:rsidP="00AA2E68">
            <w:pPr>
              <w:spacing w:after="0" w:line="240" w:lineRule="auto"/>
              <w:jc w:val="right"/>
              <w:rPr>
                <w:rFonts w:ascii="Calibri" w:eastAsia="Times New Roman" w:hAnsi="Calibri" w:cs="Times New Roman"/>
                <w:color w:val="000000"/>
                <w:sz w:val="24"/>
                <w:szCs w:val="24"/>
                <w:lang w:val="en-GB" w:eastAsia="hr-HR"/>
              </w:rPr>
            </w:pPr>
            <w:r>
              <w:rPr>
                <w:rFonts w:ascii="Calibri" w:hAnsi="Calibri"/>
                <w:color w:val="000000"/>
                <w:sz w:val="24"/>
                <w:szCs w:val="24"/>
              </w:rPr>
              <w:t>200.</w:t>
            </w:r>
            <w:r w:rsidRPr="00236941">
              <w:rPr>
                <w:rFonts w:ascii="Calibri" w:hAnsi="Calibri"/>
                <w:color w:val="000000"/>
                <w:sz w:val="24"/>
                <w:szCs w:val="24"/>
              </w:rPr>
              <w:t>79</w:t>
            </w:r>
          </w:p>
        </w:tc>
        <w:tc>
          <w:tcPr>
            <w:tcW w:w="1741" w:type="dxa"/>
            <w:tcBorders>
              <w:top w:val="single" w:sz="8" w:space="0" w:color="999999"/>
              <w:left w:val="single" w:sz="8" w:space="0" w:color="999999"/>
              <w:bottom w:val="single" w:sz="8" w:space="0" w:color="808080"/>
              <w:right w:val="single" w:sz="8" w:space="0" w:color="999999"/>
            </w:tcBorders>
            <w:shd w:val="clear" w:color="000000" w:fill="FFFFFF"/>
          </w:tcPr>
          <w:p w:rsidR="00AA2E68" w:rsidRPr="0005777B" w:rsidRDefault="004033D9" w:rsidP="00AA2E68">
            <w:pPr>
              <w:spacing w:after="0" w:line="240" w:lineRule="auto"/>
              <w:jc w:val="right"/>
              <w:rPr>
                <w:rFonts w:ascii="Calibri" w:eastAsia="Times New Roman" w:hAnsi="Calibri" w:cs="Times New Roman"/>
                <w:color w:val="000000"/>
                <w:sz w:val="24"/>
                <w:szCs w:val="24"/>
                <w:lang w:val="en-GB" w:eastAsia="hr-HR"/>
              </w:rPr>
            </w:pPr>
            <w:r w:rsidRPr="00236941">
              <w:rPr>
                <w:rFonts w:ascii="Calibri" w:hAnsi="Calibri"/>
                <w:color w:val="000000"/>
                <w:sz w:val="24"/>
                <w:szCs w:val="24"/>
              </w:rPr>
              <w:t>236</w:t>
            </w:r>
            <w:r>
              <w:rPr>
                <w:rFonts w:ascii="Calibri" w:hAnsi="Calibri"/>
                <w:color w:val="000000"/>
                <w:sz w:val="24"/>
                <w:szCs w:val="24"/>
              </w:rPr>
              <w:t>.</w:t>
            </w:r>
            <w:r w:rsidRPr="00236941">
              <w:rPr>
                <w:rFonts w:ascii="Calibri" w:hAnsi="Calibri"/>
                <w:color w:val="000000"/>
                <w:sz w:val="24"/>
                <w:szCs w:val="24"/>
              </w:rPr>
              <w:t>69</w:t>
            </w:r>
          </w:p>
        </w:tc>
      </w:tr>
    </w:tbl>
    <w:p w:rsidR="00D845FC" w:rsidRPr="0005777B" w:rsidRDefault="00D845FC"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C21778" w:rsidRPr="0005777B" w:rsidRDefault="00C21778"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B42F86" w:rsidRPr="0005777B" w:rsidRDefault="00B42F86"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r>
        <w:rPr>
          <w:rFonts w:eastAsia="Times New Roman" w:cs="Calibri"/>
          <w:b/>
          <w:caps/>
          <w:noProof/>
          <w:spacing w:val="-3"/>
          <w:sz w:val="26"/>
          <w:szCs w:val="26"/>
          <w:lang w:eastAsia="hr-HR"/>
        </w:rPr>
        <w:drawing>
          <wp:inline distT="0" distB="0" distL="0" distR="0" wp14:anchorId="24AD50AA" wp14:editId="416EC0F7">
            <wp:extent cx="2869566" cy="194435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3447" cy="1946988"/>
                    </a:xfrm>
                    <a:prstGeom prst="rect">
                      <a:avLst/>
                    </a:prstGeom>
                    <a:noFill/>
                  </pic:spPr>
                </pic:pic>
              </a:graphicData>
            </a:graphic>
          </wp:inline>
        </w:drawing>
      </w:r>
      <w:r>
        <w:rPr>
          <w:rFonts w:eastAsia="Times New Roman" w:cs="Calibri"/>
          <w:b/>
          <w:caps/>
          <w:spacing w:val="-3"/>
          <w:sz w:val="26"/>
          <w:szCs w:val="26"/>
          <w:lang w:val="en-GB" w:eastAsia="hr-HR"/>
        </w:rPr>
        <w:t xml:space="preserve">   </w:t>
      </w:r>
      <w:r>
        <w:rPr>
          <w:rFonts w:eastAsia="Times New Roman" w:cs="Calibri"/>
          <w:b/>
          <w:caps/>
          <w:noProof/>
          <w:spacing w:val="-3"/>
          <w:sz w:val="26"/>
          <w:szCs w:val="26"/>
          <w:lang w:eastAsia="hr-HR"/>
        </w:rPr>
        <w:drawing>
          <wp:inline distT="0" distB="0" distL="0" distR="0" wp14:anchorId="65681C13" wp14:editId="4F18839C">
            <wp:extent cx="2906387" cy="195806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2139" cy="1968678"/>
                    </a:xfrm>
                    <a:prstGeom prst="rect">
                      <a:avLst/>
                    </a:prstGeom>
                    <a:noFill/>
                  </pic:spPr>
                </pic:pic>
              </a:graphicData>
            </a:graphic>
          </wp:inline>
        </w:drawing>
      </w:r>
    </w:p>
    <w:p w:rsidR="00F11426" w:rsidRPr="0005777B" w:rsidRDefault="00F11426"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D6362F" w:rsidRDefault="00D6362F"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B42F86" w:rsidRPr="0005777B" w:rsidRDefault="00B42F86"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r>
        <w:rPr>
          <w:rFonts w:eastAsia="Times New Roman" w:cs="Calibri"/>
          <w:b/>
          <w:caps/>
          <w:noProof/>
          <w:spacing w:val="-3"/>
          <w:sz w:val="26"/>
          <w:szCs w:val="26"/>
          <w:lang w:eastAsia="hr-HR"/>
        </w:rPr>
        <w:drawing>
          <wp:inline distT="0" distB="0" distL="0" distR="0" wp14:anchorId="63290143" wp14:editId="18075677">
            <wp:extent cx="2872459" cy="2454862"/>
            <wp:effectExtent l="0" t="0" r="444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3468" cy="2455724"/>
                    </a:xfrm>
                    <a:prstGeom prst="rect">
                      <a:avLst/>
                    </a:prstGeom>
                    <a:noFill/>
                  </pic:spPr>
                </pic:pic>
              </a:graphicData>
            </a:graphic>
          </wp:inline>
        </w:drawing>
      </w:r>
      <w:r>
        <w:rPr>
          <w:rFonts w:eastAsia="Times New Roman" w:cs="Calibri"/>
          <w:b/>
          <w:caps/>
          <w:spacing w:val="-3"/>
          <w:sz w:val="26"/>
          <w:szCs w:val="26"/>
          <w:lang w:val="en-GB" w:eastAsia="hr-HR"/>
        </w:rPr>
        <w:t xml:space="preserve">   </w:t>
      </w:r>
      <w:r>
        <w:rPr>
          <w:rFonts w:eastAsia="Times New Roman" w:cs="Calibri"/>
          <w:b/>
          <w:caps/>
          <w:noProof/>
          <w:spacing w:val="-3"/>
          <w:sz w:val="26"/>
          <w:szCs w:val="26"/>
          <w:lang w:eastAsia="hr-HR"/>
        </w:rPr>
        <w:drawing>
          <wp:inline distT="0" distB="0" distL="0" distR="0" wp14:anchorId="08FD3246" wp14:editId="191248A2">
            <wp:extent cx="2976062" cy="24802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9126" cy="2482816"/>
                    </a:xfrm>
                    <a:prstGeom prst="rect">
                      <a:avLst/>
                    </a:prstGeom>
                    <a:noFill/>
                  </pic:spPr>
                </pic:pic>
              </a:graphicData>
            </a:graphic>
          </wp:inline>
        </w:drawing>
      </w:r>
    </w:p>
    <w:p w:rsidR="00EC64A8" w:rsidRDefault="00236FE9" w:rsidP="001C6D63">
      <w:pPr>
        <w:tabs>
          <w:tab w:val="left" w:pos="-720"/>
          <w:tab w:val="left" w:pos="426"/>
        </w:tabs>
        <w:suppressAutoHyphens/>
        <w:spacing w:after="0" w:line="240" w:lineRule="auto"/>
        <w:ind w:right="-283" w:hanging="284"/>
        <w:jc w:val="both"/>
        <w:rPr>
          <w:rFonts w:eastAsia="Times New Roman" w:cs="Calibri"/>
          <w:b/>
          <w:caps/>
          <w:spacing w:val="-3"/>
          <w:sz w:val="26"/>
          <w:szCs w:val="26"/>
          <w:lang w:val="en-GB" w:eastAsia="hr-HR"/>
        </w:rPr>
      </w:pPr>
      <w:r w:rsidRPr="0005777B">
        <w:rPr>
          <w:rFonts w:eastAsia="Times New Roman" w:cs="Calibri"/>
          <w:b/>
          <w:caps/>
          <w:spacing w:val="-3"/>
          <w:sz w:val="26"/>
          <w:szCs w:val="26"/>
          <w:lang w:val="en-GB" w:eastAsia="hr-HR"/>
        </w:rPr>
        <w:t xml:space="preserve"> </w:t>
      </w:r>
      <w:r w:rsidR="002105E8" w:rsidRPr="0005777B">
        <w:rPr>
          <w:rFonts w:eastAsia="Times New Roman" w:cs="Calibri"/>
          <w:b/>
          <w:caps/>
          <w:spacing w:val="-3"/>
          <w:sz w:val="26"/>
          <w:szCs w:val="26"/>
          <w:lang w:val="en-GB" w:eastAsia="hr-HR"/>
        </w:rPr>
        <w:t xml:space="preserve">        </w:t>
      </w:r>
    </w:p>
    <w:p w:rsidR="00A80461" w:rsidRDefault="002105E8" w:rsidP="001C6D63">
      <w:pPr>
        <w:tabs>
          <w:tab w:val="left" w:pos="-720"/>
          <w:tab w:val="left" w:pos="426"/>
        </w:tabs>
        <w:suppressAutoHyphens/>
        <w:spacing w:after="0" w:line="240" w:lineRule="auto"/>
        <w:ind w:right="-283" w:hanging="284"/>
        <w:jc w:val="both"/>
        <w:rPr>
          <w:rFonts w:eastAsia="Times New Roman" w:cs="Calibri"/>
          <w:b/>
          <w:caps/>
          <w:spacing w:val="-3"/>
          <w:sz w:val="26"/>
          <w:szCs w:val="26"/>
          <w:lang w:val="en-GB" w:eastAsia="hr-HR"/>
        </w:rPr>
        <w:sectPr w:rsidR="00A80461"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r w:rsidRPr="0005777B">
        <w:rPr>
          <w:rFonts w:eastAsia="Times New Roman" w:cs="Calibri"/>
          <w:b/>
          <w:caps/>
          <w:spacing w:val="-3"/>
          <w:sz w:val="26"/>
          <w:szCs w:val="26"/>
          <w:lang w:val="en-GB" w:eastAsia="hr-HR"/>
        </w:rPr>
        <w:t xml:space="preserve">   </w:t>
      </w:r>
    </w:p>
    <w:p w:rsidR="00D845FC" w:rsidRPr="0005777B" w:rsidRDefault="00D845FC" w:rsidP="001C6D63">
      <w:pPr>
        <w:tabs>
          <w:tab w:val="left" w:pos="-720"/>
          <w:tab w:val="left" w:pos="426"/>
        </w:tabs>
        <w:suppressAutoHyphens/>
        <w:spacing w:after="0" w:line="240" w:lineRule="auto"/>
        <w:ind w:right="-283" w:hanging="284"/>
        <w:jc w:val="both"/>
        <w:rPr>
          <w:rFonts w:eastAsia="Times New Roman" w:cs="Calibri"/>
          <w:b/>
          <w:caps/>
          <w:spacing w:val="-3"/>
          <w:sz w:val="26"/>
          <w:szCs w:val="26"/>
          <w:lang w:val="en-GB" w:eastAsia="hr-HR"/>
        </w:rPr>
      </w:pPr>
    </w:p>
    <w:p w:rsidR="00794772" w:rsidRPr="0005777B" w:rsidRDefault="00794772"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9456C8" w:rsidRPr="0005777B" w:rsidRDefault="009456C8"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9456C8" w:rsidRPr="0005777B" w:rsidRDefault="009456C8"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794772" w:rsidRPr="0005777B" w:rsidRDefault="00794772"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R</w:t>
      </w:r>
      <w:r w:rsidR="00384F87" w:rsidRPr="0005777B">
        <w:rPr>
          <w:rFonts w:eastAsia="Times New Roman" w:cs="Calibri"/>
          <w:b/>
          <w:spacing w:val="-3"/>
          <w:sz w:val="24"/>
          <w:szCs w:val="24"/>
          <w:lang w:val="en-GB" w:eastAsia="hr-HR"/>
        </w:rPr>
        <w:t>esults of the Group</w:t>
      </w:r>
      <w:r w:rsidRPr="0005777B">
        <w:rPr>
          <w:rFonts w:eastAsia="Times New Roman" w:cs="Calibri"/>
          <w:b/>
          <w:spacing w:val="-3"/>
          <w:sz w:val="24"/>
          <w:szCs w:val="24"/>
          <w:lang w:val="en-GB" w:eastAsia="hr-HR"/>
        </w:rPr>
        <w:t xml:space="preserve"> </w:t>
      </w:r>
    </w:p>
    <w:p w:rsidR="00794772" w:rsidRPr="0005777B" w:rsidRDefault="00794772" w:rsidP="00794772">
      <w:pPr>
        <w:spacing w:after="0" w:line="240" w:lineRule="auto"/>
        <w:rPr>
          <w:rFonts w:eastAsia="Times New Roman" w:cs="Calibri"/>
          <w:b/>
          <w:spacing w:val="-3"/>
          <w:sz w:val="24"/>
          <w:szCs w:val="24"/>
          <w:u w:val="single"/>
          <w:lang w:val="en-GB" w:eastAsia="hr-HR"/>
        </w:rPr>
      </w:pPr>
    </w:p>
    <w:p w:rsidR="00794772" w:rsidRPr="0005777B" w:rsidRDefault="002A6B8E"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sidR="004033D9">
        <w:rPr>
          <w:rFonts w:cstheme="minorHAnsi"/>
          <w:sz w:val="24"/>
          <w:szCs w:val="24"/>
          <w:lang w:val="en-GB"/>
        </w:rPr>
        <w:t>30 June</w:t>
      </w:r>
      <w:r w:rsidRPr="0005777B">
        <w:rPr>
          <w:rFonts w:cstheme="minorHAnsi"/>
          <w:sz w:val="24"/>
          <w:szCs w:val="24"/>
          <w:lang w:val="en-GB"/>
        </w:rPr>
        <w:t xml:space="preserve"> 2017, the HBOR Group generated profit after tax in the amount of HRK</w:t>
      </w:r>
      <w:r w:rsidR="00794772" w:rsidRPr="0005777B">
        <w:rPr>
          <w:rFonts w:cstheme="minorHAnsi"/>
          <w:sz w:val="24"/>
          <w:szCs w:val="24"/>
          <w:lang w:val="en-GB"/>
        </w:rPr>
        <w:t xml:space="preserve"> </w:t>
      </w:r>
      <w:r w:rsidR="004033D9">
        <w:rPr>
          <w:rFonts w:cstheme="minorHAnsi"/>
          <w:sz w:val="24"/>
          <w:szCs w:val="24"/>
        </w:rPr>
        <w:t>130.75</w:t>
      </w:r>
      <w:r w:rsidR="004033D9" w:rsidRPr="00810A4B">
        <w:rPr>
          <w:rFonts w:cstheme="minorHAnsi"/>
          <w:sz w:val="24"/>
          <w:szCs w:val="24"/>
        </w:rPr>
        <w:t xml:space="preserve"> </w:t>
      </w:r>
      <w:r w:rsidRPr="0005777B">
        <w:rPr>
          <w:rFonts w:cstheme="minorHAnsi"/>
          <w:sz w:val="24"/>
          <w:szCs w:val="24"/>
          <w:lang w:val="en-GB"/>
        </w:rPr>
        <w:t>million</w:t>
      </w:r>
      <w:r w:rsidR="00794772" w:rsidRPr="0005777B">
        <w:rPr>
          <w:rFonts w:cstheme="minorHAnsi"/>
          <w:sz w:val="24"/>
          <w:szCs w:val="24"/>
          <w:lang w:val="en-GB"/>
        </w:rPr>
        <w:t xml:space="preserve">. </w:t>
      </w:r>
    </w:p>
    <w:p w:rsidR="00794772" w:rsidRPr="0005777B" w:rsidRDefault="00794772" w:rsidP="00794772">
      <w:pPr>
        <w:spacing w:after="0" w:line="240" w:lineRule="auto"/>
        <w:jc w:val="both"/>
        <w:rPr>
          <w:rFonts w:cstheme="minorHAnsi"/>
          <w:sz w:val="24"/>
          <w:szCs w:val="24"/>
          <w:lang w:val="en-GB"/>
        </w:rPr>
      </w:pPr>
    </w:p>
    <w:p w:rsidR="00794772" w:rsidRPr="0005777B" w:rsidRDefault="002A6B8E"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5777B">
        <w:rPr>
          <w:rFonts w:cstheme="minorHAnsi"/>
          <w:sz w:val="24"/>
          <w:szCs w:val="24"/>
          <w:lang w:val="en-GB"/>
        </w:rPr>
        <w:t>.</w:t>
      </w:r>
    </w:p>
    <w:p w:rsidR="00794772" w:rsidRPr="0005777B" w:rsidRDefault="00794772" w:rsidP="00794772">
      <w:pPr>
        <w:spacing w:after="0" w:line="240" w:lineRule="auto"/>
        <w:jc w:val="both"/>
        <w:rPr>
          <w:rFonts w:cstheme="minorHAnsi"/>
          <w:sz w:val="24"/>
          <w:szCs w:val="24"/>
          <w:lang w:val="en-GB"/>
        </w:rPr>
      </w:pPr>
    </w:p>
    <w:p w:rsidR="00794772" w:rsidRPr="0005777B" w:rsidRDefault="0029406B"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w:t>
      </w:r>
      <w:r w:rsidR="00D462B8">
        <w:rPr>
          <w:rFonts w:cstheme="minorHAnsi"/>
          <w:sz w:val="24"/>
          <w:szCs w:val="24"/>
          <w:lang w:val="en-GB"/>
        </w:rPr>
        <w:t>30 June</w:t>
      </w:r>
      <w:r w:rsidR="00052220" w:rsidRPr="0005777B">
        <w:rPr>
          <w:rFonts w:cstheme="minorHAnsi"/>
          <w:sz w:val="24"/>
          <w:szCs w:val="24"/>
          <w:lang w:val="en-GB"/>
        </w:rPr>
        <w:t xml:space="preserve"> </w:t>
      </w:r>
      <w:r w:rsidRPr="0005777B">
        <w:rPr>
          <w:rFonts w:cstheme="minorHAnsi"/>
          <w:sz w:val="24"/>
          <w:szCs w:val="24"/>
          <w:lang w:val="en-GB"/>
        </w:rPr>
        <w:t>201</w:t>
      </w:r>
      <w:r w:rsidR="00052220" w:rsidRPr="0005777B">
        <w:rPr>
          <w:rFonts w:cstheme="minorHAnsi"/>
          <w:sz w:val="24"/>
          <w:szCs w:val="24"/>
          <w:lang w:val="en-GB"/>
        </w:rPr>
        <w:t>7</w:t>
      </w:r>
      <w:r w:rsidRPr="0005777B">
        <w:rPr>
          <w:rFonts w:cstheme="minorHAnsi"/>
          <w:sz w:val="24"/>
          <w:szCs w:val="24"/>
          <w:lang w:val="en-GB"/>
        </w:rPr>
        <w:t>, total income on consolidated basis amounted to</w:t>
      </w:r>
      <w:r w:rsidR="00052220" w:rsidRPr="0005777B">
        <w:rPr>
          <w:rFonts w:cstheme="minorHAnsi"/>
          <w:sz w:val="24"/>
          <w:szCs w:val="24"/>
          <w:lang w:val="en-GB"/>
        </w:rPr>
        <w:t xml:space="preserve"> HRK </w:t>
      </w:r>
      <w:r w:rsidR="00D462B8">
        <w:rPr>
          <w:rFonts w:cstheme="minorHAnsi"/>
          <w:sz w:val="24"/>
          <w:szCs w:val="24"/>
        </w:rPr>
        <w:t>476.54</w:t>
      </w:r>
      <w:r w:rsidR="00D462B8" w:rsidRPr="00810A4B">
        <w:rPr>
          <w:rFonts w:cstheme="minorHAnsi"/>
          <w:sz w:val="24"/>
          <w:szCs w:val="24"/>
        </w:rPr>
        <w:t xml:space="preserve"> </w:t>
      </w:r>
      <w:r w:rsidR="00052220" w:rsidRPr="0005777B">
        <w:rPr>
          <w:rFonts w:cstheme="minorHAnsi"/>
          <w:sz w:val="24"/>
          <w:szCs w:val="24"/>
          <w:lang w:val="en-GB"/>
        </w:rPr>
        <w:t xml:space="preserve">million, whereas total expenses amounted to HRK </w:t>
      </w:r>
      <w:r w:rsidR="00D462B8">
        <w:rPr>
          <w:rFonts w:cstheme="minorHAnsi"/>
          <w:sz w:val="24"/>
          <w:szCs w:val="24"/>
        </w:rPr>
        <w:t>345.79</w:t>
      </w:r>
      <w:r w:rsidR="00052220" w:rsidRPr="00FE5B03">
        <w:rPr>
          <w:sz w:val="24"/>
          <w:lang w:val="en-GB"/>
        </w:rPr>
        <w:t xml:space="preserve"> </w:t>
      </w:r>
      <w:r w:rsidR="00052220" w:rsidRPr="0005777B">
        <w:rPr>
          <w:rFonts w:cstheme="minorHAnsi"/>
          <w:sz w:val="24"/>
          <w:szCs w:val="24"/>
          <w:lang w:val="en-GB"/>
        </w:rPr>
        <w:t>million</w:t>
      </w:r>
      <w:r w:rsidR="00794772" w:rsidRPr="0005777B">
        <w:rPr>
          <w:rFonts w:cstheme="minorHAnsi"/>
          <w:sz w:val="24"/>
          <w:szCs w:val="24"/>
          <w:lang w:val="en-GB"/>
        </w:rPr>
        <w:t>.</w:t>
      </w:r>
    </w:p>
    <w:p w:rsidR="00794772" w:rsidRPr="0005777B" w:rsidRDefault="00794772" w:rsidP="00794772">
      <w:pPr>
        <w:spacing w:after="0" w:line="240" w:lineRule="auto"/>
        <w:jc w:val="both"/>
        <w:rPr>
          <w:rFonts w:cstheme="minorHAnsi"/>
          <w:sz w:val="24"/>
          <w:szCs w:val="24"/>
          <w:lang w:val="en-GB"/>
        </w:rPr>
      </w:pPr>
    </w:p>
    <w:p w:rsidR="00794772" w:rsidRPr="0005777B" w:rsidRDefault="00DF3485"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rose by </w:t>
      </w:r>
      <w:r w:rsidR="00D462B8">
        <w:rPr>
          <w:rFonts w:cstheme="minorHAnsi"/>
          <w:sz w:val="24"/>
          <w:szCs w:val="24"/>
          <w:lang w:val="en-GB"/>
        </w:rPr>
        <w:t>5.67</w:t>
      </w:r>
      <w:r w:rsidR="00417B56" w:rsidRPr="0005777B">
        <w:rPr>
          <w:rFonts w:cstheme="minorHAnsi"/>
          <w:sz w:val="24"/>
          <w:szCs w:val="24"/>
          <w:lang w:val="en-GB"/>
        </w:rPr>
        <w:t xml:space="preserve"> p</w:t>
      </w:r>
      <w:r w:rsidRPr="0005777B">
        <w:rPr>
          <w:rFonts w:cstheme="minorHAnsi"/>
          <w:sz w:val="24"/>
          <w:szCs w:val="24"/>
          <w:lang w:val="en-GB"/>
        </w:rPr>
        <w:t xml:space="preserve">ercent, whereas total expenses rose by </w:t>
      </w:r>
      <w:r w:rsidR="00D462B8">
        <w:rPr>
          <w:rFonts w:cstheme="minorHAnsi"/>
          <w:sz w:val="24"/>
          <w:szCs w:val="24"/>
          <w:lang w:val="en-GB"/>
        </w:rPr>
        <w:t>0.73</w:t>
      </w:r>
      <w:r w:rsidR="00417B56" w:rsidRPr="0005777B">
        <w:rPr>
          <w:rFonts w:cstheme="minorHAnsi"/>
          <w:sz w:val="24"/>
          <w:szCs w:val="24"/>
          <w:lang w:val="en-GB"/>
        </w:rPr>
        <w:t xml:space="preserve"> p</w:t>
      </w:r>
      <w:r w:rsidRPr="0005777B">
        <w:rPr>
          <w:rFonts w:cstheme="minorHAnsi"/>
          <w:sz w:val="24"/>
          <w:szCs w:val="24"/>
          <w:lang w:val="en-GB"/>
        </w:rPr>
        <w:t>ercent compared to the same period previous year due to the developments in total income and expenses of the parent company</w:t>
      </w:r>
      <w:r w:rsidR="00794772" w:rsidRPr="0005777B">
        <w:rPr>
          <w:rFonts w:cstheme="minorHAnsi"/>
          <w:sz w:val="24"/>
          <w:szCs w:val="24"/>
          <w:lang w:val="en-GB"/>
        </w:rPr>
        <w:t>.</w:t>
      </w:r>
    </w:p>
    <w:p w:rsidR="00794772" w:rsidRPr="0005777B" w:rsidRDefault="00794772" w:rsidP="00794772">
      <w:pPr>
        <w:spacing w:after="0" w:line="240" w:lineRule="auto"/>
        <w:jc w:val="both"/>
        <w:rPr>
          <w:rFonts w:cstheme="minorHAnsi"/>
          <w:sz w:val="24"/>
          <w:szCs w:val="24"/>
          <w:lang w:val="en-GB"/>
        </w:rPr>
      </w:pPr>
    </w:p>
    <w:p w:rsidR="00794772" w:rsidRPr="0005777B" w:rsidRDefault="00DF3485"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i.e. </w:t>
      </w:r>
      <w:r w:rsidR="00D462B8">
        <w:rPr>
          <w:rFonts w:cstheme="minorHAnsi"/>
          <w:sz w:val="24"/>
          <w:szCs w:val="24"/>
          <w:lang w:val="en-GB"/>
        </w:rPr>
        <w:t>94.82</w:t>
      </w:r>
      <w:r w:rsidR="00417B56" w:rsidRPr="0005777B">
        <w:rPr>
          <w:rFonts w:cstheme="minorHAnsi"/>
          <w:sz w:val="24"/>
          <w:szCs w:val="24"/>
          <w:lang w:val="en-GB"/>
        </w:rPr>
        <w:t xml:space="preserve"> p</w:t>
      </w:r>
      <w:r w:rsidR="009616D5" w:rsidRPr="0005777B">
        <w:rPr>
          <w:rFonts w:cstheme="minorHAnsi"/>
          <w:sz w:val="24"/>
          <w:szCs w:val="24"/>
          <w:lang w:val="en-GB"/>
        </w:rPr>
        <w:t xml:space="preserve">ercent, </w:t>
      </w:r>
      <w:r w:rsidRPr="0005777B">
        <w:rPr>
          <w:rFonts w:cstheme="minorHAnsi"/>
          <w:sz w:val="24"/>
          <w:szCs w:val="24"/>
          <w:lang w:val="en-GB"/>
        </w:rPr>
        <w:t>relates to interest income as a result of operation</w:t>
      </w:r>
      <w:r w:rsidR="009616D5" w:rsidRPr="0005777B">
        <w:rPr>
          <w:rFonts w:cstheme="minorHAnsi"/>
          <w:sz w:val="24"/>
          <w:szCs w:val="24"/>
          <w:lang w:val="en-GB"/>
        </w:rPr>
        <w:t>s</w:t>
      </w:r>
      <w:r w:rsidRPr="0005777B">
        <w:rPr>
          <w:rFonts w:cstheme="minorHAnsi"/>
          <w:sz w:val="24"/>
          <w:szCs w:val="24"/>
          <w:lang w:val="en-GB"/>
        </w:rPr>
        <w:t xml:space="preserve"> of the parent company</w:t>
      </w:r>
      <w:r w:rsidR="00794772" w:rsidRPr="0005777B">
        <w:rPr>
          <w:rFonts w:cstheme="minorHAnsi"/>
          <w:sz w:val="24"/>
          <w:szCs w:val="24"/>
          <w:lang w:val="en-GB"/>
        </w:rPr>
        <w:t>.</w:t>
      </w:r>
    </w:p>
    <w:p w:rsidR="00794772" w:rsidRPr="0005777B" w:rsidRDefault="00794772" w:rsidP="00794772">
      <w:pPr>
        <w:spacing w:after="0" w:line="240" w:lineRule="auto"/>
        <w:jc w:val="both"/>
        <w:rPr>
          <w:rFonts w:cstheme="minorHAnsi"/>
          <w:sz w:val="24"/>
          <w:szCs w:val="24"/>
          <w:lang w:val="en-GB"/>
        </w:rPr>
      </w:pPr>
    </w:p>
    <w:p w:rsidR="00794772" w:rsidRPr="0005777B" w:rsidRDefault="00DF3485" w:rsidP="00794772">
      <w:pPr>
        <w:spacing w:after="0" w:line="240" w:lineRule="auto"/>
        <w:jc w:val="both"/>
        <w:rPr>
          <w:rFonts w:cstheme="minorHAnsi"/>
          <w:sz w:val="24"/>
          <w:szCs w:val="24"/>
          <w:lang w:val="en-GB"/>
        </w:rPr>
      </w:pPr>
      <w:r w:rsidRPr="0005777B">
        <w:rPr>
          <w:rFonts w:cstheme="minorHAnsi"/>
          <w:sz w:val="24"/>
          <w:szCs w:val="24"/>
          <w:lang w:val="en-GB"/>
        </w:rPr>
        <w:t xml:space="preserve">The major part of total expenses, i.e. </w:t>
      </w:r>
      <w:r w:rsidR="00D462B8">
        <w:rPr>
          <w:rFonts w:cstheme="minorHAnsi"/>
          <w:sz w:val="24"/>
          <w:szCs w:val="24"/>
          <w:lang w:val="en-GB"/>
        </w:rPr>
        <w:t>62.22</w:t>
      </w:r>
      <w:r w:rsidR="00417B56" w:rsidRPr="0005777B">
        <w:rPr>
          <w:rFonts w:cstheme="minorHAnsi"/>
          <w:sz w:val="24"/>
          <w:szCs w:val="24"/>
          <w:lang w:val="en-GB"/>
        </w:rPr>
        <w:t xml:space="preserve"> p</w:t>
      </w:r>
      <w:r w:rsidR="009616D5" w:rsidRPr="0005777B">
        <w:rPr>
          <w:rFonts w:cstheme="minorHAnsi"/>
          <w:sz w:val="24"/>
          <w:szCs w:val="24"/>
          <w:lang w:val="en-GB"/>
        </w:rPr>
        <w:t xml:space="preserve">ercent, </w:t>
      </w:r>
      <w:r w:rsidRPr="0005777B">
        <w:rPr>
          <w:rFonts w:cstheme="minorHAnsi"/>
          <w:sz w:val="24"/>
          <w:szCs w:val="24"/>
          <w:lang w:val="en-GB"/>
        </w:rPr>
        <w:t>relates to interest expenses arising from the operations of the parent company</w:t>
      </w:r>
      <w:r w:rsidR="00794772" w:rsidRPr="0005777B">
        <w:rPr>
          <w:rFonts w:cstheme="minorHAnsi"/>
          <w:sz w:val="24"/>
          <w:szCs w:val="24"/>
          <w:lang w:val="en-GB"/>
        </w:rPr>
        <w:t>.</w:t>
      </w:r>
    </w:p>
    <w:p w:rsidR="00794772" w:rsidRPr="0005777B" w:rsidRDefault="00794772" w:rsidP="00794772">
      <w:pPr>
        <w:spacing w:after="0" w:line="240" w:lineRule="auto"/>
        <w:jc w:val="both"/>
        <w:rPr>
          <w:rFonts w:cstheme="minorHAnsi"/>
          <w:sz w:val="24"/>
          <w:szCs w:val="24"/>
          <w:lang w:val="en-GB"/>
        </w:rPr>
      </w:pPr>
    </w:p>
    <w:p w:rsidR="00794772" w:rsidRPr="0005777B" w:rsidRDefault="0046282D"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operating expenses in the period 1 January – </w:t>
      </w:r>
      <w:r w:rsidR="00D462B8">
        <w:rPr>
          <w:rFonts w:cstheme="minorHAnsi"/>
          <w:sz w:val="24"/>
          <w:szCs w:val="24"/>
          <w:lang w:val="en-GB"/>
        </w:rPr>
        <w:t>30 June</w:t>
      </w:r>
      <w:r w:rsidRPr="0005777B">
        <w:rPr>
          <w:rFonts w:cstheme="minorHAnsi"/>
          <w:sz w:val="24"/>
          <w:szCs w:val="24"/>
          <w:lang w:val="en-GB"/>
        </w:rPr>
        <w:t xml:space="preserve"> 2017 amounted to HRK </w:t>
      </w:r>
      <w:r w:rsidR="00D462B8">
        <w:rPr>
          <w:rFonts w:cstheme="minorHAnsi"/>
          <w:sz w:val="24"/>
          <w:szCs w:val="24"/>
          <w:lang w:val="en-GB"/>
        </w:rPr>
        <w:t>78.03</w:t>
      </w:r>
      <w:r w:rsidRPr="0005777B">
        <w:rPr>
          <w:rFonts w:cstheme="minorHAnsi"/>
          <w:sz w:val="24"/>
          <w:szCs w:val="24"/>
          <w:lang w:val="en-GB"/>
        </w:rPr>
        <w:t xml:space="preserve"> million and consisted of general and administrative expenses and other operating expenses</w:t>
      </w:r>
      <w:r w:rsidR="00794772" w:rsidRPr="0005777B">
        <w:rPr>
          <w:rFonts w:cstheme="minorHAnsi"/>
          <w:sz w:val="24"/>
          <w:szCs w:val="24"/>
          <w:lang w:val="en-GB"/>
        </w:rPr>
        <w:t>.</w:t>
      </w:r>
    </w:p>
    <w:p w:rsidR="00794772" w:rsidRPr="0005777B" w:rsidRDefault="00794772" w:rsidP="00794772">
      <w:pPr>
        <w:spacing w:after="0" w:line="240" w:lineRule="auto"/>
        <w:jc w:val="both"/>
        <w:rPr>
          <w:rFonts w:cstheme="minorHAnsi"/>
          <w:sz w:val="24"/>
          <w:szCs w:val="24"/>
          <w:lang w:val="en-GB"/>
        </w:rPr>
      </w:pPr>
    </w:p>
    <w:p w:rsidR="00794772" w:rsidRPr="0005777B" w:rsidRDefault="00052220" w:rsidP="00794772">
      <w:pPr>
        <w:spacing w:after="0" w:line="240" w:lineRule="auto"/>
        <w:jc w:val="both"/>
        <w:rPr>
          <w:rFonts w:cstheme="minorHAnsi"/>
          <w:sz w:val="24"/>
          <w:szCs w:val="24"/>
          <w:lang w:val="en-GB"/>
        </w:rPr>
      </w:pPr>
      <w:r w:rsidRPr="0005777B">
        <w:rPr>
          <w:rFonts w:cstheme="minorHAnsi"/>
          <w:sz w:val="24"/>
          <w:szCs w:val="24"/>
          <w:lang w:val="en-GB"/>
        </w:rPr>
        <w:t xml:space="preserve">There were </w:t>
      </w:r>
      <w:r w:rsidR="00C434CB">
        <w:rPr>
          <w:rFonts w:cstheme="minorHAnsi"/>
          <w:sz w:val="24"/>
          <w:szCs w:val="24"/>
          <w:lang w:val="en-GB"/>
        </w:rPr>
        <w:t>377</w:t>
      </w:r>
      <w:r w:rsidR="00C434CB" w:rsidRPr="0005777B">
        <w:rPr>
          <w:rFonts w:cstheme="minorHAnsi"/>
          <w:sz w:val="24"/>
          <w:szCs w:val="24"/>
          <w:lang w:val="en-GB"/>
        </w:rPr>
        <w:t xml:space="preserve"> </w:t>
      </w:r>
      <w:r w:rsidRPr="0005777B">
        <w:rPr>
          <w:rFonts w:cstheme="minorHAnsi"/>
          <w:sz w:val="24"/>
          <w:szCs w:val="24"/>
          <w:lang w:val="en-GB"/>
        </w:rPr>
        <w:t xml:space="preserve">employees in the Group on </w:t>
      </w:r>
      <w:r w:rsidR="00C434CB">
        <w:rPr>
          <w:rFonts w:cstheme="minorHAnsi"/>
          <w:sz w:val="24"/>
          <w:szCs w:val="24"/>
          <w:lang w:val="en-GB"/>
        </w:rPr>
        <w:t>30 June</w:t>
      </w:r>
      <w:r w:rsidRPr="0005777B">
        <w:rPr>
          <w:rFonts w:cstheme="minorHAnsi"/>
          <w:sz w:val="24"/>
          <w:szCs w:val="24"/>
          <w:lang w:val="en-GB"/>
        </w:rPr>
        <w:t xml:space="preserve"> 2017, whereas there had been </w:t>
      </w:r>
      <w:r w:rsidR="00C434CB">
        <w:rPr>
          <w:rFonts w:cstheme="minorHAnsi"/>
          <w:sz w:val="24"/>
          <w:szCs w:val="24"/>
          <w:lang w:val="en-GB"/>
        </w:rPr>
        <w:t>358</w:t>
      </w:r>
      <w:r w:rsidR="00C434CB" w:rsidRPr="0005777B">
        <w:rPr>
          <w:rFonts w:cstheme="minorHAnsi"/>
          <w:sz w:val="24"/>
          <w:szCs w:val="24"/>
          <w:lang w:val="en-GB"/>
        </w:rPr>
        <w:t xml:space="preserve"> </w:t>
      </w:r>
      <w:r w:rsidRPr="0005777B">
        <w:rPr>
          <w:rFonts w:cstheme="minorHAnsi"/>
          <w:sz w:val="24"/>
          <w:szCs w:val="24"/>
          <w:lang w:val="en-GB"/>
        </w:rPr>
        <w:t>employees</w:t>
      </w:r>
      <w:r w:rsidR="0046282D" w:rsidRPr="0005777B">
        <w:rPr>
          <w:rFonts w:cstheme="minorHAnsi"/>
          <w:sz w:val="24"/>
          <w:szCs w:val="24"/>
          <w:lang w:val="en-GB"/>
        </w:rPr>
        <w:t xml:space="preserve"> in the Group</w:t>
      </w:r>
      <w:r w:rsidRPr="0005777B">
        <w:rPr>
          <w:rFonts w:cstheme="minorHAnsi"/>
          <w:sz w:val="24"/>
          <w:szCs w:val="24"/>
          <w:lang w:val="en-GB"/>
        </w:rPr>
        <w:t xml:space="preserve"> on </w:t>
      </w:r>
      <w:r w:rsidR="00C434CB">
        <w:rPr>
          <w:rFonts w:cstheme="minorHAnsi"/>
          <w:sz w:val="24"/>
          <w:szCs w:val="24"/>
          <w:lang w:val="en-GB"/>
        </w:rPr>
        <w:t>30 June</w:t>
      </w:r>
      <w:r w:rsidRPr="0005777B">
        <w:rPr>
          <w:rFonts w:cstheme="minorHAnsi"/>
          <w:sz w:val="24"/>
          <w:szCs w:val="24"/>
          <w:lang w:val="en-GB"/>
        </w:rPr>
        <w:t xml:space="preserve"> </w:t>
      </w:r>
      <w:r w:rsidR="00794772" w:rsidRPr="0005777B">
        <w:rPr>
          <w:rFonts w:cstheme="minorHAnsi"/>
          <w:sz w:val="24"/>
          <w:szCs w:val="24"/>
          <w:lang w:val="en-GB"/>
        </w:rPr>
        <w:t>201</w:t>
      </w:r>
      <w:r w:rsidR="00417B56" w:rsidRPr="0005777B">
        <w:rPr>
          <w:rFonts w:cstheme="minorHAnsi"/>
          <w:sz w:val="24"/>
          <w:szCs w:val="24"/>
          <w:lang w:val="en-GB"/>
        </w:rPr>
        <w:t>6</w:t>
      </w:r>
      <w:r w:rsidR="00794772" w:rsidRPr="0005777B">
        <w:rPr>
          <w:rFonts w:cstheme="minorHAnsi"/>
          <w:sz w:val="24"/>
          <w:szCs w:val="24"/>
          <w:lang w:val="en-GB"/>
        </w:rPr>
        <w:t>.</w:t>
      </w:r>
    </w:p>
    <w:p w:rsidR="00794772" w:rsidRPr="0005777B" w:rsidRDefault="00794772" w:rsidP="00794772">
      <w:pPr>
        <w:spacing w:after="0" w:line="240" w:lineRule="auto"/>
        <w:rPr>
          <w:rFonts w:eastAsia="Times New Roman" w:cs="Calibri"/>
          <w:b/>
          <w:spacing w:val="-3"/>
          <w:sz w:val="24"/>
          <w:szCs w:val="24"/>
          <w:u w:val="single"/>
          <w:lang w:val="en-GB" w:eastAsia="hr-HR"/>
        </w:rPr>
      </w:pPr>
    </w:p>
    <w:p w:rsidR="00BF17D9" w:rsidRPr="0005777B" w:rsidRDefault="00BF17D9" w:rsidP="00794772">
      <w:pPr>
        <w:spacing w:after="0" w:line="240" w:lineRule="auto"/>
        <w:rPr>
          <w:rFonts w:eastAsia="Times New Roman" w:cs="Calibri"/>
          <w:b/>
          <w:spacing w:val="-3"/>
          <w:sz w:val="24"/>
          <w:szCs w:val="24"/>
          <w:u w:val="single"/>
          <w:lang w:val="en-GB" w:eastAsia="hr-HR"/>
        </w:rPr>
      </w:pPr>
    </w:p>
    <w:p w:rsidR="00BF17D9" w:rsidRPr="0005777B" w:rsidRDefault="00772319" w:rsidP="00C23C95">
      <w:pPr>
        <w:spacing w:after="0" w:line="240" w:lineRule="auto"/>
        <w:rPr>
          <w:rFonts w:ascii="Calibri" w:hAnsi="Calibri" w:cs="Calibri"/>
          <w:b/>
          <w:sz w:val="24"/>
          <w:szCs w:val="24"/>
          <w:lang w:val="en-GB"/>
        </w:rPr>
      </w:pPr>
      <w:r w:rsidRPr="0005777B">
        <w:rPr>
          <w:rFonts w:ascii="Calibri" w:hAnsi="Calibri" w:cs="Calibri"/>
          <w:b/>
          <w:sz w:val="24"/>
          <w:szCs w:val="24"/>
          <w:lang w:val="en-GB"/>
        </w:rPr>
        <w:t xml:space="preserve">Assets and liabilities of the </w:t>
      </w:r>
      <w:r w:rsidR="00BF17D9" w:rsidRPr="0005777B">
        <w:rPr>
          <w:rFonts w:ascii="Calibri" w:hAnsi="Calibri" w:cs="Calibri"/>
          <w:b/>
          <w:sz w:val="24"/>
          <w:szCs w:val="24"/>
          <w:lang w:val="en-GB"/>
        </w:rPr>
        <w:t>Gr</w:t>
      </w:r>
      <w:r w:rsidRPr="0005777B">
        <w:rPr>
          <w:rFonts w:ascii="Calibri" w:hAnsi="Calibri" w:cs="Calibri"/>
          <w:b/>
          <w:sz w:val="24"/>
          <w:szCs w:val="24"/>
          <w:lang w:val="en-GB"/>
        </w:rPr>
        <w:t>o</w:t>
      </w:r>
      <w:r w:rsidR="00BF17D9" w:rsidRPr="0005777B">
        <w:rPr>
          <w:rFonts w:ascii="Calibri" w:hAnsi="Calibri" w:cs="Calibri"/>
          <w:b/>
          <w:sz w:val="24"/>
          <w:szCs w:val="24"/>
          <w:lang w:val="en-GB"/>
        </w:rPr>
        <w:t>up</w:t>
      </w:r>
    </w:p>
    <w:p w:rsidR="003E5F5C" w:rsidRPr="0005777B" w:rsidRDefault="003E5F5C" w:rsidP="00C23C95">
      <w:pPr>
        <w:spacing w:after="0" w:line="240" w:lineRule="auto"/>
        <w:rPr>
          <w:rFonts w:ascii="Calibri" w:hAnsi="Calibri" w:cs="Calibri"/>
          <w:sz w:val="24"/>
          <w:szCs w:val="24"/>
          <w:lang w:val="en-GB"/>
        </w:rPr>
      </w:pPr>
    </w:p>
    <w:p w:rsidR="003E5F5C" w:rsidRPr="0005777B" w:rsidRDefault="003E5F5C" w:rsidP="00C23C95">
      <w:pPr>
        <w:spacing w:after="0" w:line="240" w:lineRule="auto"/>
        <w:rPr>
          <w:rFonts w:ascii="Calibri" w:hAnsi="Calibri" w:cs="Calibri"/>
          <w:sz w:val="24"/>
          <w:szCs w:val="24"/>
          <w:lang w:val="en-GB"/>
        </w:rPr>
      </w:pPr>
    </w:p>
    <w:p w:rsidR="00934BFE" w:rsidRPr="0005777B" w:rsidRDefault="0042722D" w:rsidP="00934BFE">
      <w:pPr>
        <w:spacing w:after="0" w:line="240" w:lineRule="auto"/>
        <w:jc w:val="both"/>
        <w:rPr>
          <w:rFonts w:cstheme="minorHAnsi"/>
          <w:sz w:val="24"/>
          <w:szCs w:val="24"/>
          <w:lang w:val="en-GB"/>
        </w:rPr>
      </w:pPr>
      <w:r w:rsidRPr="0005777B">
        <w:rPr>
          <w:rFonts w:cstheme="minorHAnsi"/>
          <w:sz w:val="24"/>
          <w:szCs w:val="24"/>
          <w:lang w:val="en-GB"/>
        </w:rPr>
        <w:t>Total assets of the Group on consolidated basis amount to HRK</w:t>
      </w:r>
      <w:r w:rsidR="00934BFE" w:rsidRPr="0005777B">
        <w:rPr>
          <w:rFonts w:cstheme="minorHAnsi"/>
          <w:sz w:val="24"/>
          <w:szCs w:val="24"/>
          <w:lang w:val="en-GB"/>
        </w:rPr>
        <w:t xml:space="preserve"> </w:t>
      </w:r>
      <w:r w:rsidR="00C434CB">
        <w:rPr>
          <w:rFonts w:cstheme="minorHAnsi"/>
          <w:sz w:val="24"/>
          <w:szCs w:val="24"/>
        </w:rPr>
        <w:t>27,823.84</w:t>
      </w:r>
      <w:r w:rsidR="00C434CB" w:rsidRPr="00934BFE">
        <w:rPr>
          <w:rFonts w:cstheme="minorHAnsi"/>
          <w:sz w:val="24"/>
          <w:szCs w:val="24"/>
        </w:rPr>
        <w:t xml:space="preserve"> </w:t>
      </w:r>
      <w:r w:rsidRPr="0005777B">
        <w:rPr>
          <w:rFonts w:cstheme="minorHAnsi"/>
          <w:sz w:val="24"/>
          <w:szCs w:val="24"/>
          <w:lang w:val="en-GB"/>
        </w:rPr>
        <w:t xml:space="preserve">million, an increase of </w:t>
      </w:r>
      <w:r w:rsidR="008059C6">
        <w:rPr>
          <w:rFonts w:cstheme="minorHAnsi"/>
          <w:sz w:val="24"/>
          <w:szCs w:val="24"/>
          <w:lang w:val="en-GB"/>
        </w:rPr>
        <w:t>1.58</w:t>
      </w:r>
      <w:r w:rsidR="00417B56" w:rsidRPr="0005777B">
        <w:rPr>
          <w:rFonts w:cstheme="minorHAnsi"/>
          <w:sz w:val="24"/>
          <w:szCs w:val="24"/>
          <w:lang w:val="en-GB"/>
        </w:rPr>
        <w:t xml:space="preserve"> p</w:t>
      </w:r>
      <w:r w:rsidRPr="0005777B">
        <w:rPr>
          <w:rFonts w:cstheme="minorHAnsi"/>
          <w:sz w:val="24"/>
          <w:szCs w:val="24"/>
          <w:lang w:val="en-GB"/>
        </w:rPr>
        <w:t>ercent compared with the beginning of the year. The reasons for such tendency are stated in the description of HBOR’s financial performance</w:t>
      </w:r>
      <w:r w:rsidR="007F3D20" w:rsidRPr="0005777B">
        <w:rPr>
          <w:rFonts w:cstheme="minorHAnsi"/>
          <w:sz w:val="24"/>
          <w:szCs w:val="24"/>
          <w:lang w:val="en-GB"/>
        </w:rPr>
        <w:t>.</w:t>
      </w:r>
    </w:p>
    <w:p w:rsidR="007162FD" w:rsidRPr="0005777B" w:rsidRDefault="007162FD" w:rsidP="00934BFE">
      <w:pPr>
        <w:spacing w:after="0" w:line="240" w:lineRule="auto"/>
        <w:jc w:val="both"/>
        <w:rPr>
          <w:rFonts w:cstheme="minorHAnsi"/>
          <w:sz w:val="24"/>
          <w:szCs w:val="24"/>
          <w:lang w:val="en-GB"/>
        </w:rPr>
      </w:pPr>
    </w:p>
    <w:p w:rsidR="00934BFE" w:rsidRPr="0005777B" w:rsidRDefault="0042722D" w:rsidP="00934BFE">
      <w:pPr>
        <w:spacing w:after="0" w:line="240" w:lineRule="auto"/>
        <w:jc w:val="both"/>
        <w:rPr>
          <w:rFonts w:cstheme="minorHAnsi"/>
          <w:sz w:val="24"/>
          <w:szCs w:val="24"/>
          <w:lang w:val="en-GB"/>
        </w:rPr>
      </w:pPr>
      <w:r w:rsidRPr="0005777B">
        <w:rPr>
          <w:rFonts w:cstheme="minorHAnsi"/>
          <w:sz w:val="24"/>
          <w:szCs w:val="24"/>
          <w:lang w:val="en-GB"/>
        </w:rPr>
        <w:t xml:space="preserve">In the structure of assets, the major portion relates to the lending activities of the parent company, i.e. net loans account for </w:t>
      </w:r>
      <w:r w:rsidR="008059C6">
        <w:rPr>
          <w:rFonts w:cstheme="minorHAnsi"/>
          <w:sz w:val="24"/>
          <w:szCs w:val="24"/>
          <w:lang w:val="en-GB"/>
        </w:rPr>
        <w:t>82.52</w:t>
      </w:r>
      <w:r w:rsidRPr="0005777B">
        <w:rPr>
          <w:rFonts w:cstheme="minorHAnsi"/>
          <w:sz w:val="24"/>
          <w:szCs w:val="24"/>
          <w:lang w:val="en-GB"/>
        </w:rPr>
        <w:t xml:space="preserve"> percent of total assets</w:t>
      </w:r>
      <w:r w:rsidR="00934BFE" w:rsidRPr="0005777B">
        <w:rPr>
          <w:rFonts w:cstheme="minorHAnsi"/>
          <w:sz w:val="24"/>
          <w:szCs w:val="24"/>
          <w:lang w:val="en-GB"/>
        </w:rPr>
        <w:t>.</w:t>
      </w:r>
    </w:p>
    <w:p w:rsidR="00934BFE" w:rsidRPr="0005777B" w:rsidRDefault="00934BFE" w:rsidP="00934BFE">
      <w:pPr>
        <w:spacing w:after="0" w:line="240" w:lineRule="auto"/>
        <w:jc w:val="both"/>
        <w:rPr>
          <w:rFonts w:cstheme="minorHAnsi"/>
          <w:sz w:val="24"/>
          <w:szCs w:val="24"/>
          <w:lang w:val="en-GB"/>
        </w:rPr>
      </w:pPr>
    </w:p>
    <w:p w:rsidR="00934BFE" w:rsidRPr="0005777B" w:rsidRDefault="0042722D"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w:t>
      </w:r>
      <w:r w:rsidR="00564F57" w:rsidRPr="0005777B">
        <w:rPr>
          <w:rFonts w:eastAsia="Times New Roman" w:cs="Calibri"/>
          <w:spacing w:val="-3"/>
          <w:sz w:val="24"/>
          <w:szCs w:val="24"/>
          <w:lang w:val="en-GB" w:eastAsia="hr-HR"/>
        </w:rPr>
        <w:t>at</w:t>
      </w:r>
      <w:r w:rsidRPr="0005777B">
        <w:rPr>
          <w:rFonts w:eastAsia="Times New Roman" w:cs="Calibri"/>
          <w:spacing w:val="-3"/>
          <w:sz w:val="24"/>
          <w:szCs w:val="24"/>
          <w:lang w:val="en-GB" w:eastAsia="hr-HR"/>
        </w:rPr>
        <w:t xml:space="preserve"> </w:t>
      </w:r>
      <w:r w:rsidR="008059C6">
        <w:rPr>
          <w:rFonts w:eastAsia="Times New Roman" w:cs="Calibri"/>
          <w:spacing w:val="-3"/>
          <w:sz w:val="24"/>
          <w:szCs w:val="24"/>
          <w:lang w:val="en-GB" w:eastAsia="hr-HR"/>
        </w:rPr>
        <w:t>30 June</w:t>
      </w:r>
      <w:r w:rsidRPr="0005777B">
        <w:rPr>
          <w:rFonts w:eastAsia="Times New Roman" w:cs="Calibri"/>
          <w:spacing w:val="-3"/>
          <w:sz w:val="24"/>
          <w:szCs w:val="24"/>
          <w:lang w:val="en-GB" w:eastAsia="hr-HR"/>
        </w:rPr>
        <w:t xml:space="preserve"> 2017 amount to HRK </w:t>
      </w:r>
      <w:r w:rsidR="008059C6">
        <w:rPr>
          <w:rFonts w:eastAsia="Times New Roman" w:cs="Calibri"/>
          <w:spacing w:val="-3"/>
          <w:sz w:val="24"/>
          <w:szCs w:val="24"/>
          <w:lang w:eastAsia="hr-HR"/>
        </w:rPr>
        <w:t xml:space="preserve">27,823.84 </w:t>
      </w:r>
      <w:r w:rsidRPr="0005777B">
        <w:rPr>
          <w:rFonts w:eastAsia="Times New Roman" w:cs="Calibri"/>
          <w:spacing w:val="-3"/>
          <w:sz w:val="24"/>
          <w:szCs w:val="24"/>
          <w:lang w:val="en-GB" w:eastAsia="hr-HR"/>
        </w:rPr>
        <w:t xml:space="preserve">million, of which amount total liabilities equal HRK </w:t>
      </w:r>
      <w:r w:rsidR="002A588A">
        <w:rPr>
          <w:rFonts w:eastAsia="Times New Roman" w:cs="Calibri"/>
          <w:spacing w:val="-3"/>
          <w:sz w:val="24"/>
          <w:szCs w:val="24"/>
          <w:lang w:eastAsia="hr-HR"/>
        </w:rPr>
        <w:t xml:space="preserve">17,651.17 </w:t>
      </w:r>
      <w:r w:rsidRPr="0005777B">
        <w:rPr>
          <w:rFonts w:ascii="Calibri" w:eastAsia="Times New Roman" w:hAnsi="Calibri" w:cs="Arial"/>
          <w:bCs/>
          <w:color w:val="000000"/>
          <w:sz w:val="24"/>
          <w:szCs w:val="24"/>
          <w:lang w:val="en-GB" w:eastAsia="hr-HR"/>
        </w:rPr>
        <w:t>million</w:t>
      </w:r>
      <w:r w:rsidR="000812A2" w:rsidRPr="0005777B">
        <w:rPr>
          <w:rFonts w:ascii="Calibri" w:eastAsia="Times New Roman" w:hAnsi="Calibri" w:cs="Arial"/>
          <w:bCs/>
          <w:color w:val="000000"/>
          <w:sz w:val="24"/>
          <w:szCs w:val="24"/>
          <w:lang w:val="en-GB" w:eastAsia="hr-HR"/>
        </w:rPr>
        <w:t xml:space="preserve">, i.e. </w:t>
      </w:r>
      <w:r w:rsidR="002A588A">
        <w:rPr>
          <w:rFonts w:eastAsia="Times New Roman" w:cs="Calibri"/>
          <w:spacing w:val="-3"/>
          <w:sz w:val="24"/>
          <w:szCs w:val="24"/>
          <w:lang w:eastAsia="hr-HR"/>
        </w:rPr>
        <w:t xml:space="preserve">63.44 </w:t>
      </w:r>
      <w:r w:rsidR="00D3254D" w:rsidRPr="0005777B">
        <w:rPr>
          <w:rFonts w:eastAsia="Times New Roman" w:cs="Calibri"/>
          <w:spacing w:val="-3"/>
          <w:sz w:val="24"/>
          <w:szCs w:val="24"/>
          <w:lang w:val="en-GB" w:eastAsia="hr-HR"/>
        </w:rPr>
        <w:t>p</w:t>
      </w:r>
      <w:r w:rsidR="000812A2" w:rsidRPr="0005777B">
        <w:rPr>
          <w:rFonts w:eastAsia="Times New Roman" w:cs="Calibri"/>
          <w:spacing w:val="-3"/>
          <w:sz w:val="24"/>
          <w:szCs w:val="24"/>
          <w:lang w:val="en-GB" w:eastAsia="hr-HR"/>
        </w:rPr>
        <w:t>ercent</w:t>
      </w:r>
      <w:r w:rsidR="00934BFE" w:rsidRPr="0005777B">
        <w:rPr>
          <w:rFonts w:eastAsia="Times New Roman" w:cs="Calibri"/>
          <w:spacing w:val="-3"/>
          <w:sz w:val="24"/>
          <w:szCs w:val="24"/>
          <w:lang w:val="en-GB" w:eastAsia="hr-HR"/>
        </w:rPr>
        <w:t>.</w:t>
      </w:r>
    </w:p>
    <w:p w:rsidR="007162FD" w:rsidRPr="0005777B" w:rsidRDefault="007162FD" w:rsidP="001C6D63">
      <w:pPr>
        <w:spacing w:after="0" w:line="240" w:lineRule="auto"/>
        <w:jc w:val="both"/>
        <w:rPr>
          <w:rFonts w:eastAsia="Times New Roman" w:cs="Calibri"/>
          <w:spacing w:val="-3"/>
          <w:sz w:val="24"/>
          <w:szCs w:val="24"/>
          <w:lang w:val="en-GB" w:eastAsia="hr-HR"/>
        </w:rPr>
      </w:pPr>
    </w:p>
    <w:p w:rsidR="00934BFE" w:rsidRPr="0005777B" w:rsidRDefault="001B7601"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i.e. </w:t>
      </w:r>
      <w:r w:rsidR="002A588A">
        <w:rPr>
          <w:rFonts w:cstheme="minorHAnsi"/>
          <w:sz w:val="24"/>
          <w:szCs w:val="24"/>
          <w:lang w:val="en-GB"/>
        </w:rPr>
        <w:t>59.42</w:t>
      </w:r>
      <w:r w:rsidRPr="0005777B">
        <w:rPr>
          <w:rFonts w:cstheme="minorHAnsi"/>
          <w:sz w:val="24"/>
          <w:szCs w:val="24"/>
          <w:lang w:val="en-GB"/>
        </w:rPr>
        <w:t xml:space="preserve"> percent, consists of borrowings and bonds payable of the parent company</w:t>
      </w:r>
      <w:r w:rsidR="00934BFE" w:rsidRPr="0005777B">
        <w:rPr>
          <w:rFonts w:cstheme="minorHAnsi"/>
          <w:sz w:val="24"/>
          <w:szCs w:val="24"/>
          <w:lang w:val="en-GB"/>
        </w:rPr>
        <w:t>.</w:t>
      </w:r>
    </w:p>
    <w:p w:rsidR="00934BFE" w:rsidRPr="0005777B" w:rsidRDefault="00934BFE" w:rsidP="00934BFE">
      <w:pPr>
        <w:spacing w:after="0" w:line="240" w:lineRule="auto"/>
        <w:jc w:val="both"/>
        <w:rPr>
          <w:rFonts w:cstheme="minorHAnsi"/>
          <w:sz w:val="24"/>
          <w:szCs w:val="24"/>
          <w:lang w:val="en-GB"/>
        </w:rPr>
      </w:pPr>
    </w:p>
    <w:p w:rsidR="003358AA" w:rsidRDefault="004230EB" w:rsidP="004230EB">
      <w:pPr>
        <w:tabs>
          <w:tab w:val="left" w:pos="1204"/>
        </w:tabs>
        <w:jc w:val="both"/>
        <w:rPr>
          <w:rFonts w:cstheme="minorHAnsi"/>
          <w:sz w:val="24"/>
          <w:szCs w:val="24"/>
          <w:lang w:val="en-GB"/>
        </w:rPr>
      </w:pPr>
      <w:r w:rsidRPr="0005777B">
        <w:rPr>
          <w:rFonts w:cstheme="minorHAnsi"/>
          <w:sz w:val="24"/>
          <w:szCs w:val="24"/>
          <w:lang w:val="en-GB"/>
        </w:rPr>
        <w:t xml:space="preserve">At the end of the reporting period, total equity on consolidated basis amounted to HRK </w:t>
      </w:r>
      <w:r w:rsidR="00D3254D" w:rsidRPr="00FE5B03">
        <w:rPr>
          <w:sz w:val="24"/>
        </w:rPr>
        <w:t>10</w:t>
      </w:r>
      <w:r w:rsidRPr="00FE5B03">
        <w:rPr>
          <w:sz w:val="24"/>
        </w:rPr>
        <w:t>,</w:t>
      </w:r>
      <w:r w:rsidR="002A588A">
        <w:rPr>
          <w:rFonts w:cstheme="minorHAnsi"/>
          <w:sz w:val="24"/>
          <w:szCs w:val="24"/>
        </w:rPr>
        <w:t>172.67</w:t>
      </w:r>
      <w:r w:rsidR="002A588A" w:rsidRPr="00934BFE">
        <w:rPr>
          <w:rFonts w:cstheme="minorHAnsi"/>
          <w:sz w:val="24"/>
          <w:szCs w:val="24"/>
        </w:rPr>
        <w:t xml:space="preserve"> </w:t>
      </w:r>
      <w:r w:rsidRPr="0005777B">
        <w:rPr>
          <w:rFonts w:cstheme="minorHAnsi"/>
          <w:sz w:val="24"/>
          <w:szCs w:val="24"/>
          <w:lang w:val="en-GB"/>
        </w:rPr>
        <w:t xml:space="preserve">million and accounted for </w:t>
      </w:r>
      <w:r w:rsidR="002A588A">
        <w:rPr>
          <w:rFonts w:cstheme="minorHAnsi"/>
          <w:sz w:val="24"/>
          <w:szCs w:val="24"/>
        </w:rPr>
        <w:t>36.56</w:t>
      </w:r>
      <w:r w:rsidRPr="00FE5B03">
        <w:rPr>
          <w:sz w:val="24"/>
        </w:rPr>
        <w:t xml:space="preserve"> </w:t>
      </w:r>
      <w:r w:rsidR="00D3254D" w:rsidRPr="0005777B">
        <w:rPr>
          <w:rFonts w:cstheme="minorHAnsi"/>
          <w:sz w:val="24"/>
          <w:szCs w:val="24"/>
          <w:lang w:val="en-GB"/>
        </w:rPr>
        <w:t>p</w:t>
      </w:r>
      <w:r w:rsidRPr="0005777B">
        <w:rPr>
          <w:rFonts w:cstheme="minorHAnsi"/>
          <w:sz w:val="24"/>
          <w:szCs w:val="24"/>
          <w:lang w:val="en-GB"/>
        </w:rPr>
        <w:t>ercent of total liabilities and total equity of the Group</w:t>
      </w:r>
      <w:r w:rsidR="00934BFE" w:rsidRPr="0005777B">
        <w:rPr>
          <w:rFonts w:cstheme="minorHAnsi"/>
          <w:sz w:val="24"/>
          <w:szCs w:val="24"/>
          <w:lang w:val="en-GB"/>
        </w:rPr>
        <w:t>.</w:t>
      </w:r>
      <w:r w:rsidR="002A599E" w:rsidRPr="0005777B">
        <w:rPr>
          <w:rFonts w:cstheme="minorHAnsi"/>
          <w:sz w:val="24"/>
          <w:szCs w:val="24"/>
          <w:lang w:val="en-GB"/>
        </w:rPr>
        <w:t xml:space="preserve"> </w:t>
      </w:r>
    </w:p>
    <w:p w:rsidR="000A69A2" w:rsidRDefault="000A69A2" w:rsidP="00C23C95">
      <w:pPr>
        <w:tabs>
          <w:tab w:val="left" w:pos="1204"/>
        </w:tabs>
        <w:rPr>
          <w:rFonts w:cstheme="minorHAnsi"/>
          <w:sz w:val="24"/>
          <w:szCs w:val="24"/>
          <w:lang w:val="en-GB"/>
        </w:rPr>
        <w:sectPr w:rsidR="000A69A2" w:rsidSect="00C23C95">
          <w:footerReference w:type="first" r:id="rId17"/>
          <w:pgSz w:w="11906" w:h="16838" w:code="9"/>
          <w:pgMar w:top="-383" w:right="1134" w:bottom="567" w:left="1418" w:header="709" w:footer="709" w:gutter="0"/>
          <w:pgNumType w:start="4"/>
          <w:cols w:space="708"/>
          <w:titlePg/>
          <w:docGrid w:linePitch="360"/>
        </w:sectPr>
      </w:pPr>
    </w:p>
    <w:p w:rsidR="007866A7" w:rsidRDefault="007866A7" w:rsidP="00FE5B03">
      <w:pPr>
        <w:tabs>
          <w:tab w:val="left" w:pos="1540"/>
        </w:tabs>
        <w:rPr>
          <w:rFonts w:cstheme="minorHAnsi"/>
          <w:sz w:val="24"/>
          <w:szCs w:val="24"/>
          <w:lang w:val="en-GB"/>
        </w:rPr>
      </w:pPr>
    </w:p>
    <w:p w:rsidR="00E56C9B" w:rsidRDefault="00E56C9B" w:rsidP="00C23C95">
      <w:pPr>
        <w:tabs>
          <w:tab w:val="left" w:pos="1204"/>
        </w:tabs>
        <w:rPr>
          <w:rFonts w:cstheme="minorHAnsi"/>
          <w:sz w:val="24"/>
          <w:szCs w:val="24"/>
          <w:lang w:val="en-GB"/>
        </w:rPr>
      </w:pPr>
    </w:p>
    <w:p w:rsidR="00B42F86" w:rsidRPr="0005777B" w:rsidRDefault="00B42F86" w:rsidP="00C23C95">
      <w:pPr>
        <w:tabs>
          <w:tab w:val="left" w:pos="1204"/>
        </w:tabs>
        <w:rPr>
          <w:rFonts w:cstheme="minorHAnsi"/>
          <w:sz w:val="24"/>
          <w:szCs w:val="24"/>
          <w:lang w:val="en-GB"/>
        </w:rPr>
      </w:pPr>
      <w:r>
        <w:rPr>
          <w:rFonts w:cstheme="minorHAnsi"/>
          <w:sz w:val="24"/>
          <w:szCs w:val="24"/>
          <w:lang w:val="en-GB"/>
        </w:rPr>
        <w:t xml:space="preserve">   </w:t>
      </w:r>
      <w:r>
        <w:rPr>
          <w:rFonts w:cstheme="minorHAnsi"/>
          <w:noProof/>
          <w:sz w:val="24"/>
          <w:szCs w:val="24"/>
          <w:lang w:eastAsia="hr-HR"/>
        </w:rPr>
        <w:drawing>
          <wp:inline distT="0" distB="0" distL="0" distR="0" wp14:anchorId="4F176A66" wp14:editId="66EF1771">
            <wp:extent cx="2682240" cy="282257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2240" cy="2822575"/>
                    </a:xfrm>
                    <a:prstGeom prst="rect">
                      <a:avLst/>
                    </a:prstGeom>
                    <a:noFill/>
                  </pic:spPr>
                </pic:pic>
              </a:graphicData>
            </a:graphic>
          </wp:inline>
        </w:drawing>
      </w:r>
      <w:r>
        <w:rPr>
          <w:rFonts w:cstheme="minorHAnsi"/>
          <w:sz w:val="24"/>
          <w:szCs w:val="24"/>
          <w:lang w:val="en-GB"/>
        </w:rPr>
        <w:t xml:space="preserve">        </w:t>
      </w:r>
      <w:r>
        <w:rPr>
          <w:rFonts w:cstheme="minorHAnsi"/>
          <w:noProof/>
          <w:sz w:val="24"/>
          <w:szCs w:val="24"/>
          <w:lang w:eastAsia="hr-HR"/>
        </w:rPr>
        <w:drawing>
          <wp:inline distT="0" distB="0" distL="0" distR="0" wp14:anchorId="72014519" wp14:editId="55127F7C">
            <wp:extent cx="2688590" cy="27984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88590" cy="2798445"/>
                    </a:xfrm>
                    <a:prstGeom prst="rect">
                      <a:avLst/>
                    </a:prstGeom>
                    <a:noFill/>
                  </pic:spPr>
                </pic:pic>
              </a:graphicData>
            </a:graphic>
          </wp:inline>
        </w:drawing>
      </w:r>
    </w:p>
    <w:p w:rsidR="00B42F86" w:rsidRDefault="007866A7" w:rsidP="00C23C95">
      <w:pPr>
        <w:spacing w:after="0" w:line="240" w:lineRule="auto"/>
        <w:ind w:left="-284" w:right="-285"/>
        <w:jc w:val="both"/>
        <w:rPr>
          <w:rFonts w:cstheme="minorHAnsi"/>
          <w:sz w:val="24"/>
          <w:szCs w:val="24"/>
          <w:lang w:val="en-GB"/>
        </w:rPr>
      </w:pPr>
      <w:r w:rsidRPr="0005777B">
        <w:rPr>
          <w:rFonts w:cstheme="minorHAnsi"/>
          <w:sz w:val="24"/>
          <w:szCs w:val="24"/>
          <w:lang w:val="en-GB"/>
        </w:rPr>
        <w:t xml:space="preserve">  </w:t>
      </w:r>
      <w:r w:rsidR="003516A1" w:rsidRPr="0005777B">
        <w:rPr>
          <w:rFonts w:cstheme="minorHAnsi"/>
          <w:sz w:val="24"/>
          <w:szCs w:val="24"/>
          <w:lang w:val="en-GB"/>
        </w:rPr>
        <w:t xml:space="preserve">   </w:t>
      </w:r>
    </w:p>
    <w:p w:rsidR="00B42F86" w:rsidRDefault="00B42F86" w:rsidP="00C23C95">
      <w:pPr>
        <w:spacing w:after="0" w:line="240" w:lineRule="auto"/>
        <w:ind w:left="-284" w:right="-285"/>
        <w:jc w:val="both"/>
        <w:rPr>
          <w:rFonts w:cstheme="minorHAnsi"/>
          <w:sz w:val="24"/>
          <w:szCs w:val="24"/>
          <w:lang w:val="en-GB"/>
        </w:rPr>
      </w:pPr>
    </w:p>
    <w:p w:rsidR="00B42F86" w:rsidRDefault="00B42F86" w:rsidP="00C23C95">
      <w:pPr>
        <w:spacing w:after="0" w:line="240" w:lineRule="auto"/>
        <w:ind w:left="-284" w:right="-285"/>
        <w:jc w:val="both"/>
        <w:rPr>
          <w:rFonts w:cstheme="minorHAnsi"/>
          <w:sz w:val="24"/>
          <w:szCs w:val="24"/>
          <w:lang w:val="en-GB"/>
        </w:rPr>
      </w:pPr>
    </w:p>
    <w:p w:rsidR="00B42F86" w:rsidRDefault="000A69A2" w:rsidP="00C23C95">
      <w:pPr>
        <w:spacing w:after="0" w:line="240" w:lineRule="auto"/>
        <w:ind w:left="-284" w:right="-285"/>
        <w:jc w:val="both"/>
        <w:rPr>
          <w:rFonts w:cstheme="minorHAnsi"/>
          <w:sz w:val="24"/>
          <w:szCs w:val="24"/>
          <w:lang w:val="en-GB"/>
        </w:rPr>
      </w:pPr>
      <w:r>
        <w:rPr>
          <w:rFonts w:cstheme="minorHAnsi"/>
          <w:sz w:val="24"/>
          <w:szCs w:val="24"/>
          <w:lang w:val="en-GB"/>
        </w:rPr>
        <w:t xml:space="preserve"> </w:t>
      </w:r>
      <w:r w:rsidR="00C1355B">
        <w:rPr>
          <w:rFonts w:cstheme="minorHAnsi"/>
          <w:sz w:val="24"/>
          <w:szCs w:val="24"/>
          <w:lang w:val="en-GB"/>
        </w:rPr>
        <w:t xml:space="preserve">  </w:t>
      </w:r>
      <w:r>
        <w:rPr>
          <w:rFonts w:cstheme="minorHAnsi"/>
          <w:sz w:val="24"/>
          <w:szCs w:val="24"/>
          <w:lang w:val="en-GB"/>
        </w:rPr>
        <w:t xml:space="preserve">  </w:t>
      </w:r>
      <w:r w:rsidR="00C1355B">
        <w:rPr>
          <w:rFonts w:cstheme="minorHAnsi"/>
          <w:noProof/>
          <w:sz w:val="24"/>
          <w:szCs w:val="24"/>
          <w:lang w:eastAsia="hr-HR"/>
        </w:rPr>
        <w:drawing>
          <wp:inline distT="0" distB="0" distL="0" distR="0" wp14:anchorId="75C88D24" wp14:editId="03AA69BE">
            <wp:extent cx="2670843" cy="2772000"/>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0843" cy="2772000"/>
                    </a:xfrm>
                    <a:prstGeom prst="rect">
                      <a:avLst/>
                    </a:prstGeom>
                    <a:noFill/>
                  </pic:spPr>
                </pic:pic>
              </a:graphicData>
            </a:graphic>
          </wp:inline>
        </w:drawing>
      </w:r>
      <w:r>
        <w:rPr>
          <w:rFonts w:cstheme="minorHAnsi"/>
          <w:sz w:val="24"/>
          <w:szCs w:val="24"/>
          <w:lang w:val="en-GB"/>
        </w:rPr>
        <w:t xml:space="preserve">       </w:t>
      </w:r>
      <w:r w:rsidR="00C1355B">
        <w:rPr>
          <w:rFonts w:cstheme="minorHAnsi"/>
          <w:noProof/>
          <w:sz w:val="24"/>
          <w:szCs w:val="24"/>
          <w:lang w:eastAsia="hr-HR"/>
        </w:rPr>
        <w:drawing>
          <wp:inline distT="0" distB="0" distL="0" distR="0" wp14:anchorId="223E287F" wp14:editId="70C1947E">
            <wp:extent cx="2670842" cy="2772000"/>
            <wp:effectExtent l="0" t="0" r="0"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0842" cy="2772000"/>
                    </a:xfrm>
                    <a:prstGeom prst="rect">
                      <a:avLst/>
                    </a:prstGeom>
                    <a:noFill/>
                  </pic:spPr>
                </pic:pic>
              </a:graphicData>
            </a:graphic>
          </wp:inline>
        </w:drawing>
      </w:r>
    </w:p>
    <w:p w:rsidR="00FF02C3" w:rsidRPr="0005777B" w:rsidRDefault="00B42F86" w:rsidP="00C23C95">
      <w:pPr>
        <w:spacing w:after="0" w:line="240" w:lineRule="auto"/>
        <w:ind w:left="-284" w:right="-285"/>
        <w:jc w:val="both"/>
        <w:rPr>
          <w:rFonts w:eastAsia="Times New Roman" w:cs="Calibri"/>
          <w:b/>
          <w:spacing w:val="-3"/>
          <w:sz w:val="24"/>
          <w:szCs w:val="24"/>
          <w:u w:val="single"/>
          <w:lang w:val="en-GB" w:eastAsia="hr-HR"/>
        </w:rPr>
      </w:pPr>
      <w:r>
        <w:rPr>
          <w:rFonts w:eastAsia="Times New Roman" w:cs="Calibri"/>
          <w:b/>
          <w:spacing w:val="-3"/>
          <w:sz w:val="24"/>
          <w:szCs w:val="24"/>
          <w:u w:val="single"/>
          <w:lang w:val="en-GB" w:eastAsia="hr-HR"/>
        </w:rPr>
        <w:t xml:space="preserve">                 </w:t>
      </w:r>
    </w:p>
    <w:p w:rsidR="00FF02C3" w:rsidRPr="0005777B" w:rsidRDefault="003516A1" w:rsidP="001C6D63">
      <w:pPr>
        <w:spacing w:after="0" w:line="240" w:lineRule="auto"/>
        <w:ind w:left="-284" w:right="-425"/>
        <w:rPr>
          <w:rFonts w:eastAsia="Times New Roman" w:cs="Calibri"/>
          <w:b/>
          <w:spacing w:val="-3"/>
          <w:sz w:val="24"/>
          <w:szCs w:val="24"/>
          <w:u w:val="single"/>
          <w:lang w:val="en-GB" w:eastAsia="hr-HR"/>
        </w:rPr>
      </w:pPr>
      <w:r w:rsidRPr="0005777B">
        <w:rPr>
          <w:rFonts w:eastAsia="Times New Roman" w:cs="Calibri"/>
          <w:b/>
          <w:spacing w:val="-3"/>
          <w:sz w:val="24"/>
          <w:szCs w:val="24"/>
          <w:lang w:val="en-GB" w:eastAsia="hr-HR"/>
        </w:rPr>
        <w:t xml:space="preserve">  </w:t>
      </w:r>
      <w:r w:rsidRPr="0005777B">
        <w:rPr>
          <w:rFonts w:eastAsia="Times New Roman" w:cs="Calibri"/>
          <w:b/>
          <w:noProof/>
          <w:spacing w:val="-3"/>
          <w:sz w:val="24"/>
          <w:szCs w:val="24"/>
          <w:lang w:val="en-GB" w:eastAsia="hr-HR"/>
        </w:rPr>
        <w:t xml:space="preserve"> </w:t>
      </w:r>
    </w:p>
    <w:p w:rsidR="00A66E01" w:rsidRPr="0005777B" w:rsidRDefault="00A66E01" w:rsidP="00A66E01">
      <w:pPr>
        <w:spacing w:before="240" w:after="0" w:line="240" w:lineRule="auto"/>
        <w:jc w:val="both"/>
        <w:rPr>
          <w:rFonts w:eastAsia="Times New Roman" w:cs="Calibri"/>
          <w:color w:val="7F7F7F" w:themeColor="text1" w:themeTint="80"/>
          <w:spacing w:val="-3"/>
          <w:sz w:val="20"/>
          <w:szCs w:val="20"/>
          <w:lang w:val="en-GB" w:eastAsia="hr-HR"/>
        </w:rPr>
      </w:pPr>
      <w:r w:rsidRPr="0005777B">
        <w:rPr>
          <w:rFonts w:eastAsia="Times New Roman" w:cs="Calibri"/>
          <w:color w:val="7F7F7F" w:themeColor="text1" w:themeTint="80"/>
          <w:spacing w:val="-3"/>
          <w:sz w:val="20"/>
          <w:szCs w:val="20"/>
          <w:lang w:val="en-GB" w:eastAsia="hr-HR"/>
        </w:rPr>
        <w:t>*Financia</w:t>
      </w:r>
      <w:r w:rsidR="00971E43" w:rsidRPr="0005777B">
        <w:rPr>
          <w:rFonts w:eastAsia="Times New Roman" w:cs="Calibri"/>
          <w:color w:val="7F7F7F" w:themeColor="text1" w:themeTint="80"/>
          <w:spacing w:val="-3"/>
          <w:sz w:val="20"/>
          <w:szCs w:val="20"/>
          <w:lang w:val="en-GB" w:eastAsia="hr-HR"/>
        </w:rPr>
        <w:t xml:space="preserve">l assets at fair value through profit or loss, Assets held to maturity, Property, plant and equipment and intangible assets, Non-current assets held for sale and </w:t>
      </w:r>
      <w:r w:rsidRPr="0005777B">
        <w:rPr>
          <w:rFonts w:eastAsia="Times New Roman" w:cs="Calibri"/>
          <w:color w:val="7F7F7F" w:themeColor="text1" w:themeTint="80"/>
          <w:spacing w:val="-3"/>
          <w:sz w:val="20"/>
          <w:szCs w:val="20"/>
          <w:lang w:val="en-GB" w:eastAsia="hr-HR"/>
        </w:rPr>
        <w:t>Ot</w:t>
      </w:r>
      <w:r w:rsidR="00971E43" w:rsidRPr="0005777B">
        <w:rPr>
          <w:rFonts w:eastAsia="Times New Roman" w:cs="Calibri"/>
          <w:color w:val="7F7F7F" w:themeColor="text1" w:themeTint="80"/>
          <w:spacing w:val="-3"/>
          <w:sz w:val="20"/>
          <w:szCs w:val="20"/>
          <w:lang w:val="en-GB" w:eastAsia="hr-HR"/>
        </w:rPr>
        <w:t>her assets</w:t>
      </w:r>
      <w:r w:rsidRPr="0005777B">
        <w:rPr>
          <w:rFonts w:eastAsia="Times New Roman" w:cs="Calibri"/>
          <w:color w:val="7F7F7F" w:themeColor="text1" w:themeTint="80"/>
          <w:spacing w:val="-3"/>
          <w:sz w:val="20"/>
          <w:szCs w:val="20"/>
          <w:lang w:val="en-GB" w:eastAsia="hr-HR"/>
        </w:rPr>
        <w:t>.</w:t>
      </w:r>
    </w:p>
    <w:p w:rsidR="00FF02C3" w:rsidRPr="0005777B" w:rsidRDefault="00FF02C3" w:rsidP="00801EB8">
      <w:pPr>
        <w:spacing w:after="0" w:line="240" w:lineRule="auto"/>
        <w:rPr>
          <w:rFonts w:eastAsia="Times New Roman" w:cs="Calibri"/>
          <w:color w:val="7F7F7F" w:themeColor="text1" w:themeTint="80"/>
          <w:spacing w:val="-3"/>
          <w:sz w:val="20"/>
          <w:szCs w:val="20"/>
          <w:lang w:val="en-GB" w:eastAsia="hr-HR"/>
        </w:rPr>
      </w:pPr>
    </w:p>
    <w:p w:rsidR="00A66E01" w:rsidRPr="0005777B" w:rsidRDefault="00A66E01" w:rsidP="00801EB8">
      <w:pPr>
        <w:spacing w:after="0" w:line="240" w:lineRule="auto"/>
        <w:rPr>
          <w:rFonts w:eastAsia="Times New Roman" w:cs="Calibri"/>
          <w:color w:val="7F7F7F" w:themeColor="text1" w:themeTint="80"/>
          <w:spacing w:val="-3"/>
          <w:sz w:val="20"/>
          <w:szCs w:val="20"/>
          <w:lang w:val="en-GB" w:eastAsia="hr-HR"/>
        </w:rPr>
      </w:pPr>
    </w:p>
    <w:p w:rsidR="00A66E01" w:rsidRPr="0005777B" w:rsidRDefault="00A66E01" w:rsidP="00801EB8">
      <w:pPr>
        <w:spacing w:after="0" w:line="240" w:lineRule="auto"/>
        <w:rPr>
          <w:rFonts w:eastAsia="Times New Roman" w:cs="Calibri"/>
          <w:b/>
          <w:spacing w:val="-3"/>
          <w:sz w:val="24"/>
          <w:szCs w:val="24"/>
          <w:u w:val="single"/>
          <w:lang w:val="en-GB" w:eastAsia="hr-HR"/>
        </w:rPr>
      </w:pPr>
    </w:p>
    <w:p w:rsidR="00810A4B" w:rsidRPr="0005777B" w:rsidRDefault="00810A4B">
      <w:pPr>
        <w:rPr>
          <w:rFonts w:eastAsia="Times New Roman" w:cs="Calibri"/>
          <w:b/>
          <w:spacing w:val="-3"/>
          <w:sz w:val="24"/>
          <w:szCs w:val="24"/>
          <w:u w:val="single"/>
          <w:lang w:val="en-GB" w:eastAsia="hr-HR"/>
        </w:rPr>
        <w:sectPr w:rsidR="00810A4B" w:rsidRPr="0005777B" w:rsidSect="00C23C95">
          <w:footerReference w:type="first" r:id="rId22"/>
          <w:pgSz w:w="11906" w:h="16838" w:code="9"/>
          <w:pgMar w:top="-383" w:right="1134" w:bottom="567" w:left="1418" w:header="709" w:footer="709" w:gutter="0"/>
          <w:pgNumType w:start="4"/>
          <w:cols w:space="708"/>
          <w:titlePg/>
          <w:docGrid w:linePitch="360"/>
        </w:sectPr>
      </w:pPr>
    </w:p>
    <w:p w:rsidR="00AE35D1" w:rsidRPr="0005777B"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B37082" w:rsidRPr="0005777B"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5777B">
        <w:rPr>
          <w:rFonts w:ascii="Calibri" w:eastAsia="Times New Roman" w:hAnsi="Calibri" w:cs="Arial"/>
          <w:b/>
          <w:sz w:val="32"/>
          <w:szCs w:val="32"/>
          <w:lang w:val="en-GB"/>
        </w:rPr>
        <w:t>RE</w:t>
      </w:r>
      <w:r w:rsidR="0042722D" w:rsidRPr="0005777B">
        <w:rPr>
          <w:rFonts w:ascii="Calibri" w:eastAsia="Times New Roman" w:hAnsi="Calibri" w:cs="Arial"/>
          <w:b/>
          <w:sz w:val="32"/>
          <w:szCs w:val="32"/>
          <w:lang w:val="en-GB"/>
        </w:rPr>
        <w:t>S</w:t>
      </w:r>
      <w:r w:rsidRPr="0005777B">
        <w:rPr>
          <w:rFonts w:ascii="Calibri" w:eastAsia="Times New Roman" w:hAnsi="Calibri" w:cs="Arial"/>
          <w:b/>
          <w:sz w:val="32"/>
          <w:szCs w:val="32"/>
          <w:lang w:val="en-GB"/>
        </w:rPr>
        <w:t>ULT</w:t>
      </w:r>
      <w:r w:rsidR="0042722D" w:rsidRPr="0005777B">
        <w:rPr>
          <w:rFonts w:ascii="Calibri" w:eastAsia="Times New Roman" w:hAnsi="Calibri" w:cs="Arial"/>
          <w:b/>
          <w:sz w:val="32"/>
          <w:szCs w:val="32"/>
          <w:lang w:val="en-GB"/>
        </w:rPr>
        <w:t>S OF HBOR</w:t>
      </w: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rsidR="001D2396" w:rsidRPr="0005777B"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5777B" w:rsidSect="000241D5">
          <w:footerReference w:type="first" r:id="rId23"/>
          <w:pgSz w:w="11906" w:h="16838" w:code="9"/>
          <w:pgMar w:top="596" w:right="1133" w:bottom="1417" w:left="1417" w:header="709" w:footer="709" w:gutter="0"/>
          <w:cols w:space="708"/>
          <w:titlePg/>
          <w:docGrid w:linePitch="360"/>
        </w:sectPr>
      </w:pPr>
    </w:p>
    <w:p w:rsidR="00BF17D9" w:rsidRPr="0005777B" w:rsidRDefault="00BF17D9" w:rsidP="00C23C95">
      <w:pPr>
        <w:keepNext/>
        <w:spacing w:after="0" w:line="240" w:lineRule="auto"/>
        <w:jc w:val="center"/>
        <w:outlineLvl w:val="1"/>
        <w:rPr>
          <w:rFonts w:ascii="Calibri" w:hAnsi="Calibri" w:cs="Calibri"/>
          <w:b/>
          <w:bCs/>
          <w:sz w:val="24"/>
          <w:szCs w:val="24"/>
          <w:lang w:val="en-GB" w:eastAsia="x-none"/>
        </w:rPr>
      </w:pPr>
      <w:bookmarkStart w:id="0" w:name="_Toc477261950"/>
      <w:r w:rsidRPr="0005777B">
        <w:rPr>
          <w:rFonts w:ascii="Calibri" w:hAnsi="Calibri" w:cs="Calibri"/>
          <w:b/>
          <w:bCs/>
          <w:sz w:val="24"/>
          <w:szCs w:val="24"/>
          <w:lang w:val="en-GB" w:eastAsia="x-none"/>
        </w:rPr>
        <w:t>OV</w:t>
      </w:r>
      <w:r w:rsidR="00C73CDC" w:rsidRPr="0005777B">
        <w:rPr>
          <w:rFonts w:ascii="Calibri" w:hAnsi="Calibri" w:cs="Calibri"/>
          <w:b/>
          <w:bCs/>
          <w:sz w:val="24"/>
          <w:szCs w:val="24"/>
          <w:lang w:val="en-GB" w:eastAsia="x-none"/>
        </w:rPr>
        <w:t xml:space="preserve">ERVIEW OF </w:t>
      </w:r>
      <w:r w:rsidRPr="0005777B">
        <w:rPr>
          <w:rFonts w:ascii="Calibri" w:hAnsi="Calibri" w:cs="Calibri"/>
          <w:b/>
          <w:bCs/>
          <w:sz w:val="24"/>
          <w:szCs w:val="24"/>
          <w:lang w:val="en-GB" w:eastAsia="x-none"/>
        </w:rPr>
        <w:t>FINANC</w:t>
      </w:r>
      <w:r w:rsidR="0042722D" w:rsidRPr="0005777B">
        <w:rPr>
          <w:rFonts w:ascii="Calibri" w:hAnsi="Calibri" w:cs="Calibri"/>
          <w:b/>
          <w:bCs/>
          <w:sz w:val="24"/>
          <w:szCs w:val="24"/>
          <w:lang w:val="en-GB" w:eastAsia="x-none"/>
        </w:rPr>
        <w:t xml:space="preserve">IAL PERFORMANCE </w:t>
      </w:r>
      <w:r w:rsidRPr="0005777B">
        <w:rPr>
          <w:rFonts w:ascii="Calibri" w:hAnsi="Calibri" w:cs="Calibri"/>
          <w:b/>
          <w:bCs/>
          <w:sz w:val="24"/>
          <w:szCs w:val="24"/>
          <w:lang w:val="en-GB" w:eastAsia="x-none"/>
        </w:rPr>
        <w:t>O</w:t>
      </w:r>
      <w:r w:rsidR="00C73CDC" w:rsidRPr="0005777B">
        <w:rPr>
          <w:rFonts w:ascii="Calibri" w:hAnsi="Calibri" w:cs="Calibri"/>
          <w:b/>
          <w:bCs/>
          <w:sz w:val="24"/>
          <w:szCs w:val="24"/>
          <w:lang w:val="en-GB" w:eastAsia="x-none"/>
        </w:rPr>
        <w:t>F</w:t>
      </w:r>
      <w:r w:rsidRPr="0005777B">
        <w:rPr>
          <w:rFonts w:ascii="Calibri" w:hAnsi="Calibri" w:cs="Calibri"/>
          <w:b/>
          <w:bCs/>
          <w:sz w:val="24"/>
          <w:szCs w:val="24"/>
          <w:lang w:val="en-GB" w:eastAsia="x-none"/>
        </w:rPr>
        <w:t xml:space="preserve"> HBOR</w:t>
      </w:r>
      <w:bookmarkEnd w:id="0"/>
    </w:p>
    <w:p w:rsidR="003E5F5C" w:rsidRPr="0005777B" w:rsidRDefault="003E5F5C" w:rsidP="00C23C95">
      <w:pPr>
        <w:keepNext/>
        <w:spacing w:after="0" w:line="240" w:lineRule="auto"/>
        <w:jc w:val="center"/>
        <w:outlineLvl w:val="1"/>
        <w:rPr>
          <w:rFonts w:ascii="Calibri" w:hAnsi="Calibri" w:cs="Calibri"/>
          <w:b/>
          <w:bCs/>
          <w:sz w:val="24"/>
          <w:szCs w:val="24"/>
          <w:lang w:val="en-GB" w:eastAsia="x-none"/>
        </w:rPr>
      </w:pPr>
    </w:p>
    <w:p w:rsidR="00BF17D9" w:rsidRPr="0005777B" w:rsidRDefault="00B94BD3" w:rsidP="00C23C95">
      <w:pPr>
        <w:spacing w:after="0" w:line="240" w:lineRule="auto"/>
        <w:jc w:val="both"/>
        <w:rPr>
          <w:rFonts w:ascii="Calibri" w:hAnsi="Calibri" w:cs="Calibri"/>
          <w:sz w:val="24"/>
          <w:szCs w:val="24"/>
          <w:lang w:val="en-GB"/>
        </w:rPr>
      </w:pPr>
      <w:r w:rsidRPr="0005777B">
        <w:rPr>
          <w:rFonts w:ascii="Calibri" w:hAnsi="Calibri" w:cs="Calibri"/>
          <w:sz w:val="24"/>
          <w:szCs w:val="24"/>
          <w:lang w:val="en-GB"/>
        </w:rPr>
        <w:t xml:space="preserve">The following text gives an overview and explanation of the significant changes in financial position and operating performance in the reporting </w:t>
      </w:r>
      <w:r w:rsidR="00107475">
        <w:rPr>
          <w:rFonts w:ascii="Calibri" w:hAnsi="Calibri" w:cs="Calibri"/>
          <w:sz w:val="24"/>
          <w:szCs w:val="24"/>
          <w:lang w:val="en-GB"/>
        </w:rPr>
        <w:t>period</w:t>
      </w:r>
      <w:r w:rsidR="00BF17D9" w:rsidRPr="0005777B">
        <w:rPr>
          <w:rFonts w:ascii="Calibri" w:hAnsi="Calibri" w:cs="Calibri"/>
          <w:sz w:val="24"/>
          <w:szCs w:val="24"/>
          <w:lang w:val="en-GB"/>
        </w:rPr>
        <w:t>.</w:t>
      </w:r>
    </w:p>
    <w:p w:rsidR="00BF17D9" w:rsidRPr="0005777B" w:rsidRDefault="00BF17D9" w:rsidP="00C23C95">
      <w:pPr>
        <w:tabs>
          <w:tab w:val="left" w:pos="-720"/>
        </w:tabs>
        <w:spacing w:after="0" w:line="240" w:lineRule="auto"/>
        <w:jc w:val="both"/>
        <w:rPr>
          <w:rFonts w:ascii="Calibri" w:hAnsi="Calibri" w:cs="Calibri"/>
          <w:b/>
          <w:spacing w:val="-3"/>
          <w:sz w:val="24"/>
          <w:szCs w:val="24"/>
          <w:lang w:val="en-GB"/>
        </w:rPr>
      </w:pPr>
    </w:p>
    <w:p w:rsidR="00BF17D9" w:rsidRPr="0005777B" w:rsidRDefault="00B94BD3" w:rsidP="00C23C95">
      <w:pPr>
        <w:tabs>
          <w:tab w:val="left" w:pos="-720"/>
        </w:tabs>
        <w:spacing w:after="0" w:line="240" w:lineRule="auto"/>
        <w:jc w:val="both"/>
        <w:rPr>
          <w:rFonts w:ascii="Calibri" w:hAnsi="Calibri" w:cs="Calibri"/>
          <w:b/>
          <w:spacing w:val="-3"/>
          <w:sz w:val="24"/>
          <w:szCs w:val="24"/>
          <w:lang w:val="en-GB"/>
        </w:rPr>
      </w:pPr>
      <w:r w:rsidRPr="0005777B">
        <w:rPr>
          <w:rFonts w:ascii="Calibri" w:hAnsi="Calibri" w:cs="Calibri"/>
          <w:b/>
          <w:spacing w:val="-3"/>
          <w:sz w:val="24"/>
          <w:szCs w:val="24"/>
          <w:lang w:val="en-GB"/>
        </w:rPr>
        <w:t xml:space="preserve">Financial performance </w:t>
      </w:r>
      <w:r w:rsidR="00BF17D9" w:rsidRPr="0005777B">
        <w:rPr>
          <w:rFonts w:ascii="Calibri" w:hAnsi="Calibri" w:cs="Calibri"/>
          <w:b/>
          <w:spacing w:val="-3"/>
          <w:sz w:val="24"/>
          <w:szCs w:val="24"/>
          <w:lang w:val="en-GB"/>
        </w:rPr>
        <w:t xml:space="preserve"> </w:t>
      </w:r>
    </w:p>
    <w:p w:rsidR="003E5F5C" w:rsidRPr="0005777B" w:rsidRDefault="003E5F5C" w:rsidP="00C23C95">
      <w:pPr>
        <w:tabs>
          <w:tab w:val="left" w:pos="-720"/>
        </w:tabs>
        <w:spacing w:after="0" w:line="240" w:lineRule="auto"/>
        <w:jc w:val="both"/>
        <w:rPr>
          <w:rFonts w:ascii="Calibri" w:hAnsi="Calibri" w:cs="Calibri"/>
          <w:b/>
          <w:spacing w:val="-3"/>
          <w:sz w:val="24"/>
          <w:szCs w:val="24"/>
          <w:lang w:val="en-GB"/>
        </w:rPr>
      </w:pPr>
    </w:p>
    <w:p w:rsidR="00BF17D9" w:rsidRPr="0005777B" w:rsidRDefault="00B94BD3"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In the period from </w:t>
      </w:r>
      <w:r w:rsidR="00BF17D9" w:rsidRPr="0005777B">
        <w:rPr>
          <w:rFonts w:cstheme="minorHAnsi"/>
          <w:spacing w:val="-3"/>
          <w:sz w:val="24"/>
          <w:szCs w:val="24"/>
          <w:lang w:val="en-GB"/>
        </w:rPr>
        <w:t>1</w:t>
      </w:r>
      <w:r w:rsidRPr="0005777B">
        <w:rPr>
          <w:rFonts w:cstheme="minorHAnsi"/>
          <w:spacing w:val="-3"/>
          <w:sz w:val="24"/>
          <w:szCs w:val="24"/>
          <w:lang w:val="en-GB"/>
        </w:rPr>
        <w:t xml:space="preserve"> January to </w:t>
      </w:r>
      <w:r w:rsidR="00AE568C">
        <w:rPr>
          <w:rFonts w:cstheme="minorHAnsi"/>
          <w:spacing w:val="-3"/>
          <w:sz w:val="24"/>
          <w:szCs w:val="24"/>
          <w:lang w:val="en-GB"/>
        </w:rPr>
        <w:t>30 June</w:t>
      </w:r>
      <w:r w:rsidRPr="0005777B">
        <w:rPr>
          <w:rFonts w:cstheme="minorHAnsi"/>
          <w:spacing w:val="-3"/>
          <w:sz w:val="24"/>
          <w:szCs w:val="24"/>
          <w:lang w:val="en-GB"/>
        </w:rPr>
        <w:t xml:space="preserve"> </w:t>
      </w:r>
      <w:r w:rsidR="00BF17D9" w:rsidRPr="0005777B">
        <w:rPr>
          <w:rFonts w:cstheme="minorHAnsi"/>
          <w:spacing w:val="-3"/>
          <w:sz w:val="24"/>
          <w:szCs w:val="24"/>
          <w:lang w:val="en-GB"/>
        </w:rPr>
        <w:t>201</w:t>
      </w:r>
      <w:r w:rsidR="00596884" w:rsidRPr="0005777B">
        <w:rPr>
          <w:rFonts w:cstheme="minorHAnsi"/>
          <w:spacing w:val="-3"/>
          <w:sz w:val="24"/>
          <w:szCs w:val="24"/>
          <w:lang w:val="en-GB"/>
        </w:rPr>
        <w:t>7</w:t>
      </w:r>
      <w:r w:rsidRPr="0005777B">
        <w:rPr>
          <w:rFonts w:cstheme="minorHAnsi"/>
          <w:spacing w:val="-3"/>
          <w:sz w:val="24"/>
          <w:szCs w:val="24"/>
          <w:lang w:val="en-GB"/>
        </w:rPr>
        <w:t xml:space="preserve">, </w:t>
      </w:r>
      <w:r w:rsidR="00BF17D9" w:rsidRPr="0005777B">
        <w:rPr>
          <w:rFonts w:cstheme="minorHAnsi"/>
          <w:spacing w:val="-3"/>
          <w:sz w:val="24"/>
          <w:szCs w:val="24"/>
          <w:lang w:val="en-GB"/>
        </w:rPr>
        <w:t>HBOR</w:t>
      </w:r>
      <w:r w:rsidR="0062604E" w:rsidRPr="0005777B">
        <w:rPr>
          <w:rFonts w:cstheme="minorHAnsi"/>
          <w:spacing w:val="-3"/>
          <w:sz w:val="24"/>
          <w:szCs w:val="24"/>
          <w:lang w:val="en-GB"/>
        </w:rPr>
        <w:t xml:space="preserve"> generated total income of HRK</w:t>
      </w:r>
      <w:r w:rsidR="00BF17D9" w:rsidRPr="0005777B">
        <w:rPr>
          <w:rFonts w:cstheme="minorHAnsi"/>
          <w:spacing w:val="-3"/>
          <w:sz w:val="24"/>
          <w:szCs w:val="24"/>
          <w:lang w:val="en-GB"/>
        </w:rPr>
        <w:t xml:space="preserve"> </w:t>
      </w:r>
      <w:r w:rsidR="00AE568C">
        <w:rPr>
          <w:rFonts w:cstheme="minorHAnsi"/>
          <w:spacing w:val="-3"/>
          <w:sz w:val="24"/>
          <w:szCs w:val="24"/>
        </w:rPr>
        <w:t>471.04</w:t>
      </w:r>
      <w:r w:rsidR="00AE568C" w:rsidRPr="00514881">
        <w:rPr>
          <w:rFonts w:cstheme="minorHAnsi"/>
          <w:spacing w:val="-3"/>
          <w:sz w:val="24"/>
          <w:szCs w:val="24"/>
        </w:rPr>
        <w:t xml:space="preserve"> </w:t>
      </w:r>
      <w:r w:rsidR="0062604E" w:rsidRPr="0005777B">
        <w:rPr>
          <w:rFonts w:cstheme="minorHAnsi"/>
          <w:spacing w:val="-3"/>
          <w:sz w:val="24"/>
          <w:szCs w:val="24"/>
          <w:lang w:val="en-GB"/>
        </w:rPr>
        <w:t xml:space="preserve">million, expenses of HRK </w:t>
      </w:r>
      <w:r w:rsidR="00AE568C">
        <w:rPr>
          <w:rFonts w:cstheme="minorHAnsi"/>
          <w:spacing w:val="-3"/>
          <w:sz w:val="24"/>
          <w:szCs w:val="24"/>
        </w:rPr>
        <w:t xml:space="preserve">341.68 </w:t>
      </w:r>
      <w:r w:rsidR="0062604E" w:rsidRPr="0005777B">
        <w:rPr>
          <w:rFonts w:cstheme="minorHAnsi"/>
          <w:spacing w:val="-3"/>
          <w:sz w:val="24"/>
          <w:szCs w:val="24"/>
          <w:lang w:val="en-GB"/>
        </w:rPr>
        <w:t xml:space="preserve">million and profit in the amount of HRK </w:t>
      </w:r>
      <w:r w:rsidR="00AE568C">
        <w:rPr>
          <w:rFonts w:cstheme="minorHAnsi"/>
          <w:spacing w:val="-3"/>
          <w:sz w:val="24"/>
          <w:szCs w:val="24"/>
        </w:rPr>
        <w:t>129.36</w:t>
      </w:r>
      <w:r w:rsidR="00AE568C" w:rsidRPr="00514881">
        <w:rPr>
          <w:rFonts w:cstheme="minorHAnsi"/>
          <w:spacing w:val="-3"/>
          <w:sz w:val="24"/>
          <w:szCs w:val="24"/>
        </w:rPr>
        <w:t xml:space="preserve"> </w:t>
      </w:r>
      <w:r w:rsidR="0062604E" w:rsidRPr="0005777B">
        <w:rPr>
          <w:rFonts w:cstheme="minorHAnsi"/>
          <w:spacing w:val="-3"/>
          <w:sz w:val="24"/>
          <w:szCs w:val="24"/>
          <w:lang w:val="en-GB"/>
        </w:rPr>
        <w:t>million</w:t>
      </w:r>
      <w:r w:rsidR="00BF17D9" w:rsidRPr="0005777B">
        <w:rPr>
          <w:rFonts w:cstheme="minorHAnsi"/>
          <w:spacing w:val="-3"/>
          <w:sz w:val="24"/>
          <w:szCs w:val="24"/>
          <w:lang w:val="en-GB"/>
        </w:rPr>
        <w:t xml:space="preserve">. </w:t>
      </w:r>
      <w:r w:rsidR="0062604E" w:rsidRPr="0005777B">
        <w:rPr>
          <w:rFonts w:cstheme="minorHAnsi"/>
          <w:spacing w:val="-3"/>
          <w:sz w:val="24"/>
          <w:szCs w:val="24"/>
          <w:lang w:val="en-GB"/>
        </w:rPr>
        <w:t xml:space="preserve">HBOR’s profit generated in the reporting period </w:t>
      </w:r>
      <w:r w:rsidR="001D1D55">
        <w:rPr>
          <w:rFonts w:cstheme="minorHAnsi"/>
          <w:spacing w:val="-3"/>
          <w:sz w:val="24"/>
          <w:szCs w:val="24"/>
          <w:lang w:val="en-GB"/>
        </w:rPr>
        <w:t>increased</w:t>
      </w:r>
      <w:r w:rsidR="001D1D55" w:rsidRPr="0005777B">
        <w:rPr>
          <w:rFonts w:cstheme="minorHAnsi"/>
          <w:spacing w:val="-3"/>
          <w:sz w:val="24"/>
          <w:szCs w:val="24"/>
          <w:lang w:val="en-GB"/>
        </w:rPr>
        <w:t xml:space="preserve"> </w:t>
      </w:r>
      <w:r w:rsidR="003578B4">
        <w:rPr>
          <w:rFonts w:cstheme="minorHAnsi"/>
          <w:spacing w:val="-3"/>
          <w:sz w:val="24"/>
          <w:szCs w:val="24"/>
          <w:lang w:val="en-GB"/>
        </w:rPr>
        <w:t xml:space="preserve">by </w:t>
      </w:r>
      <w:r w:rsidR="0062604E" w:rsidRPr="0005777B">
        <w:rPr>
          <w:rFonts w:cstheme="minorHAnsi"/>
          <w:spacing w:val="-3"/>
          <w:sz w:val="24"/>
          <w:szCs w:val="24"/>
          <w:lang w:val="en-GB"/>
        </w:rPr>
        <w:t xml:space="preserve">HRK </w:t>
      </w:r>
      <w:r w:rsidR="001D1D55">
        <w:rPr>
          <w:rFonts w:cstheme="minorHAnsi"/>
          <w:spacing w:val="-3"/>
          <w:sz w:val="24"/>
          <w:szCs w:val="24"/>
          <w:lang w:val="en-GB"/>
        </w:rPr>
        <w:t>22.12</w:t>
      </w:r>
      <w:r w:rsidR="009E3641" w:rsidRPr="0005777B">
        <w:rPr>
          <w:rFonts w:cstheme="minorHAnsi"/>
          <w:spacing w:val="-3"/>
          <w:sz w:val="24"/>
          <w:szCs w:val="24"/>
          <w:lang w:val="en-GB"/>
        </w:rPr>
        <w:t xml:space="preserve"> </w:t>
      </w:r>
      <w:r w:rsidR="0062604E" w:rsidRPr="0005777B">
        <w:rPr>
          <w:rFonts w:cstheme="minorHAnsi"/>
          <w:spacing w:val="-3"/>
          <w:sz w:val="24"/>
          <w:szCs w:val="24"/>
          <w:lang w:val="en-GB"/>
        </w:rPr>
        <w:t xml:space="preserve">million compared with the profit generated in the same reporting period last year, i.e. by </w:t>
      </w:r>
      <w:r w:rsidR="001D1D55">
        <w:rPr>
          <w:rFonts w:cstheme="minorHAnsi"/>
          <w:spacing w:val="-3"/>
          <w:sz w:val="24"/>
          <w:szCs w:val="24"/>
          <w:lang w:val="en-GB"/>
        </w:rPr>
        <w:t>20.63</w:t>
      </w:r>
      <w:r w:rsidR="009E3641" w:rsidRPr="0005777B">
        <w:rPr>
          <w:rFonts w:cstheme="minorHAnsi"/>
          <w:spacing w:val="-3"/>
          <w:sz w:val="24"/>
          <w:szCs w:val="24"/>
          <w:lang w:val="en-GB"/>
        </w:rPr>
        <w:t xml:space="preserve"> p</w:t>
      </w:r>
      <w:r w:rsidR="0062604E" w:rsidRPr="0005777B">
        <w:rPr>
          <w:rFonts w:cstheme="minorHAnsi"/>
          <w:spacing w:val="-3"/>
          <w:sz w:val="24"/>
          <w:szCs w:val="24"/>
          <w:lang w:val="en-GB"/>
        </w:rPr>
        <w:t>ercent</w:t>
      </w:r>
      <w:r w:rsidR="00BF17D9" w:rsidRPr="0005777B">
        <w:rPr>
          <w:rFonts w:cstheme="minorHAnsi"/>
          <w:spacing w:val="-3"/>
          <w:sz w:val="24"/>
          <w:szCs w:val="24"/>
          <w:lang w:val="en-GB"/>
        </w:rPr>
        <w:t>.</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BF17D9" w:rsidRPr="0005777B" w:rsidRDefault="00F249F9" w:rsidP="00BF17D9">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Higher</w:t>
      </w:r>
      <w:r w:rsidR="000E271F" w:rsidRPr="0005777B">
        <w:rPr>
          <w:rFonts w:cstheme="minorHAnsi"/>
          <w:spacing w:val="-3"/>
          <w:sz w:val="24"/>
          <w:szCs w:val="24"/>
          <w:lang w:val="en-GB"/>
        </w:rPr>
        <w:t xml:space="preserve"> profit in the reporting period compared with the same period last year is a result of a</w:t>
      </w:r>
      <w:r w:rsidR="005D244A" w:rsidRPr="0005777B">
        <w:rPr>
          <w:rFonts w:cstheme="minorHAnsi"/>
          <w:spacing w:val="-3"/>
          <w:sz w:val="24"/>
          <w:szCs w:val="24"/>
          <w:lang w:val="en-GB"/>
        </w:rPr>
        <w:t xml:space="preserve"> higher </w:t>
      </w:r>
      <w:r w:rsidR="000E271F" w:rsidRPr="0005777B">
        <w:rPr>
          <w:rFonts w:cstheme="minorHAnsi"/>
          <w:spacing w:val="-3"/>
          <w:sz w:val="24"/>
          <w:szCs w:val="24"/>
          <w:lang w:val="en-GB"/>
        </w:rPr>
        <w:t xml:space="preserve">increase in </w:t>
      </w:r>
      <w:r>
        <w:rPr>
          <w:rFonts w:cstheme="minorHAnsi"/>
          <w:spacing w:val="-3"/>
          <w:sz w:val="24"/>
          <w:szCs w:val="24"/>
          <w:lang w:val="en-GB"/>
        </w:rPr>
        <w:t>income</w:t>
      </w:r>
      <w:r w:rsidRPr="0005777B">
        <w:rPr>
          <w:rFonts w:cstheme="minorHAnsi"/>
          <w:spacing w:val="-3"/>
          <w:sz w:val="24"/>
          <w:szCs w:val="24"/>
          <w:lang w:val="en-GB"/>
        </w:rPr>
        <w:t xml:space="preserve"> </w:t>
      </w:r>
      <w:r w:rsidR="005D244A" w:rsidRPr="0005777B">
        <w:rPr>
          <w:rFonts w:cstheme="minorHAnsi"/>
          <w:spacing w:val="-3"/>
          <w:sz w:val="24"/>
          <w:szCs w:val="24"/>
          <w:lang w:val="en-GB"/>
        </w:rPr>
        <w:t>r</w:t>
      </w:r>
      <w:r w:rsidR="001C2D6D" w:rsidRPr="0005777B">
        <w:rPr>
          <w:rFonts w:cstheme="minorHAnsi"/>
          <w:spacing w:val="-3"/>
          <w:sz w:val="24"/>
          <w:szCs w:val="24"/>
          <w:lang w:val="en-GB"/>
        </w:rPr>
        <w:t xml:space="preserve">ising </w:t>
      </w:r>
      <w:r w:rsidR="005D244A" w:rsidRPr="0005777B">
        <w:rPr>
          <w:rFonts w:cstheme="minorHAnsi"/>
          <w:spacing w:val="-3"/>
          <w:sz w:val="24"/>
          <w:szCs w:val="24"/>
          <w:lang w:val="en-GB"/>
        </w:rPr>
        <w:t xml:space="preserve">by </w:t>
      </w:r>
      <w:r w:rsidR="000E271F" w:rsidRPr="0005777B">
        <w:rPr>
          <w:rFonts w:cstheme="minorHAnsi"/>
          <w:spacing w:val="-3"/>
          <w:sz w:val="24"/>
          <w:szCs w:val="24"/>
          <w:lang w:val="en-GB"/>
        </w:rPr>
        <w:t xml:space="preserve">HRK </w:t>
      </w:r>
      <w:r>
        <w:rPr>
          <w:rFonts w:cstheme="minorHAnsi"/>
          <w:spacing w:val="-3"/>
          <w:sz w:val="24"/>
          <w:szCs w:val="24"/>
          <w:lang w:val="en-GB"/>
        </w:rPr>
        <w:t>25.28</w:t>
      </w:r>
      <w:r w:rsidR="00BF17D9" w:rsidRPr="0005777B">
        <w:rPr>
          <w:rFonts w:cstheme="minorHAnsi"/>
          <w:spacing w:val="-3"/>
          <w:sz w:val="24"/>
          <w:szCs w:val="24"/>
          <w:lang w:val="en-GB"/>
        </w:rPr>
        <w:t xml:space="preserve"> </w:t>
      </w:r>
      <w:r w:rsidR="000E271F" w:rsidRPr="0005777B">
        <w:rPr>
          <w:rFonts w:cstheme="minorHAnsi"/>
          <w:spacing w:val="-3"/>
          <w:sz w:val="24"/>
          <w:szCs w:val="24"/>
          <w:lang w:val="en-GB"/>
        </w:rPr>
        <w:t xml:space="preserve">million as against </w:t>
      </w:r>
      <w:r w:rsidR="005B3FFD">
        <w:rPr>
          <w:rFonts w:cstheme="minorHAnsi"/>
          <w:spacing w:val="-3"/>
          <w:sz w:val="24"/>
          <w:szCs w:val="24"/>
          <w:lang w:val="en-GB"/>
        </w:rPr>
        <w:t>expenses</w:t>
      </w:r>
      <w:r w:rsidR="005B3FFD" w:rsidRPr="0005777B">
        <w:rPr>
          <w:rFonts w:cstheme="minorHAnsi"/>
          <w:spacing w:val="-3"/>
          <w:sz w:val="24"/>
          <w:szCs w:val="24"/>
          <w:lang w:val="en-GB"/>
        </w:rPr>
        <w:t xml:space="preserve"> </w:t>
      </w:r>
      <w:r w:rsidR="005D244A" w:rsidRPr="0005777B">
        <w:rPr>
          <w:rFonts w:cstheme="minorHAnsi"/>
          <w:spacing w:val="-3"/>
          <w:sz w:val="24"/>
          <w:szCs w:val="24"/>
          <w:lang w:val="en-GB"/>
        </w:rPr>
        <w:t>r</w:t>
      </w:r>
      <w:r w:rsidR="001C2D6D" w:rsidRPr="0005777B">
        <w:rPr>
          <w:rFonts w:cstheme="minorHAnsi"/>
          <w:spacing w:val="-3"/>
          <w:sz w:val="24"/>
          <w:szCs w:val="24"/>
          <w:lang w:val="en-GB"/>
        </w:rPr>
        <w:t>ising b</w:t>
      </w:r>
      <w:r w:rsidR="000E271F" w:rsidRPr="0005777B">
        <w:rPr>
          <w:rFonts w:cstheme="minorHAnsi"/>
          <w:spacing w:val="-3"/>
          <w:sz w:val="24"/>
          <w:szCs w:val="24"/>
          <w:lang w:val="en-GB"/>
        </w:rPr>
        <w:t>y HRK</w:t>
      </w:r>
      <w:r w:rsidR="009B6F97" w:rsidRPr="0005777B">
        <w:rPr>
          <w:rFonts w:cstheme="minorHAnsi"/>
          <w:spacing w:val="-3"/>
          <w:sz w:val="24"/>
          <w:szCs w:val="24"/>
          <w:lang w:val="en-GB"/>
        </w:rPr>
        <w:t xml:space="preserve"> </w:t>
      </w:r>
      <w:r w:rsidR="005B3FFD">
        <w:rPr>
          <w:rFonts w:cstheme="minorHAnsi"/>
          <w:spacing w:val="-3"/>
          <w:sz w:val="24"/>
          <w:szCs w:val="24"/>
          <w:lang w:val="en-GB"/>
        </w:rPr>
        <w:t>3.16</w:t>
      </w:r>
      <w:r w:rsidR="000E271F" w:rsidRPr="0005777B">
        <w:rPr>
          <w:rFonts w:cstheme="minorHAnsi"/>
          <w:spacing w:val="-3"/>
          <w:sz w:val="24"/>
          <w:szCs w:val="24"/>
          <w:lang w:val="en-GB"/>
        </w:rPr>
        <w:t xml:space="preserve"> million. The circumstances that affected the financial result achieved in </w:t>
      </w:r>
      <w:r w:rsidR="005B3FFD">
        <w:rPr>
          <w:rFonts w:cstheme="minorHAnsi"/>
          <w:spacing w:val="-3"/>
          <w:sz w:val="24"/>
          <w:szCs w:val="24"/>
          <w:lang w:val="en-GB"/>
        </w:rPr>
        <w:t>the semi-annual reporting period</w:t>
      </w:r>
      <w:r w:rsidR="005B3FFD" w:rsidRPr="0005777B">
        <w:rPr>
          <w:rFonts w:cstheme="minorHAnsi"/>
          <w:spacing w:val="-3"/>
          <w:sz w:val="24"/>
          <w:szCs w:val="24"/>
          <w:lang w:val="en-GB"/>
        </w:rPr>
        <w:t xml:space="preserve"> </w:t>
      </w:r>
      <w:r w:rsidR="000E271F" w:rsidRPr="0005777B">
        <w:rPr>
          <w:rFonts w:cstheme="minorHAnsi"/>
          <w:spacing w:val="-3"/>
          <w:sz w:val="24"/>
          <w:szCs w:val="24"/>
          <w:lang w:val="en-GB"/>
        </w:rPr>
        <w:t xml:space="preserve">2017 compared to the results generated in </w:t>
      </w:r>
      <w:r w:rsidR="005B3FFD">
        <w:rPr>
          <w:rFonts w:cstheme="minorHAnsi"/>
          <w:spacing w:val="-3"/>
          <w:sz w:val="24"/>
          <w:szCs w:val="24"/>
          <w:lang w:val="en-GB"/>
        </w:rPr>
        <w:t>the same period in</w:t>
      </w:r>
      <w:r w:rsidR="000E271F" w:rsidRPr="0005777B">
        <w:rPr>
          <w:rFonts w:cstheme="minorHAnsi"/>
          <w:spacing w:val="-3"/>
          <w:sz w:val="24"/>
          <w:szCs w:val="24"/>
          <w:lang w:val="en-GB"/>
        </w:rPr>
        <w:t xml:space="preserve"> 2016 are</w:t>
      </w:r>
      <w:r w:rsidR="00BF17D9" w:rsidRPr="0005777B">
        <w:rPr>
          <w:rFonts w:cstheme="minorHAnsi"/>
          <w:spacing w:val="-3"/>
          <w:sz w:val="24"/>
          <w:szCs w:val="24"/>
          <w:lang w:val="en-GB"/>
        </w:rPr>
        <w:t>:</w:t>
      </w:r>
    </w:p>
    <w:p w:rsidR="0059334C" w:rsidRPr="0005777B" w:rsidRDefault="001C2D6D" w:rsidP="00BF17D9">
      <w:pPr>
        <w:pStyle w:val="Odlomakpopisa"/>
        <w:numPr>
          <w:ilvl w:val="0"/>
          <w:numId w:val="13"/>
        </w:numPr>
        <w:tabs>
          <w:tab w:val="left" w:pos="-720"/>
          <w:tab w:val="left" w:pos="709"/>
        </w:tabs>
        <w:suppressAutoHyphens/>
        <w:ind w:left="709" w:hanging="283"/>
        <w:jc w:val="both"/>
        <w:rPr>
          <w:rFonts w:cstheme="minorHAnsi"/>
          <w:spacing w:val="-3"/>
          <w:lang w:val="en-GB"/>
        </w:rPr>
      </w:pPr>
      <w:r w:rsidRPr="0005777B">
        <w:rPr>
          <w:rFonts w:asciiTheme="minorHAnsi" w:hAnsiTheme="minorHAnsi" w:cstheme="minorHAnsi"/>
          <w:bCs/>
          <w:spacing w:val="-3"/>
          <w:lang w:val="en-GB"/>
        </w:rPr>
        <w:t xml:space="preserve">increase in interest income of HRK </w:t>
      </w:r>
      <w:r w:rsidR="005B3FFD">
        <w:rPr>
          <w:rFonts w:asciiTheme="minorHAnsi" w:hAnsiTheme="minorHAnsi" w:cstheme="minorHAnsi"/>
          <w:bCs/>
          <w:spacing w:val="-3"/>
          <w:lang w:val="en-GB"/>
        </w:rPr>
        <w:t>22.82</w:t>
      </w:r>
      <w:r w:rsidR="0059334C" w:rsidRPr="0005777B">
        <w:rPr>
          <w:rFonts w:asciiTheme="minorHAnsi" w:hAnsiTheme="minorHAnsi" w:cstheme="minorHAnsi"/>
          <w:bCs/>
          <w:spacing w:val="-3"/>
          <w:lang w:val="en-GB"/>
        </w:rPr>
        <w:t xml:space="preserve"> </w:t>
      </w:r>
      <w:r w:rsidRPr="0005777B">
        <w:rPr>
          <w:rFonts w:asciiTheme="minorHAnsi" w:hAnsiTheme="minorHAnsi" w:cstheme="minorHAnsi"/>
          <w:bCs/>
          <w:spacing w:val="-3"/>
          <w:lang w:val="en-GB"/>
        </w:rPr>
        <w:t>million</w:t>
      </w:r>
      <w:r w:rsidR="0059334C" w:rsidRPr="0005777B">
        <w:rPr>
          <w:rFonts w:asciiTheme="minorHAnsi" w:hAnsiTheme="minorHAnsi" w:cstheme="minorHAnsi"/>
          <w:bCs/>
          <w:spacing w:val="-3"/>
          <w:lang w:val="en-GB"/>
        </w:rPr>
        <w:t>,</w:t>
      </w:r>
    </w:p>
    <w:p w:rsidR="0059334C" w:rsidRPr="0005777B" w:rsidRDefault="001C2D6D" w:rsidP="00BF17D9">
      <w:pPr>
        <w:pStyle w:val="Odlomakpopisa"/>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05777B">
        <w:rPr>
          <w:rFonts w:asciiTheme="minorHAnsi" w:hAnsiTheme="minorHAnsi" w:cstheme="minorHAnsi"/>
          <w:spacing w:val="-3"/>
          <w:lang w:val="en-GB"/>
        </w:rPr>
        <w:t>decrease</w:t>
      </w:r>
      <w:r w:rsidR="00A91936" w:rsidRPr="0005777B">
        <w:rPr>
          <w:rFonts w:asciiTheme="minorHAnsi" w:hAnsiTheme="minorHAnsi" w:cstheme="minorHAnsi"/>
          <w:spacing w:val="-3"/>
          <w:lang w:val="en-GB"/>
        </w:rPr>
        <w:t xml:space="preserve"> in interest expenses of HRK </w:t>
      </w:r>
      <w:r w:rsidR="005B3FFD">
        <w:rPr>
          <w:rFonts w:asciiTheme="minorHAnsi" w:hAnsiTheme="minorHAnsi" w:cstheme="minorHAnsi"/>
          <w:spacing w:val="-3"/>
          <w:lang w:val="en-GB"/>
        </w:rPr>
        <w:t>13.08</w:t>
      </w:r>
      <w:r w:rsidR="0059334C" w:rsidRPr="0005777B">
        <w:rPr>
          <w:rFonts w:asciiTheme="minorHAnsi" w:hAnsiTheme="minorHAnsi" w:cstheme="minorHAnsi"/>
          <w:spacing w:val="-3"/>
          <w:lang w:val="en-GB"/>
        </w:rPr>
        <w:t xml:space="preserve"> </w:t>
      </w:r>
      <w:r w:rsidR="00A91936" w:rsidRPr="0005777B">
        <w:rPr>
          <w:rFonts w:asciiTheme="minorHAnsi" w:hAnsiTheme="minorHAnsi" w:cstheme="minorHAnsi"/>
          <w:spacing w:val="-3"/>
          <w:lang w:val="en-GB"/>
        </w:rPr>
        <w:t>million</w:t>
      </w:r>
      <w:r w:rsidR="0059334C" w:rsidRPr="0005777B">
        <w:rPr>
          <w:rFonts w:asciiTheme="minorHAnsi" w:hAnsiTheme="minorHAnsi" w:cstheme="minorHAnsi"/>
          <w:spacing w:val="-3"/>
          <w:lang w:val="en-GB"/>
        </w:rPr>
        <w:t>,</w:t>
      </w:r>
    </w:p>
    <w:p w:rsidR="0059334C" w:rsidRPr="0005777B" w:rsidRDefault="001C2D6D" w:rsidP="00A91936">
      <w:pPr>
        <w:pStyle w:val="Odlomakpopisa"/>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05777B">
        <w:rPr>
          <w:rFonts w:asciiTheme="minorHAnsi" w:hAnsiTheme="minorHAnsi" w:cstheme="minorHAnsi"/>
          <w:spacing w:val="-3"/>
          <w:lang w:val="en-GB"/>
        </w:rPr>
        <w:t>decrease</w:t>
      </w:r>
      <w:r w:rsidR="00A91936" w:rsidRPr="0005777B">
        <w:rPr>
          <w:rFonts w:asciiTheme="minorHAnsi" w:hAnsiTheme="minorHAnsi" w:cstheme="minorHAnsi"/>
          <w:spacing w:val="-3"/>
          <w:lang w:val="en-GB"/>
        </w:rPr>
        <w:t xml:space="preserve"> in </w:t>
      </w:r>
      <w:r w:rsidR="0059334C" w:rsidRPr="0005777B">
        <w:rPr>
          <w:rFonts w:asciiTheme="minorHAnsi" w:hAnsiTheme="minorHAnsi" w:cstheme="minorHAnsi"/>
          <w:spacing w:val="-3"/>
          <w:lang w:val="en-GB"/>
        </w:rPr>
        <w:t>net</w:t>
      </w:r>
      <w:r w:rsidR="00A91936" w:rsidRPr="0005777B">
        <w:rPr>
          <w:rFonts w:asciiTheme="minorHAnsi" w:hAnsiTheme="minorHAnsi" w:cstheme="minorHAnsi"/>
          <w:spacing w:val="-3"/>
          <w:lang w:val="en-GB"/>
        </w:rPr>
        <w:t xml:space="preserve"> losses from financial activities</w:t>
      </w:r>
      <w:r w:rsidR="0059334C" w:rsidRPr="0005777B">
        <w:rPr>
          <w:rFonts w:asciiTheme="minorHAnsi" w:hAnsiTheme="minorHAnsi" w:cstheme="minorHAnsi"/>
          <w:spacing w:val="-3"/>
          <w:lang w:val="en-GB"/>
        </w:rPr>
        <w:t xml:space="preserve"> </w:t>
      </w:r>
      <w:r w:rsidR="00A91936" w:rsidRPr="0005777B">
        <w:rPr>
          <w:rFonts w:asciiTheme="minorHAnsi" w:hAnsiTheme="minorHAnsi" w:cstheme="minorHAnsi"/>
          <w:spacing w:val="-3"/>
          <w:lang w:val="en-GB"/>
        </w:rPr>
        <w:t xml:space="preserve">of HRK </w:t>
      </w:r>
      <w:r w:rsidR="00B75972">
        <w:rPr>
          <w:rFonts w:asciiTheme="minorHAnsi" w:hAnsiTheme="minorHAnsi" w:cstheme="minorHAnsi"/>
          <w:spacing w:val="-3"/>
          <w:lang w:val="en-GB"/>
        </w:rPr>
        <w:t>3.25</w:t>
      </w:r>
      <w:r w:rsidR="0059334C" w:rsidRPr="0005777B">
        <w:rPr>
          <w:rFonts w:asciiTheme="minorHAnsi" w:hAnsiTheme="minorHAnsi" w:cstheme="minorHAnsi"/>
          <w:spacing w:val="-3"/>
          <w:lang w:val="en-GB"/>
        </w:rPr>
        <w:t xml:space="preserve"> </w:t>
      </w:r>
      <w:r w:rsidR="00A91936" w:rsidRPr="0005777B">
        <w:rPr>
          <w:rFonts w:asciiTheme="minorHAnsi" w:hAnsiTheme="minorHAnsi" w:cstheme="minorHAnsi"/>
          <w:spacing w:val="-3"/>
          <w:lang w:val="en-GB"/>
        </w:rPr>
        <w:t>million</w:t>
      </w:r>
      <w:r w:rsidR="0059334C" w:rsidRPr="0005777B">
        <w:rPr>
          <w:rFonts w:asciiTheme="minorHAnsi" w:hAnsiTheme="minorHAnsi" w:cstheme="minorHAnsi"/>
          <w:spacing w:val="-3"/>
          <w:lang w:val="en-GB"/>
        </w:rPr>
        <w:t>,</w:t>
      </w:r>
    </w:p>
    <w:p w:rsidR="00BF17D9" w:rsidRPr="0005777B" w:rsidRDefault="001C2D6D" w:rsidP="00BF17D9">
      <w:pPr>
        <w:pStyle w:val="Odlomakpopisa"/>
        <w:numPr>
          <w:ilvl w:val="0"/>
          <w:numId w:val="13"/>
        </w:numPr>
        <w:tabs>
          <w:tab w:val="left" w:pos="-720"/>
          <w:tab w:val="left" w:pos="709"/>
        </w:tabs>
        <w:suppressAutoHyphens/>
        <w:ind w:left="709" w:hanging="283"/>
        <w:jc w:val="both"/>
        <w:rPr>
          <w:rFonts w:cstheme="minorHAnsi"/>
          <w:spacing w:val="-3"/>
          <w:lang w:val="en-GB"/>
        </w:rPr>
      </w:pPr>
      <w:r w:rsidRPr="0005777B">
        <w:rPr>
          <w:rFonts w:asciiTheme="minorHAnsi" w:hAnsiTheme="minorHAnsi" w:cstheme="minorHAnsi"/>
          <w:bCs/>
          <w:spacing w:val="-3"/>
          <w:lang w:val="en-GB"/>
        </w:rPr>
        <w:t>increase</w:t>
      </w:r>
      <w:r w:rsidR="00A91936" w:rsidRPr="0005777B">
        <w:rPr>
          <w:rFonts w:asciiTheme="minorHAnsi" w:hAnsiTheme="minorHAnsi" w:cstheme="minorHAnsi"/>
          <w:bCs/>
          <w:spacing w:val="-3"/>
          <w:lang w:val="en-GB"/>
        </w:rPr>
        <w:t xml:space="preserve"> in impairment loss and provisions of HRK </w:t>
      </w:r>
      <w:r w:rsidR="00B75972">
        <w:rPr>
          <w:rFonts w:asciiTheme="minorHAnsi" w:hAnsiTheme="minorHAnsi" w:cstheme="minorHAnsi"/>
          <w:bCs/>
          <w:spacing w:val="-3"/>
          <w:lang w:val="en-GB"/>
        </w:rPr>
        <w:t>22.15</w:t>
      </w:r>
      <w:r w:rsidR="00BF17D9" w:rsidRPr="0005777B">
        <w:rPr>
          <w:rFonts w:asciiTheme="minorHAnsi" w:hAnsiTheme="minorHAnsi" w:cstheme="minorHAnsi"/>
          <w:bCs/>
          <w:spacing w:val="-3"/>
          <w:lang w:val="en-GB"/>
        </w:rPr>
        <w:t xml:space="preserve"> m</w:t>
      </w:r>
      <w:r w:rsidR="00A91936" w:rsidRPr="0005777B">
        <w:rPr>
          <w:rFonts w:asciiTheme="minorHAnsi" w:hAnsiTheme="minorHAnsi" w:cstheme="minorHAnsi"/>
          <w:bCs/>
          <w:spacing w:val="-3"/>
          <w:lang w:val="en-GB"/>
        </w:rPr>
        <w:t>illion</w:t>
      </w:r>
      <w:r w:rsidR="00BF17D9" w:rsidRPr="0005777B">
        <w:rPr>
          <w:rFonts w:asciiTheme="minorHAnsi" w:hAnsiTheme="minorHAnsi" w:cstheme="minorHAnsi"/>
          <w:bCs/>
          <w:spacing w:val="-3"/>
          <w:lang w:val="en-GB"/>
        </w:rPr>
        <w:t xml:space="preserve">, </w:t>
      </w:r>
    </w:p>
    <w:p w:rsidR="00BF17D9" w:rsidRPr="0005777B" w:rsidRDefault="001C2D6D" w:rsidP="00C23C95">
      <w:pPr>
        <w:pStyle w:val="Odlomakpopisa"/>
        <w:numPr>
          <w:ilvl w:val="0"/>
          <w:numId w:val="13"/>
        </w:numPr>
        <w:tabs>
          <w:tab w:val="left" w:pos="-720"/>
          <w:tab w:val="left" w:pos="709"/>
        </w:tabs>
        <w:suppressAutoHyphens/>
        <w:ind w:left="709" w:hanging="283"/>
        <w:jc w:val="both"/>
        <w:rPr>
          <w:rFonts w:cstheme="minorHAnsi"/>
          <w:spacing w:val="-3"/>
          <w:lang w:val="en-GB"/>
        </w:rPr>
      </w:pPr>
      <w:r w:rsidRPr="0005777B">
        <w:rPr>
          <w:rFonts w:asciiTheme="minorHAnsi" w:hAnsiTheme="minorHAnsi" w:cstheme="minorHAnsi"/>
          <w:spacing w:val="-3"/>
          <w:lang w:val="en-GB"/>
        </w:rPr>
        <w:t>decrease</w:t>
      </w:r>
      <w:r w:rsidR="00A91936" w:rsidRPr="0005777B">
        <w:rPr>
          <w:rFonts w:asciiTheme="minorHAnsi" w:hAnsiTheme="minorHAnsi" w:cstheme="minorHAnsi"/>
          <w:spacing w:val="-3"/>
          <w:lang w:val="en-GB"/>
        </w:rPr>
        <w:t xml:space="preserve"> </w:t>
      </w:r>
      <w:r w:rsidR="00BF17D9" w:rsidRPr="0005777B">
        <w:rPr>
          <w:rFonts w:asciiTheme="minorHAnsi" w:hAnsiTheme="minorHAnsi" w:cstheme="minorHAnsi"/>
          <w:spacing w:val="-3"/>
          <w:lang w:val="en-GB"/>
        </w:rPr>
        <w:t>i</w:t>
      </w:r>
      <w:r w:rsidR="00A91936" w:rsidRPr="0005777B">
        <w:rPr>
          <w:rFonts w:asciiTheme="minorHAnsi" w:hAnsiTheme="minorHAnsi" w:cstheme="minorHAnsi"/>
          <w:spacing w:val="-3"/>
          <w:lang w:val="en-GB"/>
        </w:rPr>
        <w:t xml:space="preserve">n operating expenses of HRK </w:t>
      </w:r>
      <w:r w:rsidR="00B75972">
        <w:rPr>
          <w:rFonts w:asciiTheme="minorHAnsi" w:hAnsiTheme="minorHAnsi" w:cstheme="minorHAnsi"/>
          <w:bCs/>
          <w:spacing w:val="-3"/>
          <w:lang w:val="en-GB"/>
        </w:rPr>
        <w:t>2.92</w:t>
      </w:r>
      <w:r w:rsidR="007D3F76" w:rsidRPr="0005777B">
        <w:rPr>
          <w:rFonts w:asciiTheme="minorHAnsi" w:hAnsiTheme="minorHAnsi" w:cstheme="minorHAnsi"/>
          <w:bCs/>
          <w:spacing w:val="-3"/>
          <w:lang w:val="en-GB"/>
        </w:rPr>
        <w:t xml:space="preserve"> </w:t>
      </w:r>
      <w:r w:rsidR="00BF17D9" w:rsidRPr="0005777B">
        <w:rPr>
          <w:rFonts w:asciiTheme="minorHAnsi" w:hAnsiTheme="minorHAnsi" w:cstheme="minorHAnsi"/>
          <w:spacing w:val="-3"/>
          <w:lang w:val="en-GB"/>
        </w:rPr>
        <w:t>m</w:t>
      </w:r>
      <w:r w:rsidR="00A91936" w:rsidRPr="0005777B">
        <w:rPr>
          <w:rFonts w:asciiTheme="minorHAnsi" w:hAnsiTheme="minorHAnsi" w:cstheme="minorHAnsi"/>
          <w:spacing w:val="-3"/>
          <w:lang w:val="en-GB"/>
        </w:rPr>
        <w:t>illion</w:t>
      </w:r>
      <w:r w:rsidR="007D3F76" w:rsidRPr="0005777B">
        <w:rPr>
          <w:rFonts w:asciiTheme="minorHAnsi" w:hAnsiTheme="minorHAnsi" w:cstheme="minorHAnsi"/>
          <w:spacing w:val="-3"/>
          <w:lang w:val="en-GB"/>
        </w:rPr>
        <w:t>.</w:t>
      </w:r>
    </w:p>
    <w:p w:rsidR="007D3F76" w:rsidRPr="0005777B" w:rsidRDefault="007D3F76" w:rsidP="00BF17D9">
      <w:pPr>
        <w:tabs>
          <w:tab w:val="left" w:pos="-720"/>
        </w:tabs>
        <w:suppressAutoHyphens/>
        <w:spacing w:after="0" w:line="240" w:lineRule="auto"/>
        <w:jc w:val="both"/>
        <w:rPr>
          <w:rFonts w:cstheme="minorHAnsi"/>
          <w:spacing w:val="-3"/>
          <w:sz w:val="24"/>
          <w:szCs w:val="24"/>
          <w:lang w:val="en-GB"/>
        </w:rPr>
      </w:pPr>
    </w:p>
    <w:p w:rsidR="00BF17D9" w:rsidRPr="0005777B" w:rsidRDefault="005E57C8"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A detailed description of trends is given for each category separately in the following text</w:t>
      </w:r>
      <w:r w:rsidR="00BF17D9" w:rsidRPr="0005777B">
        <w:rPr>
          <w:rFonts w:cstheme="minorHAnsi"/>
          <w:spacing w:val="-3"/>
          <w:sz w:val="24"/>
          <w:szCs w:val="24"/>
          <w:lang w:val="en-GB"/>
        </w:rPr>
        <w:t>.</w:t>
      </w:r>
    </w:p>
    <w:p w:rsidR="00B42F86" w:rsidRDefault="00B42F86" w:rsidP="00BF17D9">
      <w:pPr>
        <w:tabs>
          <w:tab w:val="left" w:pos="-720"/>
        </w:tabs>
        <w:suppressAutoHyphens/>
        <w:spacing w:after="0" w:line="240" w:lineRule="auto"/>
        <w:jc w:val="both"/>
        <w:rPr>
          <w:rFonts w:eastAsia="Times New Roman" w:cs="Calibri"/>
          <w:b/>
          <w:i/>
          <w:spacing w:val="-3"/>
          <w:sz w:val="24"/>
          <w:szCs w:val="24"/>
          <w:lang w:val="en-GB" w:eastAsia="hr-HR"/>
        </w:rPr>
      </w:pPr>
    </w:p>
    <w:p w:rsidR="00370A55" w:rsidRDefault="00370A55" w:rsidP="00BF17D9">
      <w:pPr>
        <w:tabs>
          <w:tab w:val="left" w:pos="-720"/>
        </w:tabs>
        <w:suppressAutoHyphens/>
        <w:spacing w:after="0" w:line="240" w:lineRule="auto"/>
        <w:jc w:val="both"/>
        <w:rPr>
          <w:rFonts w:eastAsia="Times New Roman" w:cs="Calibri"/>
          <w:b/>
          <w:i/>
          <w:spacing w:val="-3"/>
          <w:sz w:val="24"/>
          <w:szCs w:val="24"/>
          <w:lang w:val="en-GB" w:eastAsia="hr-HR"/>
        </w:rPr>
      </w:pPr>
    </w:p>
    <w:p w:rsidR="00B42F86" w:rsidRPr="0005777B" w:rsidRDefault="00E56C9B" w:rsidP="00BF17D9">
      <w:pPr>
        <w:tabs>
          <w:tab w:val="left" w:pos="-720"/>
        </w:tabs>
        <w:suppressAutoHyphens/>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B42F86">
        <w:rPr>
          <w:rFonts w:eastAsia="Times New Roman" w:cs="Calibri"/>
          <w:b/>
          <w:i/>
          <w:spacing w:val="-3"/>
          <w:sz w:val="24"/>
          <w:szCs w:val="24"/>
          <w:lang w:val="en-GB" w:eastAsia="hr-HR"/>
        </w:rPr>
        <w:t xml:space="preserve"> </w:t>
      </w:r>
      <w:r w:rsidR="00370A55">
        <w:rPr>
          <w:rFonts w:eastAsia="Times New Roman" w:cs="Calibri"/>
          <w:b/>
          <w:i/>
          <w:noProof/>
          <w:spacing w:val="-3"/>
          <w:sz w:val="24"/>
          <w:szCs w:val="24"/>
          <w:lang w:eastAsia="hr-HR"/>
        </w:rPr>
        <w:drawing>
          <wp:inline distT="0" distB="0" distL="0" distR="0" wp14:anchorId="47AF900C" wp14:editId="1EDA1720">
            <wp:extent cx="2816225" cy="2817104"/>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22037" cy="2822918"/>
                    </a:xfrm>
                    <a:prstGeom prst="rect">
                      <a:avLst/>
                    </a:prstGeom>
                    <a:noFill/>
                  </pic:spPr>
                </pic:pic>
              </a:graphicData>
            </a:graphic>
          </wp:inline>
        </w:drawing>
      </w:r>
      <w:r w:rsidR="00B42F86">
        <w:rPr>
          <w:rFonts w:eastAsia="Times New Roman" w:cs="Calibri"/>
          <w:b/>
          <w:i/>
          <w:spacing w:val="-3"/>
          <w:sz w:val="24"/>
          <w:szCs w:val="24"/>
          <w:lang w:val="en-GB" w:eastAsia="hr-HR"/>
        </w:rPr>
        <w:t xml:space="preserve">   </w:t>
      </w:r>
      <w:r w:rsidR="00370A55">
        <w:rPr>
          <w:rFonts w:eastAsia="Times New Roman" w:cs="Calibri"/>
          <w:b/>
          <w:i/>
          <w:noProof/>
          <w:spacing w:val="-3"/>
          <w:sz w:val="24"/>
          <w:szCs w:val="24"/>
          <w:lang w:eastAsia="hr-HR"/>
        </w:rPr>
        <w:drawing>
          <wp:inline distT="0" distB="0" distL="0" distR="0" wp14:anchorId="44DB6CBD" wp14:editId="7518DDCE">
            <wp:extent cx="2816225" cy="2825732"/>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21833" cy="2831359"/>
                    </a:xfrm>
                    <a:prstGeom prst="rect">
                      <a:avLst/>
                    </a:prstGeom>
                    <a:noFill/>
                  </pic:spPr>
                </pic:pic>
              </a:graphicData>
            </a:graphic>
          </wp:inline>
        </w:drawing>
      </w:r>
      <w:r w:rsidR="00B42F86">
        <w:rPr>
          <w:rFonts w:eastAsia="Times New Roman" w:cs="Calibri"/>
          <w:b/>
          <w:i/>
          <w:spacing w:val="-3"/>
          <w:sz w:val="24"/>
          <w:szCs w:val="24"/>
          <w:lang w:val="en-GB" w:eastAsia="hr-HR"/>
        </w:rPr>
        <w:t xml:space="preserve">   </w:t>
      </w:r>
    </w:p>
    <w:p w:rsidR="00BF17D9" w:rsidRPr="0005777B" w:rsidRDefault="00BF17D9" w:rsidP="00C23C95">
      <w:pPr>
        <w:tabs>
          <w:tab w:val="left" w:pos="-720"/>
        </w:tabs>
        <w:suppressAutoHyphens/>
        <w:spacing w:after="0" w:line="240" w:lineRule="auto"/>
        <w:ind w:left="-284" w:right="-426"/>
        <w:jc w:val="both"/>
        <w:rPr>
          <w:rFonts w:eastAsia="Times New Roman" w:cs="Calibri"/>
          <w:b/>
          <w:i/>
          <w:spacing w:val="-3"/>
          <w:sz w:val="24"/>
          <w:szCs w:val="24"/>
          <w:lang w:val="en-GB" w:eastAsia="hr-HR"/>
        </w:rPr>
      </w:pPr>
      <w:r w:rsidRPr="0005777B">
        <w:rPr>
          <w:rFonts w:eastAsia="Times New Roman" w:cs="Calibri"/>
          <w:b/>
          <w:i/>
          <w:spacing w:val="-3"/>
          <w:sz w:val="24"/>
          <w:szCs w:val="24"/>
          <w:lang w:val="en-GB" w:eastAsia="hr-HR"/>
        </w:rPr>
        <w:t xml:space="preserve">           </w:t>
      </w:r>
    </w:p>
    <w:p w:rsidR="00BF17D9" w:rsidRPr="0005777B"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BB336B" w:rsidRPr="0005777B" w:rsidRDefault="00BB336B" w:rsidP="00BF17D9">
      <w:pPr>
        <w:tabs>
          <w:tab w:val="left" w:pos="-720"/>
        </w:tabs>
        <w:suppressAutoHyphens/>
        <w:spacing w:after="0" w:line="240" w:lineRule="auto"/>
        <w:jc w:val="both"/>
        <w:rPr>
          <w:rFonts w:eastAsia="Times New Roman" w:cs="Calibri"/>
          <w:b/>
          <w:i/>
          <w:spacing w:val="-3"/>
          <w:sz w:val="24"/>
          <w:szCs w:val="24"/>
          <w:lang w:val="en-GB" w:eastAsia="hr-HR"/>
        </w:rPr>
        <w:sectPr w:rsidR="00BB336B" w:rsidRPr="0005777B" w:rsidSect="00F24D36">
          <w:footerReference w:type="default" r:id="rId26"/>
          <w:pgSz w:w="11906" w:h="16838"/>
          <w:pgMar w:top="1417" w:right="1417" w:bottom="1417" w:left="1276" w:header="708" w:footer="708" w:gutter="0"/>
          <w:cols w:space="708"/>
          <w:docGrid w:linePitch="360"/>
        </w:sectPr>
      </w:pPr>
    </w:p>
    <w:p w:rsidR="00BF17D9" w:rsidRDefault="00BF17D9" w:rsidP="00BF17D9">
      <w:pPr>
        <w:tabs>
          <w:tab w:val="left" w:pos="-720"/>
        </w:tabs>
        <w:suppressAutoHyphens/>
        <w:spacing w:after="0" w:line="240" w:lineRule="auto"/>
        <w:ind w:left="-142" w:right="-285"/>
        <w:jc w:val="both"/>
        <w:rPr>
          <w:rFonts w:eastAsia="Times New Roman" w:cs="Calibri"/>
          <w:b/>
          <w:i/>
          <w:spacing w:val="-3"/>
          <w:sz w:val="24"/>
          <w:szCs w:val="24"/>
          <w:lang w:val="en-GB" w:eastAsia="hr-HR"/>
        </w:rPr>
      </w:pPr>
    </w:p>
    <w:p w:rsidR="00B42F86" w:rsidRPr="0005777B" w:rsidRDefault="00B42F86" w:rsidP="00BF17D9">
      <w:pPr>
        <w:tabs>
          <w:tab w:val="left" w:pos="-720"/>
        </w:tabs>
        <w:suppressAutoHyphens/>
        <w:spacing w:after="0" w:line="240" w:lineRule="auto"/>
        <w:ind w:left="-142" w:right="-285"/>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25401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25401F">
        <w:rPr>
          <w:rFonts w:eastAsia="Times New Roman" w:cs="Calibri"/>
          <w:b/>
          <w:i/>
          <w:noProof/>
          <w:spacing w:val="-3"/>
          <w:sz w:val="24"/>
          <w:szCs w:val="24"/>
          <w:lang w:eastAsia="hr-HR"/>
        </w:rPr>
        <w:drawing>
          <wp:inline distT="0" distB="0" distL="0" distR="0" wp14:anchorId="00384C03" wp14:editId="72BCB833">
            <wp:extent cx="2792730" cy="2749821"/>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04199" cy="2761114"/>
                    </a:xfrm>
                    <a:prstGeom prst="rect">
                      <a:avLst/>
                    </a:prstGeom>
                    <a:noFill/>
                  </pic:spPr>
                </pic:pic>
              </a:graphicData>
            </a:graphic>
          </wp:inline>
        </w:drawing>
      </w:r>
      <w:r w:rsidR="0025401F">
        <w:rPr>
          <w:rFonts w:eastAsia="Times New Roman" w:cs="Calibri"/>
          <w:b/>
          <w:i/>
          <w:spacing w:val="-3"/>
          <w:sz w:val="24"/>
          <w:szCs w:val="24"/>
          <w:lang w:val="en-GB" w:eastAsia="hr-HR"/>
        </w:rPr>
        <w:t xml:space="preserve">    </w:t>
      </w:r>
      <w:r w:rsidR="005C4859">
        <w:rPr>
          <w:rFonts w:eastAsia="Times New Roman" w:cs="Calibri"/>
          <w:b/>
          <w:i/>
          <w:spacing w:val="-3"/>
          <w:sz w:val="24"/>
          <w:szCs w:val="24"/>
          <w:lang w:val="en-GB" w:eastAsia="hr-HR"/>
        </w:rPr>
        <w:t xml:space="preserve"> </w:t>
      </w:r>
      <w:r w:rsidR="0025401F">
        <w:rPr>
          <w:rFonts w:eastAsia="Times New Roman" w:cs="Calibri"/>
          <w:b/>
          <w:i/>
          <w:spacing w:val="-3"/>
          <w:sz w:val="24"/>
          <w:szCs w:val="24"/>
          <w:lang w:val="en-GB" w:eastAsia="hr-HR"/>
        </w:rPr>
        <w:t xml:space="preserve">  </w:t>
      </w:r>
      <w:r w:rsidR="005C4859">
        <w:rPr>
          <w:rFonts w:eastAsia="Times New Roman" w:cs="Calibri"/>
          <w:b/>
          <w:i/>
          <w:spacing w:val="-3"/>
          <w:sz w:val="24"/>
          <w:szCs w:val="24"/>
          <w:lang w:val="en-GB" w:eastAsia="hr-HR"/>
        </w:rPr>
        <w:t xml:space="preserve">   </w:t>
      </w:r>
      <w:r w:rsidR="0025401F">
        <w:rPr>
          <w:rFonts w:eastAsia="Times New Roman" w:cs="Calibri"/>
          <w:b/>
          <w:i/>
          <w:noProof/>
          <w:spacing w:val="-3"/>
          <w:sz w:val="24"/>
          <w:szCs w:val="24"/>
          <w:lang w:eastAsia="hr-HR"/>
        </w:rPr>
        <w:drawing>
          <wp:inline distT="0" distB="0" distL="0" distR="0" wp14:anchorId="241BC015" wp14:editId="5C1A825B">
            <wp:extent cx="2793524" cy="2749598"/>
            <wp:effectExtent l="0" t="0" r="698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96683" cy="2752708"/>
                    </a:xfrm>
                    <a:prstGeom prst="rect">
                      <a:avLst/>
                    </a:prstGeom>
                    <a:noFill/>
                  </pic:spPr>
                </pic:pic>
              </a:graphicData>
            </a:graphic>
          </wp:inline>
        </w:drawing>
      </w:r>
      <w:r w:rsidR="005C4859">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p>
    <w:p w:rsidR="00BF17D9" w:rsidRPr="0005777B"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05777B"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05777B"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05777B"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r w:rsidRPr="0005777B">
        <w:rPr>
          <w:rFonts w:eastAsia="Times New Roman" w:cs="Calibri"/>
          <w:b/>
          <w:i/>
          <w:spacing w:val="-3"/>
          <w:sz w:val="24"/>
          <w:szCs w:val="24"/>
          <w:lang w:val="en-GB" w:eastAsia="hr-HR"/>
        </w:rPr>
        <w:t xml:space="preserve">Net </w:t>
      </w:r>
      <w:r w:rsidR="004735B8" w:rsidRPr="0005777B">
        <w:rPr>
          <w:rFonts w:eastAsia="Times New Roman" w:cs="Calibri"/>
          <w:b/>
          <w:i/>
          <w:spacing w:val="-3"/>
          <w:sz w:val="24"/>
          <w:szCs w:val="24"/>
          <w:lang w:val="en-GB" w:eastAsia="hr-HR"/>
        </w:rPr>
        <w:t>interest income</w:t>
      </w:r>
    </w:p>
    <w:p w:rsidR="00BF17D9" w:rsidRPr="0005777B"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Net</w:t>
      </w:r>
      <w:r w:rsidR="004735B8" w:rsidRPr="0005777B">
        <w:rPr>
          <w:rFonts w:cstheme="minorHAnsi"/>
          <w:spacing w:val="-3"/>
          <w:sz w:val="24"/>
          <w:szCs w:val="24"/>
          <w:lang w:val="en-GB"/>
        </w:rPr>
        <w:t xml:space="preserve"> interest income amounted to HRK</w:t>
      </w:r>
      <w:r w:rsidRPr="0005777B">
        <w:rPr>
          <w:rFonts w:cstheme="minorHAnsi"/>
          <w:spacing w:val="-3"/>
          <w:sz w:val="24"/>
          <w:szCs w:val="24"/>
          <w:lang w:val="en-GB"/>
        </w:rPr>
        <w:t xml:space="preserve"> </w:t>
      </w:r>
      <w:r w:rsidR="00C11E3F">
        <w:rPr>
          <w:rFonts w:cstheme="minorHAnsi"/>
          <w:spacing w:val="-3"/>
          <w:sz w:val="24"/>
          <w:szCs w:val="24"/>
        </w:rPr>
        <w:t>235.86</w:t>
      </w:r>
      <w:r w:rsidR="00C11E3F" w:rsidRPr="00514881">
        <w:rPr>
          <w:rFonts w:cstheme="minorHAnsi"/>
          <w:spacing w:val="-3"/>
          <w:sz w:val="24"/>
          <w:szCs w:val="24"/>
        </w:rPr>
        <w:t xml:space="preserve"> </w:t>
      </w:r>
      <w:r w:rsidR="00D3324D" w:rsidRPr="0005777B">
        <w:rPr>
          <w:rFonts w:cstheme="minorHAnsi"/>
          <w:spacing w:val="-3"/>
          <w:sz w:val="24"/>
          <w:szCs w:val="24"/>
          <w:lang w:val="en-GB"/>
        </w:rPr>
        <w:t xml:space="preserve">million, an increase of </w:t>
      </w:r>
      <w:r w:rsidR="00C11E3F">
        <w:rPr>
          <w:rFonts w:cstheme="minorHAnsi"/>
          <w:spacing w:val="-3"/>
          <w:sz w:val="24"/>
          <w:szCs w:val="24"/>
          <w:lang w:val="en-GB"/>
        </w:rPr>
        <w:t>17.95</w:t>
      </w:r>
      <w:r w:rsidR="00D3324D" w:rsidRPr="0005777B">
        <w:rPr>
          <w:rFonts w:cstheme="minorHAnsi"/>
          <w:spacing w:val="-3"/>
          <w:sz w:val="24"/>
          <w:szCs w:val="24"/>
          <w:lang w:val="en-GB"/>
        </w:rPr>
        <w:t xml:space="preserve"> </w:t>
      </w:r>
      <w:r w:rsidR="004735B8" w:rsidRPr="0005777B">
        <w:rPr>
          <w:rFonts w:cstheme="minorHAnsi"/>
          <w:spacing w:val="-3"/>
          <w:sz w:val="24"/>
          <w:szCs w:val="24"/>
          <w:lang w:val="en-GB"/>
        </w:rPr>
        <w:t xml:space="preserve">percent on the </w:t>
      </w:r>
      <w:r w:rsidR="00D3324D" w:rsidRPr="0005777B">
        <w:rPr>
          <w:rFonts w:cstheme="minorHAnsi"/>
          <w:spacing w:val="-3"/>
          <w:sz w:val="24"/>
          <w:szCs w:val="24"/>
          <w:lang w:val="en-GB"/>
        </w:rPr>
        <w:t xml:space="preserve">same reporting period of the </w:t>
      </w:r>
      <w:r w:rsidR="004735B8" w:rsidRPr="0005777B">
        <w:rPr>
          <w:rFonts w:cstheme="minorHAnsi"/>
          <w:spacing w:val="-3"/>
          <w:sz w:val="24"/>
          <w:szCs w:val="24"/>
          <w:lang w:val="en-GB"/>
        </w:rPr>
        <w:t>previous reporting year</w:t>
      </w:r>
      <w:r w:rsidRPr="0005777B">
        <w:rPr>
          <w:rFonts w:cstheme="minorHAnsi"/>
          <w:spacing w:val="-3"/>
          <w:sz w:val="24"/>
          <w:szCs w:val="24"/>
          <w:lang w:val="en-GB"/>
        </w:rPr>
        <w:t xml:space="preserve">. </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BF17D9" w:rsidRPr="0005777B" w:rsidRDefault="00D3324D" w:rsidP="00C23C95">
      <w:pPr>
        <w:tabs>
          <w:tab w:val="left" w:pos="-720"/>
        </w:tabs>
        <w:suppressAutoHyphens/>
        <w:spacing w:after="0" w:line="240" w:lineRule="auto"/>
        <w:jc w:val="both"/>
        <w:rPr>
          <w:rFonts w:cstheme="minorHAnsi"/>
          <w:spacing w:val="-3"/>
          <w:lang w:val="en-GB"/>
        </w:rPr>
      </w:pPr>
      <w:r w:rsidRPr="0005777B">
        <w:rPr>
          <w:rFonts w:cstheme="minorHAnsi"/>
          <w:spacing w:val="-3"/>
          <w:sz w:val="24"/>
          <w:szCs w:val="24"/>
          <w:lang w:val="en-GB"/>
        </w:rPr>
        <w:t xml:space="preserve">Interest income amounted to HRK </w:t>
      </w:r>
      <w:r w:rsidR="00C11E3F">
        <w:rPr>
          <w:rFonts w:cstheme="minorHAnsi"/>
          <w:spacing w:val="-3"/>
          <w:sz w:val="24"/>
          <w:szCs w:val="24"/>
          <w:lang w:val="en-GB"/>
        </w:rPr>
        <w:t>451.01</w:t>
      </w:r>
      <w:r w:rsidR="00D850CB" w:rsidRPr="0005777B">
        <w:rPr>
          <w:rFonts w:cstheme="minorHAnsi"/>
          <w:spacing w:val="-3"/>
          <w:sz w:val="24"/>
          <w:szCs w:val="24"/>
          <w:lang w:val="en-GB"/>
        </w:rPr>
        <w:t xml:space="preserve"> </w:t>
      </w:r>
      <w:r w:rsidRPr="0005777B">
        <w:rPr>
          <w:rFonts w:cstheme="minorHAnsi"/>
          <w:spacing w:val="-3"/>
          <w:sz w:val="24"/>
          <w:szCs w:val="24"/>
          <w:lang w:val="en-GB"/>
        </w:rPr>
        <w:t xml:space="preserve">million, an increase of </w:t>
      </w:r>
      <w:r w:rsidR="00C11E3F">
        <w:rPr>
          <w:rFonts w:cstheme="minorHAnsi"/>
          <w:spacing w:val="-3"/>
          <w:sz w:val="24"/>
          <w:szCs w:val="24"/>
          <w:lang w:val="en-GB"/>
        </w:rPr>
        <w:t>5.33</w:t>
      </w:r>
      <w:r w:rsidR="00D850CB" w:rsidRPr="0005777B">
        <w:rPr>
          <w:rFonts w:cstheme="minorHAnsi"/>
          <w:spacing w:val="-3"/>
          <w:sz w:val="24"/>
          <w:szCs w:val="24"/>
          <w:lang w:val="en-GB"/>
        </w:rPr>
        <w:t xml:space="preserve"> p</w:t>
      </w:r>
      <w:r w:rsidRPr="0005777B">
        <w:rPr>
          <w:rFonts w:cstheme="minorHAnsi"/>
          <w:spacing w:val="-3"/>
          <w:sz w:val="24"/>
          <w:szCs w:val="24"/>
          <w:lang w:val="en-GB"/>
        </w:rPr>
        <w:t xml:space="preserve">ercent on the same reporting period last year due to increased </w:t>
      </w:r>
      <w:r w:rsidR="004C47E8">
        <w:rPr>
          <w:rFonts w:cstheme="minorHAnsi"/>
          <w:spacing w:val="-3"/>
          <w:sz w:val="24"/>
          <w:szCs w:val="24"/>
          <w:lang w:val="en-GB"/>
        </w:rPr>
        <w:t>interest income under long-term loans</w:t>
      </w:r>
      <w:r w:rsidRPr="0005777B">
        <w:rPr>
          <w:rFonts w:cstheme="minorHAnsi"/>
          <w:spacing w:val="-3"/>
          <w:sz w:val="24"/>
          <w:szCs w:val="24"/>
          <w:lang w:val="en-GB"/>
        </w:rPr>
        <w:t xml:space="preserve"> and considerable collection of interest income under restructured loans</w:t>
      </w:r>
      <w:r w:rsidR="00BF17D9" w:rsidRPr="0005777B">
        <w:rPr>
          <w:rFonts w:cstheme="minorHAnsi"/>
          <w:spacing w:val="-3"/>
          <w:sz w:val="24"/>
          <w:szCs w:val="24"/>
          <w:lang w:val="en-GB"/>
        </w:rPr>
        <w:t xml:space="preserve">. </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F937F0" w:rsidRPr="00FE5B03" w:rsidRDefault="004735B8" w:rsidP="00F937F0">
      <w:pPr>
        <w:spacing w:after="0" w:line="240" w:lineRule="auto"/>
        <w:jc w:val="both"/>
        <w:rPr>
          <w:sz w:val="24"/>
          <w:lang w:val="en-GB"/>
        </w:rPr>
      </w:pPr>
      <w:r w:rsidRPr="0005777B">
        <w:rPr>
          <w:rFonts w:cstheme="minorHAnsi"/>
          <w:spacing w:val="-3"/>
          <w:sz w:val="24"/>
          <w:szCs w:val="24"/>
          <w:lang w:val="en-GB"/>
        </w:rPr>
        <w:t xml:space="preserve">Interest expenses amounted to HRK </w:t>
      </w:r>
      <w:r w:rsidR="004C47E8">
        <w:rPr>
          <w:rFonts w:cstheme="minorHAnsi"/>
          <w:spacing w:val="-3"/>
          <w:sz w:val="24"/>
          <w:szCs w:val="24"/>
          <w:lang w:val="en-GB"/>
        </w:rPr>
        <w:t>215.15</w:t>
      </w:r>
      <w:r w:rsidR="00BF17D9" w:rsidRPr="0005777B">
        <w:rPr>
          <w:rFonts w:cstheme="minorHAnsi"/>
          <w:spacing w:val="-3"/>
          <w:sz w:val="24"/>
          <w:szCs w:val="24"/>
          <w:lang w:val="en-GB"/>
        </w:rPr>
        <w:t xml:space="preserve"> </w:t>
      </w:r>
      <w:r w:rsidR="00D3324D" w:rsidRPr="0005777B">
        <w:rPr>
          <w:rFonts w:cstheme="minorHAnsi"/>
          <w:spacing w:val="-3"/>
          <w:sz w:val="24"/>
          <w:szCs w:val="24"/>
          <w:lang w:val="en-GB"/>
        </w:rPr>
        <w:t xml:space="preserve">million, a decrease of </w:t>
      </w:r>
      <w:r w:rsidR="00BF17D9" w:rsidRPr="0005777B">
        <w:rPr>
          <w:rFonts w:cstheme="minorHAnsi"/>
          <w:spacing w:val="-3"/>
          <w:sz w:val="24"/>
          <w:szCs w:val="24"/>
          <w:lang w:val="en-GB"/>
        </w:rPr>
        <w:t>5</w:t>
      </w:r>
      <w:r w:rsidR="00D3324D" w:rsidRPr="0005777B">
        <w:rPr>
          <w:rFonts w:cstheme="minorHAnsi"/>
          <w:spacing w:val="-3"/>
          <w:sz w:val="24"/>
          <w:szCs w:val="24"/>
          <w:lang w:val="en-GB"/>
        </w:rPr>
        <w:t>.</w:t>
      </w:r>
      <w:r w:rsidR="004C47E8">
        <w:rPr>
          <w:rFonts w:cstheme="minorHAnsi"/>
          <w:spacing w:val="-3"/>
          <w:sz w:val="24"/>
          <w:szCs w:val="24"/>
          <w:lang w:val="en-GB"/>
        </w:rPr>
        <w:t>73</w:t>
      </w:r>
      <w:r w:rsidR="004C47E8" w:rsidRPr="0005777B">
        <w:rPr>
          <w:rFonts w:cstheme="minorHAnsi"/>
          <w:spacing w:val="-3"/>
          <w:sz w:val="24"/>
          <w:szCs w:val="24"/>
          <w:lang w:val="en-GB"/>
        </w:rPr>
        <w:t xml:space="preserve"> </w:t>
      </w:r>
      <w:r w:rsidR="00F937F0" w:rsidRPr="0005777B">
        <w:rPr>
          <w:rFonts w:cstheme="minorHAnsi"/>
          <w:spacing w:val="-3"/>
          <w:sz w:val="24"/>
          <w:szCs w:val="24"/>
          <w:lang w:val="en-GB"/>
        </w:rPr>
        <w:t>p</w:t>
      </w:r>
      <w:r w:rsidR="00D3324D" w:rsidRPr="0005777B">
        <w:rPr>
          <w:rFonts w:cstheme="minorHAnsi"/>
          <w:spacing w:val="-3"/>
          <w:sz w:val="24"/>
          <w:szCs w:val="24"/>
          <w:lang w:val="en-GB"/>
        </w:rPr>
        <w:t xml:space="preserve">ercent on the same reporting period last year, which was </w:t>
      </w:r>
      <w:r w:rsidR="00F309D8">
        <w:rPr>
          <w:rFonts w:cstheme="minorHAnsi"/>
          <w:spacing w:val="-3"/>
          <w:sz w:val="24"/>
          <w:szCs w:val="24"/>
          <w:lang w:val="en-GB"/>
        </w:rPr>
        <w:t>for the major part</w:t>
      </w:r>
      <w:r w:rsidR="00F309D8" w:rsidRPr="0005777B">
        <w:rPr>
          <w:rFonts w:cstheme="minorHAnsi"/>
          <w:spacing w:val="-3"/>
          <w:sz w:val="24"/>
          <w:szCs w:val="24"/>
          <w:lang w:val="en-GB"/>
        </w:rPr>
        <w:t xml:space="preserve"> </w:t>
      </w:r>
      <w:r w:rsidR="00D3324D" w:rsidRPr="0005777B">
        <w:rPr>
          <w:rFonts w:cstheme="minorHAnsi"/>
          <w:spacing w:val="-3"/>
          <w:sz w:val="24"/>
          <w:szCs w:val="24"/>
          <w:lang w:val="en-GB"/>
        </w:rPr>
        <w:t xml:space="preserve">affected by </w:t>
      </w:r>
      <w:r w:rsidR="00F309D8">
        <w:rPr>
          <w:rFonts w:cstheme="minorHAnsi"/>
          <w:spacing w:val="-3"/>
          <w:sz w:val="24"/>
          <w:szCs w:val="24"/>
          <w:lang w:val="en-GB"/>
        </w:rPr>
        <w:t>the following:</w:t>
      </w:r>
    </w:p>
    <w:p w:rsidR="00F309D8" w:rsidRDefault="00F309D8" w:rsidP="00FE5B03">
      <w:pPr>
        <w:pStyle w:val="Odlomakpopisa"/>
        <w:numPr>
          <w:ilvl w:val="0"/>
          <w:numId w:val="13"/>
        </w:numPr>
        <w:jc w:val="both"/>
        <w:rPr>
          <w:rFonts w:cs="Arial"/>
          <w:lang w:val="en-GB"/>
        </w:rPr>
      </w:pPr>
      <w:r w:rsidRPr="00FE5B03">
        <w:rPr>
          <w:rFonts w:asciiTheme="minorHAnsi" w:hAnsiTheme="minorHAnsi" w:cs="Arial"/>
          <w:lang w:val="en-GB"/>
        </w:rPr>
        <w:t xml:space="preserve">repayment of </w:t>
      </w:r>
      <w:r>
        <w:rPr>
          <w:rFonts w:asciiTheme="minorHAnsi" w:hAnsiTheme="minorHAnsi" w:cs="Arial"/>
          <w:lang w:val="en-GB"/>
        </w:rPr>
        <w:t xml:space="preserve">borrowings </w:t>
      </w:r>
      <w:r w:rsidR="003D5407">
        <w:rPr>
          <w:rFonts w:asciiTheme="minorHAnsi" w:hAnsiTheme="minorHAnsi" w:cs="Arial"/>
          <w:lang w:val="en-GB"/>
        </w:rPr>
        <w:t>agreed upon</w:t>
      </w:r>
      <w:r>
        <w:rPr>
          <w:rFonts w:asciiTheme="minorHAnsi" w:hAnsiTheme="minorHAnsi" w:cs="Arial"/>
          <w:lang w:val="en-GB"/>
        </w:rPr>
        <w:t xml:space="preserve"> </w:t>
      </w:r>
      <w:r w:rsidR="003D5407">
        <w:rPr>
          <w:rFonts w:asciiTheme="minorHAnsi" w:hAnsiTheme="minorHAnsi" w:cs="Arial"/>
          <w:lang w:val="en-GB"/>
        </w:rPr>
        <w:t>at higher interest rate, on maturity,</w:t>
      </w:r>
    </w:p>
    <w:p w:rsidR="003D5407" w:rsidRPr="00F309D8" w:rsidRDefault="003D5407" w:rsidP="00FE5B03">
      <w:pPr>
        <w:pStyle w:val="Odlomakpopisa"/>
        <w:numPr>
          <w:ilvl w:val="0"/>
          <w:numId w:val="13"/>
        </w:numPr>
        <w:jc w:val="both"/>
        <w:rPr>
          <w:rFonts w:cs="Arial"/>
          <w:lang w:val="en-GB"/>
        </w:rPr>
      </w:pPr>
      <w:r>
        <w:rPr>
          <w:rFonts w:asciiTheme="minorHAnsi" w:hAnsiTheme="minorHAnsi" w:cs="Arial"/>
          <w:lang w:val="en-GB"/>
        </w:rPr>
        <w:t>utilisation of credit lines of special financial institutions at favourable interest rates.</w:t>
      </w:r>
    </w:p>
    <w:p w:rsidR="00BF17D9" w:rsidRPr="0005777B" w:rsidRDefault="00BF17D9" w:rsidP="00C23C95">
      <w:pPr>
        <w:tabs>
          <w:tab w:val="left" w:pos="-720"/>
        </w:tabs>
        <w:suppressAutoHyphens/>
        <w:spacing w:after="0" w:line="240" w:lineRule="auto"/>
        <w:jc w:val="both"/>
        <w:rPr>
          <w:rFonts w:cstheme="minorHAnsi"/>
          <w:spacing w:val="-3"/>
          <w:lang w:val="en-GB"/>
        </w:rPr>
      </w:pPr>
      <w:r w:rsidRPr="0005777B">
        <w:rPr>
          <w:rFonts w:cstheme="minorHAnsi"/>
          <w:spacing w:val="-3"/>
          <w:sz w:val="24"/>
          <w:szCs w:val="24"/>
          <w:lang w:val="en-GB"/>
        </w:rPr>
        <w:t xml:space="preserve"> </w:t>
      </w:r>
    </w:p>
    <w:p w:rsidR="00BF17D9" w:rsidRPr="0005777B" w:rsidRDefault="004735B8" w:rsidP="00BF17D9">
      <w:pPr>
        <w:tabs>
          <w:tab w:val="left" w:pos="-720"/>
        </w:tabs>
        <w:suppressAutoHyphens/>
        <w:spacing w:after="0" w:line="240" w:lineRule="auto"/>
        <w:jc w:val="both"/>
        <w:rPr>
          <w:rFonts w:cstheme="minorHAnsi"/>
          <w:spacing w:val="-3"/>
          <w:lang w:val="en-GB"/>
        </w:rPr>
      </w:pPr>
      <w:r w:rsidRPr="0005777B">
        <w:rPr>
          <w:rFonts w:cstheme="minorHAnsi"/>
          <w:spacing w:val="-3"/>
          <w:sz w:val="24"/>
          <w:szCs w:val="24"/>
          <w:lang w:val="en-GB"/>
        </w:rPr>
        <w:t xml:space="preserve">Having in mind the described trends, net interest margin </w:t>
      </w:r>
      <w:r w:rsidR="00E44C23" w:rsidRPr="0005777B">
        <w:rPr>
          <w:rFonts w:cstheme="minorHAnsi"/>
          <w:spacing w:val="-3"/>
          <w:sz w:val="24"/>
          <w:szCs w:val="24"/>
          <w:lang w:val="en-GB"/>
        </w:rPr>
        <w:t>increased co</w:t>
      </w:r>
      <w:r w:rsidRPr="0005777B">
        <w:rPr>
          <w:rFonts w:cstheme="minorHAnsi"/>
          <w:spacing w:val="-3"/>
          <w:sz w:val="24"/>
          <w:szCs w:val="24"/>
          <w:lang w:val="en-GB"/>
        </w:rPr>
        <w:t xml:space="preserve">mpared </w:t>
      </w:r>
      <w:r w:rsidR="00E44C23" w:rsidRPr="0005777B">
        <w:rPr>
          <w:rFonts w:cstheme="minorHAnsi"/>
          <w:spacing w:val="-3"/>
          <w:sz w:val="24"/>
          <w:szCs w:val="24"/>
          <w:lang w:val="en-GB"/>
        </w:rPr>
        <w:t xml:space="preserve">with the same reporting period last </w:t>
      </w:r>
      <w:r w:rsidRPr="0005777B">
        <w:rPr>
          <w:rFonts w:cstheme="minorHAnsi"/>
          <w:spacing w:val="-3"/>
          <w:sz w:val="24"/>
          <w:szCs w:val="24"/>
          <w:lang w:val="en-GB"/>
        </w:rPr>
        <w:t>year and stood at 1.</w:t>
      </w:r>
      <w:r w:rsidR="003D5407">
        <w:rPr>
          <w:rFonts w:cstheme="minorHAnsi"/>
          <w:spacing w:val="-3"/>
          <w:sz w:val="24"/>
          <w:szCs w:val="24"/>
          <w:lang w:val="en-GB"/>
        </w:rPr>
        <w:t>71</w:t>
      </w:r>
      <w:r w:rsidR="003D5407" w:rsidRPr="0005777B">
        <w:rPr>
          <w:rFonts w:cstheme="minorHAnsi"/>
          <w:spacing w:val="-3"/>
          <w:sz w:val="24"/>
          <w:szCs w:val="24"/>
          <w:lang w:val="en-GB"/>
        </w:rPr>
        <w:t xml:space="preserve"> </w:t>
      </w:r>
      <w:r w:rsidRPr="0005777B">
        <w:rPr>
          <w:rFonts w:cstheme="minorHAnsi"/>
          <w:spacing w:val="-3"/>
          <w:sz w:val="24"/>
          <w:szCs w:val="24"/>
          <w:lang w:val="en-GB"/>
        </w:rPr>
        <w:t>percent</w:t>
      </w:r>
      <w:r w:rsidR="00E44C23" w:rsidRPr="0005777B">
        <w:rPr>
          <w:rFonts w:cstheme="minorHAnsi"/>
          <w:spacing w:val="-3"/>
          <w:sz w:val="24"/>
          <w:szCs w:val="24"/>
          <w:lang w:val="en-GB"/>
        </w:rPr>
        <w:t xml:space="preserve"> </w:t>
      </w:r>
      <w:r w:rsidR="00DE29C4" w:rsidRPr="0005777B">
        <w:rPr>
          <w:rFonts w:cstheme="minorHAnsi"/>
          <w:spacing w:val="-3"/>
          <w:sz w:val="24"/>
          <w:szCs w:val="24"/>
          <w:lang w:val="en-GB"/>
        </w:rPr>
        <w:t xml:space="preserve">as against </w:t>
      </w:r>
      <w:r w:rsidR="00F937F0" w:rsidRPr="0005777B">
        <w:rPr>
          <w:rFonts w:cstheme="minorHAnsi"/>
          <w:spacing w:val="-3"/>
          <w:sz w:val="24"/>
          <w:szCs w:val="24"/>
          <w:lang w:val="en-GB"/>
        </w:rPr>
        <w:t>1</w:t>
      </w:r>
      <w:r w:rsidR="00E44C23" w:rsidRPr="0005777B">
        <w:rPr>
          <w:rFonts w:cstheme="minorHAnsi"/>
          <w:spacing w:val="-3"/>
          <w:sz w:val="24"/>
          <w:szCs w:val="24"/>
          <w:lang w:val="en-GB"/>
        </w:rPr>
        <w:t>.</w:t>
      </w:r>
      <w:r w:rsidR="003D5407">
        <w:rPr>
          <w:rFonts w:cstheme="minorHAnsi"/>
          <w:spacing w:val="-3"/>
          <w:sz w:val="24"/>
          <w:szCs w:val="24"/>
          <w:lang w:val="en-GB"/>
        </w:rPr>
        <w:t>55</w:t>
      </w:r>
      <w:r w:rsidR="00F937F0" w:rsidRPr="0005777B">
        <w:rPr>
          <w:rFonts w:cstheme="minorHAnsi"/>
          <w:spacing w:val="-3"/>
          <w:sz w:val="24"/>
          <w:szCs w:val="24"/>
          <w:lang w:val="en-GB"/>
        </w:rPr>
        <w:t xml:space="preserve"> p</w:t>
      </w:r>
      <w:r w:rsidR="00E44C23" w:rsidRPr="0005777B">
        <w:rPr>
          <w:rFonts w:cstheme="minorHAnsi"/>
          <w:spacing w:val="-3"/>
          <w:sz w:val="24"/>
          <w:szCs w:val="24"/>
          <w:lang w:val="en-GB"/>
        </w:rPr>
        <w:t>ercent in the same reporting period last year</w:t>
      </w:r>
      <w:r w:rsidR="00BF17D9" w:rsidRPr="0005777B">
        <w:rPr>
          <w:rFonts w:cstheme="minorHAnsi"/>
          <w:spacing w:val="-3"/>
          <w:lang w:val="en-GB"/>
        </w:rPr>
        <w:t>.</w:t>
      </w:r>
    </w:p>
    <w:p w:rsidR="00BF17D9" w:rsidRPr="0005777B" w:rsidRDefault="00BF17D9" w:rsidP="00BF17D9">
      <w:pPr>
        <w:tabs>
          <w:tab w:val="left" w:pos="-720"/>
        </w:tabs>
        <w:suppressAutoHyphens/>
        <w:spacing w:after="0" w:line="240" w:lineRule="auto"/>
        <w:jc w:val="both"/>
        <w:rPr>
          <w:rFonts w:cstheme="minorHAnsi"/>
          <w:spacing w:val="-3"/>
          <w:lang w:val="en-GB"/>
        </w:rPr>
      </w:pPr>
    </w:p>
    <w:p w:rsidR="00BF17D9" w:rsidRPr="0005777B" w:rsidRDefault="00BF17D9" w:rsidP="00BF17D9">
      <w:pPr>
        <w:tabs>
          <w:tab w:val="left" w:pos="-720"/>
        </w:tabs>
        <w:suppressAutoHyphens/>
        <w:spacing w:after="0" w:line="240" w:lineRule="auto"/>
        <w:jc w:val="both"/>
        <w:rPr>
          <w:rFonts w:cstheme="minorHAnsi"/>
          <w:spacing w:val="-3"/>
          <w:lang w:val="en-GB"/>
        </w:rPr>
        <w:sectPr w:rsidR="00BF17D9" w:rsidRPr="0005777B" w:rsidSect="00F24D36">
          <w:footerReference w:type="default" r:id="rId29"/>
          <w:pgSz w:w="11906" w:h="16838"/>
          <w:pgMar w:top="1417" w:right="1417" w:bottom="1417" w:left="1276" w:header="708" w:footer="708" w:gutter="0"/>
          <w:cols w:space="708"/>
          <w:docGrid w:linePitch="360"/>
        </w:sectPr>
      </w:pPr>
    </w:p>
    <w:p w:rsidR="00BF17D9" w:rsidRPr="0005777B"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r w:rsidRPr="0005777B">
        <w:rPr>
          <w:rFonts w:eastAsia="Times New Roman" w:cs="Calibri"/>
          <w:b/>
          <w:i/>
          <w:spacing w:val="-3"/>
          <w:sz w:val="24"/>
          <w:szCs w:val="24"/>
          <w:lang w:val="en-GB" w:eastAsia="hr-HR"/>
        </w:rPr>
        <w:t>Net</w:t>
      </w:r>
      <w:r w:rsidR="004735B8" w:rsidRPr="0005777B">
        <w:rPr>
          <w:rFonts w:eastAsia="Times New Roman" w:cs="Calibri"/>
          <w:b/>
          <w:i/>
          <w:spacing w:val="-3"/>
          <w:sz w:val="24"/>
          <w:szCs w:val="24"/>
          <w:lang w:val="en-GB" w:eastAsia="hr-HR"/>
        </w:rPr>
        <w:t xml:space="preserve"> fee income </w:t>
      </w:r>
    </w:p>
    <w:p w:rsidR="00BF17D9" w:rsidRPr="0005777B"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rsidR="00BF17D9" w:rsidRPr="0005777B" w:rsidRDefault="00BF17D9" w:rsidP="00BF17D9">
      <w:pPr>
        <w:tabs>
          <w:tab w:val="left" w:pos="-720"/>
        </w:tabs>
        <w:suppressAutoHyphens/>
        <w:spacing w:after="0" w:line="240" w:lineRule="auto"/>
        <w:jc w:val="both"/>
        <w:rPr>
          <w:rFonts w:cstheme="minorHAnsi"/>
          <w:b/>
          <w:color w:val="000000" w:themeColor="text1"/>
          <w:spacing w:val="-3"/>
          <w:sz w:val="24"/>
          <w:szCs w:val="24"/>
          <w:lang w:val="en-GB"/>
        </w:rPr>
      </w:pPr>
      <w:r w:rsidRPr="0005777B">
        <w:rPr>
          <w:rFonts w:cstheme="minorHAnsi"/>
          <w:spacing w:val="-3"/>
          <w:sz w:val="24"/>
          <w:szCs w:val="24"/>
          <w:lang w:val="en-GB"/>
        </w:rPr>
        <w:t>Net</w:t>
      </w:r>
      <w:r w:rsidR="004735B8" w:rsidRPr="0005777B">
        <w:rPr>
          <w:rFonts w:cstheme="minorHAnsi"/>
          <w:spacing w:val="-3"/>
          <w:sz w:val="24"/>
          <w:szCs w:val="24"/>
          <w:lang w:val="en-GB"/>
        </w:rPr>
        <w:t xml:space="preserve"> fee income amounted to </w:t>
      </w:r>
      <w:r w:rsidR="00BC6E72" w:rsidRPr="0005777B">
        <w:rPr>
          <w:rFonts w:cstheme="minorHAnsi"/>
          <w:spacing w:val="-3"/>
          <w:sz w:val="24"/>
          <w:szCs w:val="24"/>
          <w:lang w:val="en-GB"/>
        </w:rPr>
        <w:t xml:space="preserve">HRK </w:t>
      </w:r>
      <w:r w:rsidR="008129E5">
        <w:rPr>
          <w:rFonts w:cstheme="minorHAnsi"/>
          <w:spacing w:val="-3"/>
          <w:sz w:val="24"/>
          <w:szCs w:val="24"/>
          <w:lang w:val="en-GB"/>
        </w:rPr>
        <w:t>13.38</w:t>
      </w:r>
      <w:r w:rsidR="00BC6E72" w:rsidRPr="0005777B">
        <w:rPr>
          <w:rFonts w:cstheme="minorHAnsi"/>
          <w:spacing w:val="-3"/>
          <w:sz w:val="24"/>
          <w:szCs w:val="24"/>
          <w:lang w:val="en-GB"/>
        </w:rPr>
        <w:t xml:space="preserve"> million, an increase of </w:t>
      </w:r>
      <w:r w:rsidR="008129E5">
        <w:rPr>
          <w:rFonts w:cstheme="minorHAnsi"/>
          <w:spacing w:val="-3"/>
          <w:sz w:val="24"/>
          <w:szCs w:val="24"/>
          <w:lang w:val="en-GB"/>
        </w:rPr>
        <w:t>6.19</w:t>
      </w:r>
      <w:r w:rsidR="00685E73" w:rsidRPr="0005777B">
        <w:rPr>
          <w:rFonts w:cstheme="minorHAnsi"/>
          <w:spacing w:val="-3"/>
          <w:sz w:val="24"/>
          <w:szCs w:val="24"/>
          <w:lang w:val="en-GB"/>
        </w:rPr>
        <w:t xml:space="preserve"> p</w:t>
      </w:r>
      <w:r w:rsidR="00BC6E72" w:rsidRPr="0005777B">
        <w:rPr>
          <w:rFonts w:cstheme="minorHAnsi"/>
          <w:spacing w:val="-3"/>
          <w:sz w:val="24"/>
          <w:szCs w:val="24"/>
          <w:lang w:val="en-GB"/>
        </w:rPr>
        <w:t>ercent compared with the same reporting period last year as a result of increased fee income from guarantee activities caused by a higher volume of guarantees issued</w:t>
      </w:r>
      <w:r w:rsidRPr="0005777B">
        <w:rPr>
          <w:rFonts w:cstheme="minorHAnsi"/>
          <w:spacing w:val="-3"/>
          <w:sz w:val="24"/>
          <w:szCs w:val="24"/>
          <w:lang w:val="en-GB"/>
        </w:rPr>
        <w:t xml:space="preserve">. </w:t>
      </w:r>
    </w:p>
    <w:p w:rsidR="00BF17D9" w:rsidRPr="0005777B"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rsidR="00BF17D9" w:rsidRPr="0005777B"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rsidR="00BF17D9" w:rsidRPr="0005777B" w:rsidRDefault="00BF17D9" w:rsidP="00BF17D9">
      <w:pPr>
        <w:spacing w:after="0" w:line="240" w:lineRule="auto"/>
        <w:jc w:val="both"/>
        <w:rPr>
          <w:rFonts w:eastAsia="Times New Roman" w:cs="Calibri"/>
          <w:b/>
          <w:i/>
          <w:sz w:val="24"/>
          <w:szCs w:val="24"/>
          <w:lang w:val="en-GB" w:eastAsia="hr-HR"/>
        </w:rPr>
      </w:pPr>
      <w:r w:rsidRPr="0005777B">
        <w:rPr>
          <w:rFonts w:eastAsia="Times New Roman" w:cs="Calibri"/>
          <w:b/>
          <w:i/>
          <w:sz w:val="24"/>
          <w:szCs w:val="24"/>
          <w:lang w:val="en-GB" w:eastAsia="hr-HR"/>
        </w:rPr>
        <w:t xml:space="preserve">Net </w:t>
      </w:r>
      <w:r w:rsidR="004735B8" w:rsidRPr="0005777B">
        <w:rPr>
          <w:rFonts w:eastAsia="Times New Roman" w:cs="Calibri"/>
          <w:b/>
          <w:i/>
          <w:sz w:val="24"/>
          <w:szCs w:val="24"/>
          <w:lang w:val="en-GB" w:eastAsia="hr-HR"/>
        </w:rPr>
        <w:t>gains</w:t>
      </w:r>
      <w:r w:rsidRPr="0005777B">
        <w:rPr>
          <w:rFonts w:eastAsia="Times New Roman" w:cs="Calibri"/>
          <w:b/>
          <w:i/>
          <w:sz w:val="24"/>
          <w:szCs w:val="24"/>
          <w:lang w:val="en-GB" w:eastAsia="hr-HR"/>
        </w:rPr>
        <w:t>/(</w:t>
      </w:r>
      <w:r w:rsidR="004735B8" w:rsidRPr="0005777B">
        <w:rPr>
          <w:rFonts w:eastAsia="Times New Roman" w:cs="Calibri"/>
          <w:b/>
          <w:i/>
          <w:sz w:val="24"/>
          <w:szCs w:val="24"/>
          <w:lang w:val="en-GB" w:eastAsia="hr-HR"/>
        </w:rPr>
        <w:t>losses</w:t>
      </w:r>
      <w:r w:rsidRPr="0005777B">
        <w:rPr>
          <w:rFonts w:eastAsia="Times New Roman" w:cs="Calibri"/>
          <w:b/>
          <w:i/>
          <w:sz w:val="24"/>
          <w:szCs w:val="24"/>
          <w:lang w:val="en-GB" w:eastAsia="hr-HR"/>
        </w:rPr>
        <w:t xml:space="preserve">) </w:t>
      </w:r>
      <w:r w:rsidR="004735B8" w:rsidRPr="0005777B">
        <w:rPr>
          <w:rFonts w:eastAsia="Times New Roman" w:cs="Calibri"/>
          <w:b/>
          <w:i/>
          <w:sz w:val="24"/>
          <w:szCs w:val="24"/>
          <w:lang w:val="en-GB" w:eastAsia="hr-HR"/>
        </w:rPr>
        <w:t>fr</w:t>
      </w:r>
      <w:r w:rsidRPr="0005777B">
        <w:rPr>
          <w:rFonts w:eastAsia="Times New Roman" w:cs="Calibri"/>
          <w:b/>
          <w:i/>
          <w:sz w:val="24"/>
          <w:szCs w:val="24"/>
          <w:lang w:val="en-GB" w:eastAsia="hr-HR"/>
        </w:rPr>
        <w:t>o</w:t>
      </w:r>
      <w:r w:rsidR="004735B8" w:rsidRPr="0005777B">
        <w:rPr>
          <w:rFonts w:eastAsia="Times New Roman" w:cs="Calibri"/>
          <w:b/>
          <w:i/>
          <w:sz w:val="24"/>
          <w:szCs w:val="24"/>
          <w:lang w:val="en-GB" w:eastAsia="hr-HR"/>
        </w:rPr>
        <w:t>m</w:t>
      </w:r>
      <w:r w:rsidRPr="0005777B">
        <w:rPr>
          <w:rFonts w:eastAsia="Times New Roman" w:cs="Calibri"/>
          <w:b/>
          <w:i/>
          <w:sz w:val="24"/>
          <w:szCs w:val="24"/>
          <w:lang w:val="en-GB" w:eastAsia="hr-HR"/>
        </w:rPr>
        <w:t xml:space="preserve"> financi</w:t>
      </w:r>
      <w:r w:rsidR="004735B8" w:rsidRPr="0005777B">
        <w:rPr>
          <w:rFonts w:eastAsia="Times New Roman" w:cs="Calibri"/>
          <w:b/>
          <w:i/>
          <w:sz w:val="24"/>
          <w:szCs w:val="24"/>
          <w:lang w:val="en-GB" w:eastAsia="hr-HR"/>
        </w:rPr>
        <w:t>al</w:t>
      </w:r>
      <w:r w:rsidRPr="0005777B">
        <w:rPr>
          <w:rFonts w:eastAsia="Times New Roman" w:cs="Calibri"/>
          <w:b/>
          <w:i/>
          <w:sz w:val="24"/>
          <w:szCs w:val="24"/>
          <w:lang w:val="en-GB" w:eastAsia="hr-HR"/>
        </w:rPr>
        <w:t xml:space="preserve"> a</w:t>
      </w:r>
      <w:r w:rsidR="004735B8" w:rsidRPr="0005777B">
        <w:rPr>
          <w:rFonts w:eastAsia="Times New Roman" w:cs="Calibri"/>
          <w:b/>
          <w:i/>
          <w:sz w:val="24"/>
          <w:szCs w:val="24"/>
          <w:lang w:val="en-GB" w:eastAsia="hr-HR"/>
        </w:rPr>
        <w:t>c</w:t>
      </w:r>
      <w:r w:rsidRPr="0005777B">
        <w:rPr>
          <w:rFonts w:eastAsia="Times New Roman" w:cs="Calibri"/>
          <w:b/>
          <w:i/>
          <w:sz w:val="24"/>
          <w:szCs w:val="24"/>
          <w:lang w:val="en-GB" w:eastAsia="hr-HR"/>
        </w:rPr>
        <w:t>tiv</w:t>
      </w:r>
      <w:r w:rsidR="004735B8" w:rsidRPr="0005777B">
        <w:rPr>
          <w:rFonts w:eastAsia="Times New Roman" w:cs="Calibri"/>
          <w:b/>
          <w:i/>
          <w:sz w:val="24"/>
          <w:szCs w:val="24"/>
          <w:lang w:val="en-GB" w:eastAsia="hr-HR"/>
        </w:rPr>
        <w:t>i</w:t>
      </w:r>
      <w:r w:rsidRPr="0005777B">
        <w:rPr>
          <w:rFonts w:eastAsia="Times New Roman" w:cs="Calibri"/>
          <w:b/>
          <w:i/>
          <w:sz w:val="24"/>
          <w:szCs w:val="24"/>
          <w:lang w:val="en-GB" w:eastAsia="hr-HR"/>
        </w:rPr>
        <w:t>ti</w:t>
      </w:r>
      <w:r w:rsidR="004735B8" w:rsidRPr="0005777B">
        <w:rPr>
          <w:rFonts w:eastAsia="Times New Roman" w:cs="Calibri"/>
          <w:b/>
          <w:i/>
          <w:sz w:val="24"/>
          <w:szCs w:val="24"/>
          <w:lang w:val="en-GB" w:eastAsia="hr-HR"/>
        </w:rPr>
        <w:t>es</w:t>
      </w:r>
    </w:p>
    <w:p w:rsidR="00BF17D9" w:rsidRPr="0005777B" w:rsidRDefault="00BF17D9" w:rsidP="00BF17D9">
      <w:pPr>
        <w:spacing w:after="0" w:line="240" w:lineRule="auto"/>
        <w:jc w:val="both"/>
        <w:rPr>
          <w:rFonts w:eastAsia="Times New Roman" w:cs="Calibri"/>
          <w:b/>
          <w:i/>
          <w:sz w:val="24"/>
          <w:szCs w:val="24"/>
          <w:lang w:val="en-GB" w:eastAsia="hr-HR"/>
        </w:rPr>
      </w:pP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Ne</w:t>
      </w:r>
      <w:r w:rsidR="00042B54" w:rsidRPr="0005777B">
        <w:rPr>
          <w:rFonts w:cstheme="minorHAnsi"/>
          <w:spacing w:val="-3"/>
          <w:sz w:val="24"/>
          <w:szCs w:val="24"/>
          <w:lang w:val="en-GB"/>
        </w:rPr>
        <w:t>t gains/(losses) from financial activities are comprised of net foreign exchange gains/(losses) on the principal amount of receivables and liabilities, net revenues or expenditures arising out of the loan contracts with embedded call option, gains/(losses) arising out of value adjustment of assets stated at fair value through profit or loss and realised gains/(losses) arising out of assets available for sale</w:t>
      </w:r>
      <w:r w:rsidRPr="0005777B">
        <w:rPr>
          <w:rFonts w:cstheme="minorHAnsi"/>
          <w:spacing w:val="-3"/>
          <w:sz w:val="24"/>
          <w:szCs w:val="24"/>
          <w:lang w:val="en-GB"/>
        </w:rPr>
        <w:t xml:space="preserve">. </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BF17D9" w:rsidRPr="0005777B" w:rsidRDefault="00042B54"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In the reporting period, net </w:t>
      </w:r>
      <w:r w:rsidR="00F9692D" w:rsidRPr="0005777B">
        <w:rPr>
          <w:rFonts w:cstheme="minorHAnsi"/>
          <w:spacing w:val="-3"/>
          <w:sz w:val="24"/>
          <w:szCs w:val="24"/>
          <w:lang w:val="en-GB"/>
        </w:rPr>
        <w:t xml:space="preserve">losses </w:t>
      </w:r>
      <w:r w:rsidRPr="0005777B">
        <w:rPr>
          <w:rFonts w:cstheme="minorHAnsi"/>
          <w:spacing w:val="-3"/>
          <w:sz w:val="24"/>
          <w:szCs w:val="24"/>
          <w:lang w:val="en-GB"/>
        </w:rPr>
        <w:t xml:space="preserve">from financial activities amounted to HRK </w:t>
      </w:r>
      <w:r w:rsidR="001729F4">
        <w:rPr>
          <w:rFonts w:cstheme="minorHAnsi"/>
          <w:spacing w:val="-3"/>
          <w:sz w:val="24"/>
          <w:szCs w:val="24"/>
          <w:lang w:val="en-GB"/>
        </w:rPr>
        <w:t>7.57</w:t>
      </w:r>
      <w:r w:rsidR="00F9692D" w:rsidRPr="0005777B">
        <w:rPr>
          <w:rFonts w:cstheme="minorHAnsi"/>
          <w:spacing w:val="-3"/>
          <w:sz w:val="24"/>
          <w:szCs w:val="24"/>
          <w:lang w:val="en-GB"/>
        </w:rPr>
        <w:t xml:space="preserve"> million</w:t>
      </w:r>
      <w:r w:rsidR="00BF17D9" w:rsidRPr="0005777B">
        <w:rPr>
          <w:rFonts w:cstheme="minorHAnsi"/>
          <w:spacing w:val="-3"/>
          <w:sz w:val="24"/>
          <w:szCs w:val="24"/>
          <w:lang w:val="en-GB"/>
        </w:rPr>
        <w:t xml:space="preserve">, </w:t>
      </w:r>
      <w:r w:rsidR="00F9692D" w:rsidRPr="0005777B">
        <w:rPr>
          <w:rFonts w:cstheme="minorHAnsi"/>
          <w:spacing w:val="-3"/>
          <w:sz w:val="24"/>
          <w:szCs w:val="24"/>
          <w:lang w:val="en-GB"/>
        </w:rPr>
        <w:t>whereas, in the same reporting period previous year, net losses amounted to HRK</w:t>
      </w:r>
      <w:r w:rsidR="00BF17D9" w:rsidRPr="0005777B">
        <w:rPr>
          <w:rFonts w:cstheme="minorHAnsi"/>
          <w:spacing w:val="-3"/>
          <w:sz w:val="24"/>
          <w:szCs w:val="24"/>
          <w:lang w:val="en-GB"/>
        </w:rPr>
        <w:t xml:space="preserve"> </w:t>
      </w:r>
      <w:r w:rsidR="001729F4">
        <w:rPr>
          <w:rFonts w:cstheme="minorHAnsi"/>
          <w:spacing w:val="-3"/>
          <w:sz w:val="24"/>
          <w:szCs w:val="24"/>
          <w:lang w:val="en-GB"/>
        </w:rPr>
        <w:t>10.82</w:t>
      </w:r>
      <w:r w:rsidR="00F9692D" w:rsidRPr="0005777B">
        <w:rPr>
          <w:rFonts w:cstheme="minorHAnsi"/>
          <w:spacing w:val="-3"/>
          <w:sz w:val="24"/>
          <w:szCs w:val="24"/>
          <w:lang w:val="en-GB"/>
        </w:rPr>
        <w:t xml:space="preserve"> million</w:t>
      </w:r>
      <w:r w:rsidR="00BF17D9" w:rsidRPr="0005777B">
        <w:rPr>
          <w:rFonts w:cstheme="minorHAnsi"/>
          <w:spacing w:val="-3"/>
          <w:sz w:val="24"/>
          <w:szCs w:val="24"/>
          <w:lang w:val="en-GB"/>
        </w:rPr>
        <w:t xml:space="preserve">. </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BF17D9" w:rsidRPr="0005777B" w:rsidRDefault="00042B54"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A breakdown of changes in the exchange rate of HRK against the EUR and the USD</w:t>
      </w:r>
      <w:r w:rsidR="00BF17D9" w:rsidRPr="0005777B">
        <w:rPr>
          <w:rFonts w:cstheme="minorHAnsi"/>
          <w:spacing w:val="-3"/>
          <w:sz w:val="24"/>
          <w:szCs w:val="24"/>
          <w:lang w:val="en-GB"/>
        </w:rPr>
        <w:t>:</w:t>
      </w:r>
    </w:p>
    <w:p w:rsidR="00BF17D9" w:rsidRDefault="00BF17D9" w:rsidP="00BF17D9">
      <w:pPr>
        <w:tabs>
          <w:tab w:val="left" w:pos="-720"/>
        </w:tabs>
        <w:suppressAutoHyphens/>
        <w:spacing w:after="0" w:line="240" w:lineRule="auto"/>
        <w:jc w:val="both"/>
        <w:rPr>
          <w:rFonts w:cstheme="minorHAnsi"/>
          <w:spacing w:val="-3"/>
          <w:sz w:val="24"/>
          <w:szCs w:val="24"/>
          <w:lang w:val="en-GB"/>
        </w:rPr>
      </w:pPr>
    </w:p>
    <w:p w:rsidR="00A9534E" w:rsidRPr="0005777B" w:rsidRDefault="00186994" w:rsidP="00BF17D9">
      <w:pPr>
        <w:tabs>
          <w:tab w:val="left" w:pos="-720"/>
        </w:tabs>
        <w:suppressAutoHyphens/>
        <w:spacing w:after="0" w:line="240" w:lineRule="auto"/>
        <w:jc w:val="both"/>
        <w:rPr>
          <w:rFonts w:cstheme="minorHAnsi"/>
          <w:spacing w:val="-3"/>
          <w:sz w:val="24"/>
          <w:szCs w:val="24"/>
          <w:lang w:val="en-GB"/>
        </w:rPr>
      </w:pPr>
      <w:r>
        <w:rPr>
          <w:rFonts w:cstheme="minorHAnsi"/>
          <w:noProof/>
          <w:spacing w:val="-3"/>
          <w:sz w:val="24"/>
          <w:szCs w:val="24"/>
          <w:lang w:eastAsia="hr-HR"/>
        </w:rPr>
        <w:drawing>
          <wp:inline distT="0" distB="0" distL="0" distR="0" wp14:anchorId="144AF76D" wp14:editId="060A6353">
            <wp:extent cx="2789049" cy="2040332"/>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89049" cy="2040332"/>
                    </a:xfrm>
                    <a:prstGeom prst="rect">
                      <a:avLst/>
                    </a:prstGeom>
                    <a:noFill/>
                  </pic:spPr>
                </pic:pic>
              </a:graphicData>
            </a:graphic>
          </wp:inline>
        </w:drawing>
      </w:r>
      <w:r w:rsidR="00A9534E">
        <w:rPr>
          <w:rFonts w:cstheme="minorHAnsi"/>
          <w:spacing w:val="-3"/>
          <w:sz w:val="24"/>
          <w:szCs w:val="24"/>
          <w:lang w:val="en-GB"/>
        </w:rPr>
        <w:t xml:space="preserve">   </w:t>
      </w:r>
      <w:r>
        <w:rPr>
          <w:rFonts w:cstheme="minorHAnsi"/>
          <w:noProof/>
          <w:spacing w:val="-3"/>
          <w:sz w:val="24"/>
          <w:szCs w:val="24"/>
          <w:lang w:eastAsia="hr-HR"/>
        </w:rPr>
        <w:drawing>
          <wp:inline distT="0" distB="0" distL="0" distR="0" wp14:anchorId="507558D7" wp14:editId="372B6E70">
            <wp:extent cx="2825521" cy="20402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25521" cy="2040255"/>
                    </a:xfrm>
                    <a:prstGeom prst="rect">
                      <a:avLst/>
                    </a:prstGeom>
                    <a:noFill/>
                  </pic:spPr>
                </pic:pic>
              </a:graphicData>
            </a:graphic>
          </wp:inline>
        </w:drawing>
      </w:r>
      <w:r w:rsidR="00A9534E">
        <w:rPr>
          <w:rFonts w:cstheme="minorHAnsi"/>
          <w:spacing w:val="-3"/>
          <w:sz w:val="24"/>
          <w:szCs w:val="24"/>
          <w:lang w:val="en-GB"/>
        </w:rPr>
        <w:t xml:space="preserve">  </w:t>
      </w:r>
    </w:p>
    <w:p w:rsidR="00BF17D9" w:rsidRPr="0005777B"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rsidR="00BF17D9" w:rsidRPr="0005777B"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4"/>
          <w:szCs w:val="24"/>
          <w:lang w:val="en-GB"/>
        </w:rPr>
      </w:pPr>
      <w:r w:rsidRPr="0005777B">
        <w:rPr>
          <w:rFonts w:cstheme="minorHAnsi"/>
          <w:spacing w:val="-3"/>
          <w:sz w:val="24"/>
          <w:szCs w:val="24"/>
          <w:lang w:val="en-GB"/>
        </w:rPr>
        <w:t xml:space="preserve">    </w:t>
      </w:r>
      <w:r w:rsidRPr="0005777B">
        <w:rPr>
          <w:rFonts w:cstheme="minorHAnsi"/>
          <w:color w:val="7F7F7F" w:themeColor="text1" w:themeTint="80"/>
          <w:spacing w:val="-3"/>
          <w:sz w:val="24"/>
          <w:szCs w:val="24"/>
          <w:lang w:val="en-GB"/>
        </w:rPr>
        <w:t>No</w:t>
      </w:r>
      <w:r w:rsidR="00042B54" w:rsidRPr="0005777B">
        <w:rPr>
          <w:rFonts w:cstheme="minorHAnsi"/>
          <w:color w:val="7F7F7F" w:themeColor="text1" w:themeTint="80"/>
          <w:spacing w:val="-3"/>
          <w:sz w:val="24"/>
          <w:szCs w:val="24"/>
          <w:lang w:val="en-GB"/>
        </w:rPr>
        <w:t>t</w:t>
      </w:r>
      <w:r w:rsidRPr="0005777B">
        <w:rPr>
          <w:rFonts w:cstheme="minorHAnsi"/>
          <w:color w:val="7F7F7F" w:themeColor="text1" w:themeTint="80"/>
          <w:spacing w:val="-3"/>
          <w:sz w:val="24"/>
          <w:szCs w:val="24"/>
          <w:lang w:val="en-GB"/>
        </w:rPr>
        <w:t>e:</w:t>
      </w:r>
    </w:p>
    <w:p w:rsidR="00BF17D9" w:rsidRPr="0005777B"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4"/>
          <w:szCs w:val="24"/>
          <w:lang w:val="en-GB"/>
        </w:rPr>
      </w:pPr>
      <w:r w:rsidRPr="0005777B">
        <w:rPr>
          <w:rFonts w:cstheme="minorHAnsi"/>
          <w:color w:val="7F7F7F" w:themeColor="text1" w:themeTint="80"/>
          <w:spacing w:val="-3"/>
          <w:sz w:val="24"/>
          <w:szCs w:val="24"/>
          <w:lang w:val="en-GB"/>
        </w:rPr>
        <w:t xml:space="preserve">  A</w:t>
      </w:r>
      <w:r w:rsidRPr="0005777B">
        <w:rPr>
          <w:rFonts w:cstheme="minorHAnsi"/>
          <w:color w:val="7F7F7F" w:themeColor="text1" w:themeTint="80"/>
          <w:spacing w:val="-3"/>
          <w:sz w:val="24"/>
          <w:szCs w:val="24"/>
          <w:vertAlign w:val="subscript"/>
          <w:lang w:val="en-GB"/>
        </w:rPr>
        <w:t>1</w:t>
      </w:r>
      <w:r w:rsidRPr="0005777B">
        <w:rPr>
          <w:rFonts w:cstheme="minorHAnsi"/>
          <w:color w:val="7F7F7F" w:themeColor="text1" w:themeTint="80"/>
          <w:spacing w:val="-3"/>
          <w:sz w:val="24"/>
          <w:szCs w:val="24"/>
          <w:lang w:val="en-GB"/>
        </w:rPr>
        <w:t xml:space="preserve"> = </w:t>
      </w:r>
      <w:r w:rsidR="00042B54" w:rsidRPr="0005777B">
        <w:rPr>
          <w:rFonts w:cstheme="minorHAnsi"/>
          <w:color w:val="7F7F7F" w:themeColor="text1" w:themeTint="80"/>
          <w:spacing w:val="-3"/>
          <w:sz w:val="24"/>
          <w:szCs w:val="24"/>
          <w:lang w:val="en-GB"/>
        </w:rPr>
        <w:t xml:space="preserve">HRK </w:t>
      </w:r>
      <w:r w:rsidRPr="0005777B">
        <w:rPr>
          <w:rFonts w:cstheme="minorHAnsi"/>
          <w:color w:val="7F7F7F" w:themeColor="text1" w:themeTint="80"/>
          <w:spacing w:val="-3"/>
          <w:sz w:val="24"/>
          <w:szCs w:val="24"/>
          <w:lang w:val="en-GB"/>
        </w:rPr>
        <w:t>a</w:t>
      </w:r>
      <w:r w:rsidR="00042B54" w:rsidRPr="0005777B">
        <w:rPr>
          <w:rFonts w:cstheme="minorHAnsi"/>
          <w:color w:val="7F7F7F" w:themeColor="text1" w:themeTint="80"/>
          <w:spacing w:val="-3"/>
          <w:sz w:val="24"/>
          <w:szCs w:val="24"/>
          <w:lang w:val="en-GB"/>
        </w:rPr>
        <w:t>p</w:t>
      </w:r>
      <w:r w:rsidRPr="0005777B">
        <w:rPr>
          <w:rFonts w:cstheme="minorHAnsi"/>
          <w:color w:val="7F7F7F" w:themeColor="text1" w:themeTint="80"/>
          <w:spacing w:val="-3"/>
          <w:sz w:val="24"/>
          <w:szCs w:val="24"/>
          <w:lang w:val="en-GB"/>
        </w:rPr>
        <w:t>precia</w:t>
      </w:r>
      <w:r w:rsidR="00042B54" w:rsidRPr="0005777B">
        <w:rPr>
          <w:rFonts w:cstheme="minorHAnsi"/>
          <w:color w:val="7F7F7F" w:themeColor="text1" w:themeTint="80"/>
          <w:spacing w:val="-3"/>
          <w:sz w:val="24"/>
          <w:szCs w:val="24"/>
          <w:lang w:val="en-GB"/>
        </w:rPr>
        <w:t>t</w:t>
      </w:r>
      <w:r w:rsidRPr="0005777B">
        <w:rPr>
          <w:rFonts w:cstheme="minorHAnsi"/>
          <w:color w:val="7F7F7F" w:themeColor="text1" w:themeTint="80"/>
          <w:spacing w:val="-3"/>
          <w:sz w:val="24"/>
          <w:szCs w:val="24"/>
          <w:lang w:val="en-GB"/>
        </w:rPr>
        <w:t>i</w:t>
      </w:r>
      <w:r w:rsidR="00042B54" w:rsidRPr="0005777B">
        <w:rPr>
          <w:rFonts w:cstheme="minorHAnsi"/>
          <w:color w:val="7F7F7F" w:themeColor="text1" w:themeTint="80"/>
          <w:spacing w:val="-3"/>
          <w:sz w:val="24"/>
          <w:szCs w:val="24"/>
          <w:lang w:val="en-GB"/>
        </w:rPr>
        <w:t>on</w:t>
      </w:r>
      <w:r w:rsidRPr="0005777B">
        <w:rPr>
          <w:rFonts w:cstheme="minorHAnsi"/>
          <w:color w:val="7F7F7F" w:themeColor="text1" w:themeTint="80"/>
          <w:spacing w:val="-3"/>
          <w:sz w:val="24"/>
          <w:szCs w:val="24"/>
          <w:lang w:val="en-GB"/>
        </w:rPr>
        <w:t xml:space="preserve"> </w:t>
      </w:r>
      <w:r w:rsidR="001729F4">
        <w:rPr>
          <w:rFonts w:cstheme="minorHAnsi"/>
          <w:color w:val="7F7F7F" w:themeColor="text1" w:themeTint="80"/>
          <w:spacing w:val="-3"/>
          <w:sz w:val="24"/>
          <w:szCs w:val="24"/>
          <w:lang w:val="en-GB"/>
        </w:rPr>
        <w:t>30.6</w:t>
      </w:r>
      <w:r w:rsidRPr="0005777B">
        <w:rPr>
          <w:rFonts w:cstheme="minorHAnsi"/>
          <w:color w:val="7F7F7F" w:themeColor="text1" w:themeTint="80"/>
          <w:spacing w:val="-3"/>
          <w:sz w:val="24"/>
          <w:szCs w:val="24"/>
          <w:lang w:val="en-GB"/>
        </w:rPr>
        <w:t>.</w:t>
      </w:r>
      <w:r w:rsidR="002B1A0D" w:rsidRPr="0005777B">
        <w:rPr>
          <w:rFonts w:cstheme="minorHAnsi"/>
          <w:color w:val="7F7F7F" w:themeColor="text1" w:themeTint="80"/>
          <w:spacing w:val="-3"/>
          <w:sz w:val="24"/>
          <w:szCs w:val="24"/>
          <w:lang w:val="en-GB"/>
        </w:rPr>
        <w:t>2017</w:t>
      </w:r>
      <w:r w:rsidRPr="0005777B">
        <w:rPr>
          <w:rFonts w:cstheme="minorHAnsi"/>
          <w:color w:val="7F7F7F" w:themeColor="text1" w:themeTint="80"/>
          <w:spacing w:val="-3"/>
          <w:sz w:val="24"/>
          <w:szCs w:val="24"/>
          <w:lang w:val="en-GB"/>
        </w:rPr>
        <w:t>/31.12.</w:t>
      </w:r>
      <w:r w:rsidR="002B1A0D" w:rsidRPr="0005777B">
        <w:rPr>
          <w:rFonts w:cstheme="minorHAnsi"/>
          <w:color w:val="7F7F7F" w:themeColor="text1" w:themeTint="80"/>
          <w:spacing w:val="-3"/>
          <w:sz w:val="24"/>
          <w:szCs w:val="24"/>
          <w:lang w:val="en-GB"/>
        </w:rPr>
        <w:t>2016</w:t>
      </w:r>
      <w:r w:rsidRPr="0005777B">
        <w:rPr>
          <w:rFonts w:cstheme="minorHAnsi"/>
          <w:color w:val="7F7F7F" w:themeColor="text1" w:themeTint="80"/>
          <w:spacing w:val="-3"/>
          <w:sz w:val="24"/>
          <w:szCs w:val="24"/>
          <w:lang w:val="en-GB"/>
        </w:rPr>
        <w:tab/>
        <w:t xml:space="preserve">   A</w:t>
      </w:r>
      <w:r w:rsidRPr="0005777B">
        <w:rPr>
          <w:rFonts w:cstheme="minorHAnsi"/>
          <w:color w:val="7F7F7F" w:themeColor="text1" w:themeTint="80"/>
          <w:spacing w:val="-3"/>
          <w:sz w:val="24"/>
          <w:szCs w:val="24"/>
          <w:vertAlign w:val="subscript"/>
          <w:lang w:val="en-GB"/>
        </w:rPr>
        <w:t>1</w:t>
      </w:r>
      <w:r w:rsidRPr="0005777B">
        <w:rPr>
          <w:rFonts w:cstheme="minorHAnsi"/>
          <w:color w:val="7F7F7F" w:themeColor="text1" w:themeTint="80"/>
          <w:spacing w:val="-3"/>
          <w:sz w:val="24"/>
          <w:szCs w:val="24"/>
          <w:lang w:val="en-GB"/>
        </w:rPr>
        <w:t xml:space="preserve"> = </w:t>
      </w:r>
      <w:r w:rsidR="00042B54" w:rsidRPr="0005777B">
        <w:rPr>
          <w:rFonts w:cstheme="minorHAnsi"/>
          <w:color w:val="7F7F7F" w:themeColor="text1" w:themeTint="80"/>
          <w:spacing w:val="-3"/>
          <w:sz w:val="24"/>
          <w:szCs w:val="24"/>
          <w:lang w:val="en-GB"/>
        </w:rPr>
        <w:t xml:space="preserve">HRK </w:t>
      </w:r>
      <w:r w:rsidRPr="0005777B">
        <w:rPr>
          <w:rFonts w:cstheme="minorHAnsi"/>
          <w:color w:val="7F7F7F" w:themeColor="text1" w:themeTint="80"/>
          <w:spacing w:val="-3"/>
          <w:sz w:val="24"/>
          <w:szCs w:val="24"/>
          <w:lang w:val="en-GB"/>
        </w:rPr>
        <w:t>a</w:t>
      </w:r>
      <w:r w:rsidR="00042B54" w:rsidRPr="0005777B">
        <w:rPr>
          <w:rFonts w:cstheme="minorHAnsi"/>
          <w:color w:val="7F7F7F" w:themeColor="text1" w:themeTint="80"/>
          <w:spacing w:val="-3"/>
          <w:sz w:val="24"/>
          <w:szCs w:val="24"/>
          <w:lang w:val="en-GB"/>
        </w:rPr>
        <w:t>p</w:t>
      </w:r>
      <w:r w:rsidRPr="0005777B">
        <w:rPr>
          <w:rFonts w:cstheme="minorHAnsi"/>
          <w:color w:val="7F7F7F" w:themeColor="text1" w:themeTint="80"/>
          <w:spacing w:val="-3"/>
          <w:sz w:val="24"/>
          <w:szCs w:val="24"/>
          <w:lang w:val="en-GB"/>
        </w:rPr>
        <w:t>precia</w:t>
      </w:r>
      <w:r w:rsidR="00042B54" w:rsidRPr="0005777B">
        <w:rPr>
          <w:rFonts w:cstheme="minorHAnsi"/>
          <w:color w:val="7F7F7F" w:themeColor="text1" w:themeTint="80"/>
          <w:spacing w:val="-3"/>
          <w:sz w:val="24"/>
          <w:szCs w:val="24"/>
          <w:lang w:val="en-GB"/>
        </w:rPr>
        <w:t>t</w:t>
      </w:r>
      <w:r w:rsidRPr="0005777B">
        <w:rPr>
          <w:rFonts w:cstheme="minorHAnsi"/>
          <w:color w:val="7F7F7F" w:themeColor="text1" w:themeTint="80"/>
          <w:spacing w:val="-3"/>
          <w:sz w:val="24"/>
          <w:szCs w:val="24"/>
          <w:lang w:val="en-GB"/>
        </w:rPr>
        <w:t>i</w:t>
      </w:r>
      <w:r w:rsidR="00042B54" w:rsidRPr="0005777B">
        <w:rPr>
          <w:rFonts w:cstheme="minorHAnsi"/>
          <w:color w:val="7F7F7F" w:themeColor="text1" w:themeTint="80"/>
          <w:spacing w:val="-3"/>
          <w:sz w:val="24"/>
          <w:szCs w:val="24"/>
          <w:lang w:val="en-GB"/>
        </w:rPr>
        <w:t>on</w:t>
      </w:r>
      <w:r w:rsidRPr="0005777B">
        <w:rPr>
          <w:rFonts w:cstheme="minorHAnsi"/>
          <w:color w:val="7F7F7F" w:themeColor="text1" w:themeTint="80"/>
          <w:spacing w:val="-3"/>
          <w:sz w:val="24"/>
          <w:szCs w:val="24"/>
          <w:lang w:val="en-GB"/>
        </w:rPr>
        <w:t xml:space="preserve"> </w:t>
      </w:r>
      <w:r w:rsidR="00CA0D6F">
        <w:rPr>
          <w:rFonts w:cstheme="minorHAnsi"/>
          <w:color w:val="7F7F7F" w:themeColor="text1" w:themeTint="80"/>
          <w:spacing w:val="-3"/>
          <w:sz w:val="24"/>
          <w:szCs w:val="24"/>
          <w:lang w:val="en-GB"/>
        </w:rPr>
        <w:t>30.6</w:t>
      </w:r>
      <w:r w:rsidRPr="0005777B">
        <w:rPr>
          <w:rFonts w:cstheme="minorHAnsi"/>
          <w:color w:val="7F7F7F" w:themeColor="text1" w:themeTint="80"/>
          <w:spacing w:val="-3"/>
          <w:sz w:val="24"/>
          <w:szCs w:val="24"/>
          <w:lang w:val="en-GB"/>
        </w:rPr>
        <w:t>.</w:t>
      </w:r>
      <w:r w:rsidR="00DE2D21" w:rsidRPr="0005777B">
        <w:rPr>
          <w:rFonts w:cstheme="minorHAnsi"/>
          <w:color w:val="7F7F7F" w:themeColor="text1" w:themeTint="80"/>
          <w:spacing w:val="-3"/>
          <w:sz w:val="24"/>
          <w:szCs w:val="24"/>
          <w:lang w:val="en-GB"/>
        </w:rPr>
        <w:t>2017</w:t>
      </w:r>
      <w:r w:rsidRPr="0005777B">
        <w:rPr>
          <w:rFonts w:cstheme="minorHAnsi"/>
          <w:color w:val="7F7F7F" w:themeColor="text1" w:themeTint="80"/>
          <w:spacing w:val="-3"/>
          <w:sz w:val="24"/>
          <w:szCs w:val="24"/>
          <w:lang w:val="en-GB"/>
        </w:rPr>
        <w:t>/31.12.201</w:t>
      </w:r>
      <w:r w:rsidR="00DE2D21" w:rsidRPr="0005777B">
        <w:rPr>
          <w:rFonts w:cstheme="minorHAnsi"/>
          <w:color w:val="7F7F7F" w:themeColor="text1" w:themeTint="80"/>
          <w:spacing w:val="-3"/>
          <w:sz w:val="24"/>
          <w:szCs w:val="24"/>
          <w:lang w:val="en-GB"/>
        </w:rPr>
        <w:t>6</w:t>
      </w:r>
    </w:p>
    <w:p w:rsidR="00BF17D9" w:rsidRPr="0005777B"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4"/>
          <w:szCs w:val="24"/>
          <w:lang w:val="en-GB"/>
        </w:rPr>
      </w:pPr>
      <w:r w:rsidRPr="0005777B">
        <w:rPr>
          <w:rFonts w:cstheme="minorHAnsi"/>
          <w:color w:val="7F7F7F" w:themeColor="text1" w:themeTint="80"/>
          <w:spacing w:val="-3"/>
          <w:sz w:val="24"/>
          <w:szCs w:val="24"/>
          <w:lang w:val="en-GB"/>
        </w:rPr>
        <w:t xml:space="preserve">  A</w:t>
      </w:r>
      <w:r w:rsidRPr="0005777B">
        <w:rPr>
          <w:rFonts w:cstheme="minorHAnsi"/>
          <w:color w:val="7F7F7F" w:themeColor="text1" w:themeTint="80"/>
          <w:spacing w:val="-3"/>
          <w:sz w:val="24"/>
          <w:szCs w:val="24"/>
          <w:vertAlign w:val="subscript"/>
          <w:lang w:val="en-GB"/>
        </w:rPr>
        <w:t>2</w:t>
      </w:r>
      <w:r w:rsidRPr="0005777B">
        <w:rPr>
          <w:rFonts w:cstheme="minorHAnsi"/>
          <w:color w:val="7F7F7F" w:themeColor="text1" w:themeTint="80"/>
          <w:spacing w:val="-3"/>
          <w:sz w:val="24"/>
          <w:szCs w:val="24"/>
          <w:lang w:val="en-GB"/>
        </w:rPr>
        <w:t xml:space="preserve"> = </w:t>
      </w:r>
      <w:r w:rsidR="00042B54" w:rsidRPr="0005777B">
        <w:rPr>
          <w:rFonts w:cstheme="minorHAnsi"/>
          <w:color w:val="7F7F7F" w:themeColor="text1" w:themeTint="80"/>
          <w:spacing w:val="-3"/>
          <w:sz w:val="24"/>
          <w:szCs w:val="24"/>
          <w:lang w:val="en-GB"/>
        </w:rPr>
        <w:t xml:space="preserve">HRK </w:t>
      </w:r>
      <w:r w:rsidRPr="0005777B">
        <w:rPr>
          <w:rFonts w:cstheme="minorHAnsi"/>
          <w:color w:val="7F7F7F" w:themeColor="text1" w:themeTint="80"/>
          <w:spacing w:val="-3"/>
          <w:sz w:val="24"/>
          <w:szCs w:val="24"/>
          <w:lang w:val="en-GB"/>
        </w:rPr>
        <w:t>ap</w:t>
      </w:r>
      <w:r w:rsidR="00042B54" w:rsidRPr="0005777B">
        <w:rPr>
          <w:rFonts w:cstheme="minorHAnsi"/>
          <w:color w:val="7F7F7F" w:themeColor="text1" w:themeTint="80"/>
          <w:spacing w:val="-3"/>
          <w:sz w:val="24"/>
          <w:szCs w:val="24"/>
          <w:lang w:val="en-GB"/>
        </w:rPr>
        <w:t>p</w:t>
      </w:r>
      <w:r w:rsidRPr="0005777B">
        <w:rPr>
          <w:rFonts w:cstheme="minorHAnsi"/>
          <w:color w:val="7F7F7F" w:themeColor="text1" w:themeTint="80"/>
          <w:spacing w:val="-3"/>
          <w:sz w:val="24"/>
          <w:szCs w:val="24"/>
          <w:lang w:val="en-GB"/>
        </w:rPr>
        <w:t>recia</w:t>
      </w:r>
      <w:r w:rsidR="00042B54" w:rsidRPr="0005777B">
        <w:rPr>
          <w:rFonts w:cstheme="minorHAnsi"/>
          <w:color w:val="7F7F7F" w:themeColor="text1" w:themeTint="80"/>
          <w:spacing w:val="-3"/>
          <w:sz w:val="24"/>
          <w:szCs w:val="24"/>
          <w:lang w:val="en-GB"/>
        </w:rPr>
        <w:t>t</w:t>
      </w:r>
      <w:r w:rsidRPr="0005777B">
        <w:rPr>
          <w:rFonts w:cstheme="minorHAnsi"/>
          <w:color w:val="7F7F7F" w:themeColor="text1" w:themeTint="80"/>
          <w:spacing w:val="-3"/>
          <w:sz w:val="24"/>
          <w:szCs w:val="24"/>
          <w:lang w:val="en-GB"/>
        </w:rPr>
        <w:t>i</w:t>
      </w:r>
      <w:r w:rsidR="00042B54" w:rsidRPr="0005777B">
        <w:rPr>
          <w:rFonts w:cstheme="minorHAnsi"/>
          <w:color w:val="7F7F7F" w:themeColor="text1" w:themeTint="80"/>
          <w:spacing w:val="-3"/>
          <w:sz w:val="24"/>
          <w:szCs w:val="24"/>
          <w:lang w:val="en-GB"/>
        </w:rPr>
        <w:t xml:space="preserve">on </w:t>
      </w:r>
      <w:r w:rsidR="00CA0D6F">
        <w:rPr>
          <w:rFonts w:cstheme="minorHAnsi"/>
          <w:color w:val="7F7F7F" w:themeColor="text1" w:themeTint="80"/>
          <w:spacing w:val="-3"/>
          <w:sz w:val="24"/>
          <w:szCs w:val="24"/>
          <w:lang w:val="en-GB"/>
        </w:rPr>
        <w:t>30.6</w:t>
      </w:r>
      <w:r w:rsidRPr="0005777B">
        <w:rPr>
          <w:rFonts w:cstheme="minorHAnsi"/>
          <w:color w:val="7F7F7F" w:themeColor="text1" w:themeTint="80"/>
          <w:spacing w:val="-3"/>
          <w:sz w:val="24"/>
          <w:szCs w:val="24"/>
          <w:lang w:val="en-GB"/>
        </w:rPr>
        <w:t>.</w:t>
      </w:r>
      <w:r w:rsidR="002B1A0D" w:rsidRPr="0005777B">
        <w:rPr>
          <w:rFonts w:cstheme="minorHAnsi"/>
          <w:color w:val="7F7F7F" w:themeColor="text1" w:themeTint="80"/>
          <w:spacing w:val="-3"/>
          <w:sz w:val="24"/>
          <w:szCs w:val="24"/>
          <w:lang w:val="en-GB"/>
        </w:rPr>
        <w:t>2017</w:t>
      </w:r>
      <w:r w:rsidRPr="0005777B">
        <w:rPr>
          <w:rFonts w:cstheme="minorHAnsi"/>
          <w:color w:val="7F7F7F" w:themeColor="text1" w:themeTint="80"/>
          <w:spacing w:val="-3"/>
          <w:sz w:val="24"/>
          <w:szCs w:val="24"/>
          <w:lang w:val="en-GB"/>
        </w:rPr>
        <w:t>/</w:t>
      </w:r>
      <w:r w:rsidR="00CA0D6F">
        <w:rPr>
          <w:rFonts w:cstheme="minorHAnsi"/>
          <w:color w:val="7F7F7F" w:themeColor="text1" w:themeTint="80"/>
          <w:spacing w:val="-3"/>
          <w:sz w:val="24"/>
          <w:szCs w:val="24"/>
          <w:lang w:val="en-GB"/>
        </w:rPr>
        <w:t>30.6</w:t>
      </w:r>
      <w:r w:rsidRPr="0005777B">
        <w:rPr>
          <w:rFonts w:cstheme="minorHAnsi"/>
          <w:color w:val="7F7F7F" w:themeColor="text1" w:themeTint="80"/>
          <w:spacing w:val="-3"/>
          <w:sz w:val="24"/>
          <w:szCs w:val="24"/>
          <w:lang w:val="en-GB"/>
        </w:rPr>
        <w:t>.</w:t>
      </w:r>
      <w:r w:rsidR="002B1A0D" w:rsidRPr="0005777B">
        <w:rPr>
          <w:rFonts w:cstheme="minorHAnsi"/>
          <w:color w:val="7F7F7F" w:themeColor="text1" w:themeTint="80"/>
          <w:spacing w:val="-3"/>
          <w:sz w:val="24"/>
          <w:szCs w:val="24"/>
          <w:lang w:val="en-GB"/>
        </w:rPr>
        <w:t>2016</w:t>
      </w:r>
      <w:r w:rsidRPr="0005777B">
        <w:rPr>
          <w:rFonts w:cstheme="minorHAnsi"/>
          <w:color w:val="7F7F7F" w:themeColor="text1" w:themeTint="80"/>
          <w:spacing w:val="-3"/>
          <w:sz w:val="24"/>
          <w:szCs w:val="24"/>
          <w:lang w:val="en-GB"/>
        </w:rPr>
        <w:tab/>
      </w:r>
      <w:r w:rsidR="00A9534E" w:rsidRPr="0005777B">
        <w:rPr>
          <w:rFonts w:cstheme="minorHAnsi"/>
          <w:color w:val="7F7F7F" w:themeColor="text1" w:themeTint="80"/>
          <w:spacing w:val="-3"/>
          <w:sz w:val="24"/>
          <w:szCs w:val="24"/>
          <w:lang w:val="en-GB"/>
        </w:rPr>
        <w:t xml:space="preserve">  </w:t>
      </w:r>
      <w:r w:rsidR="000F5F05">
        <w:rPr>
          <w:rFonts w:cstheme="minorHAnsi"/>
          <w:color w:val="7F7F7F" w:themeColor="text1" w:themeTint="80"/>
          <w:spacing w:val="-3"/>
          <w:sz w:val="24"/>
          <w:szCs w:val="24"/>
          <w:lang w:val="en-GB"/>
        </w:rPr>
        <w:t xml:space="preserve"> </w:t>
      </w:r>
      <w:r w:rsidR="00A9534E" w:rsidRPr="0005777B">
        <w:rPr>
          <w:rFonts w:cstheme="minorHAnsi"/>
          <w:color w:val="7F7F7F" w:themeColor="text1" w:themeTint="80"/>
          <w:spacing w:val="-3"/>
          <w:sz w:val="24"/>
          <w:szCs w:val="24"/>
          <w:lang w:val="en-GB"/>
        </w:rPr>
        <w:t>A</w:t>
      </w:r>
      <w:r w:rsidR="00A9534E" w:rsidRPr="0005777B">
        <w:rPr>
          <w:rFonts w:cstheme="minorHAnsi"/>
          <w:color w:val="7F7F7F" w:themeColor="text1" w:themeTint="80"/>
          <w:spacing w:val="-3"/>
          <w:sz w:val="24"/>
          <w:szCs w:val="24"/>
          <w:vertAlign w:val="subscript"/>
          <w:lang w:val="en-GB"/>
        </w:rPr>
        <w:t>2</w:t>
      </w:r>
      <w:r w:rsidR="00A9534E" w:rsidRPr="0005777B">
        <w:rPr>
          <w:rFonts w:cstheme="minorHAnsi"/>
          <w:color w:val="7F7F7F" w:themeColor="text1" w:themeTint="80"/>
          <w:spacing w:val="-3"/>
          <w:sz w:val="24"/>
          <w:szCs w:val="24"/>
          <w:lang w:val="en-GB"/>
        </w:rPr>
        <w:t xml:space="preserve"> = </w:t>
      </w:r>
      <w:r w:rsidR="00042B54" w:rsidRPr="0005777B">
        <w:rPr>
          <w:rFonts w:cstheme="minorHAnsi"/>
          <w:color w:val="7F7F7F" w:themeColor="text1" w:themeTint="80"/>
          <w:spacing w:val="-3"/>
          <w:sz w:val="24"/>
          <w:szCs w:val="24"/>
          <w:lang w:val="en-GB"/>
        </w:rPr>
        <w:t xml:space="preserve">HRK </w:t>
      </w:r>
      <w:r w:rsidR="00CA0D6F">
        <w:rPr>
          <w:rFonts w:cstheme="minorHAnsi"/>
          <w:color w:val="7F7F7F" w:themeColor="text1" w:themeTint="80"/>
          <w:spacing w:val="-3"/>
          <w:sz w:val="24"/>
          <w:szCs w:val="24"/>
          <w:lang w:val="en-GB"/>
        </w:rPr>
        <w:t>appreciation</w:t>
      </w:r>
      <w:r w:rsidR="00CA0D6F" w:rsidRPr="0005777B">
        <w:rPr>
          <w:rFonts w:cstheme="minorHAnsi"/>
          <w:color w:val="7F7F7F" w:themeColor="text1" w:themeTint="80"/>
          <w:spacing w:val="-3"/>
          <w:sz w:val="24"/>
          <w:szCs w:val="24"/>
          <w:lang w:val="en-GB"/>
        </w:rPr>
        <w:t xml:space="preserve"> </w:t>
      </w:r>
      <w:r w:rsidR="00CA0D6F">
        <w:rPr>
          <w:rFonts w:cstheme="minorHAnsi"/>
          <w:color w:val="7F7F7F" w:themeColor="text1" w:themeTint="80"/>
          <w:spacing w:val="-3"/>
          <w:sz w:val="24"/>
          <w:szCs w:val="24"/>
          <w:lang w:val="en-GB"/>
        </w:rPr>
        <w:t>30</w:t>
      </w:r>
      <w:r w:rsidRPr="0005777B">
        <w:rPr>
          <w:rFonts w:cstheme="minorHAnsi"/>
          <w:color w:val="7F7F7F" w:themeColor="text1" w:themeTint="80"/>
          <w:spacing w:val="-3"/>
          <w:sz w:val="24"/>
          <w:szCs w:val="24"/>
          <w:lang w:val="en-GB"/>
        </w:rPr>
        <w:t>.</w:t>
      </w:r>
      <w:r w:rsidR="00CA0D6F">
        <w:rPr>
          <w:rFonts w:cstheme="minorHAnsi"/>
          <w:color w:val="7F7F7F" w:themeColor="text1" w:themeTint="80"/>
          <w:spacing w:val="-3"/>
          <w:sz w:val="24"/>
          <w:szCs w:val="24"/>
          <w:lang w:val="en-GB"/>
        </w:rPr>
        <w:t>6</w:t>
      </w:r>
      <w:r w:rsidRPr="0005777B">
        <w:rPr>
          <w:rFonts w:cstheme="minorHAnsi"/>
          <w:color w:val="7F7F7F" w:themeColor="text1" w:themeTint="80"/>
          <w:spacing w:val="-3"/>
          <w:sz w:val="24"/>
          <w:szCs w:val="24"/>
          <w:lang w:val="en-GB"/>
        </w:rPr>
        <w:t>.</w:t>
      </w:r>
      <w:r w:rsidR="00DE2D21" w:rsidRPr="0005777B">
        <w:rPr>
          <w:rFonts w:cstheme="minorHAnsi"/>
          <w:color w:val="7F7F7F" w:themeColor="text1" w:themeTint="80"/>
          <w:spacing w:val="-3"/>
          <w:sz w:val="24"/>
          <w:szCs w:val="24"/>
          <w:lang w:val="en-GB"/>
        </w:rPr>
        <w:t>2017</w:t>
      </w:r>
      <w:r w:rsidRPr="0005777B">
        <w:rPr>
          <w:rFonts w:cstheme="minorHAnsi"/>
          <w:color w:val="7F7F7F" w:themeColor="text1" w:themeTint="80"/>
          <w:spacing w:val="-3"/>
          <w:sz w:val="24"/>
          <w:szCs w:val="24"/>
          <w:lang w:val="en-GB"/>
        </w:rPr>
        <w:t>/</w:t>
      </w:r>
      <w:r w:rsidR="00CA0D6F">
        <w:rPr>
          <w:rFonts w:cstheme="minorHAnsi"/>
          <w:color w:val="7F7F7F" w:themeColor="text1" w:themeTint="80"/>
          <w:spacing w:val="-3"/>
          <w:sz w:val="24"/>
          <w:szCs w:val="24"/>
          <w:lang w:val="en-GB"/>
        </w:rPr>
        <w:t>30</w:t>
      </w:r>
      <w:r w:rsidRPr="0005777B">
        <w:rPr>
          <w:rFonts w:cstheme="minorHAnsi"/>
          <w:color w:val="7F7F7F" w:themeColor="text1" w:themeTint="80"/>
          <w:spacing w:val="-3"/>
          <w:sz w:val="24"/>
          <w:szCs w:val="24"/>
          <w:lang w:val="en-GB"/>
        </w:rPr>
        <w:t>.</w:t>
      </w:r>
      <w:r w:rsidR="00CA0D6F">
        <w:rPr>
          <w:rFonts w:cstheme="minorHAnsi"/>
          <w:color w:val="7F7F7F" w:themeColor="text1" w:themeTint="80"/>
          <w:spacing w:val="-3"/>
          <w:sz w:val="24"/>
          <w:szCs w:val="24"/>
          <w:lang w:val="en-GB"/>
        </w:rPr>
        <w:t>6</w:t>
      </w:r>
      <w:r w:rsidRPr="0005777B">
        <w:rPr>
          <w:rFonts w:cstheme="minorHAnsi"/>
          <w:color w:val="7F7F7F" w:themeColor="text1" w:themeTint="80"/>
          <w:spacing w:val="-3"/>
          <w:sz w:val="24"/>
          <w:szCs w:val="24"/>
          <w:lang w:val="en-GB"/>
        </w:rPr>
        <w:t>.</w:t>
      </w:r>
      <w:r w:rsidR="00DE2D21" w:rsidRPr="0005777B">
        <w:rPr>
          <w:rFonts w:cstheme="minorHAnsi"/>
          <w:color w:val="7F7F7F" w:themeColor="text1" w:themeTint="80"/>
          <w:spacing w:val="-3"/>
          <w:sz w:val="24"/>
          <w:szCs w:val="24"/>
          <w:lang w:val="en-GB"/>
        </w:rPr>
        <w:t>2016</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BF17D9" w:rsidRPr="0005777B" w:rsidRDefault="00FD1BF7"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5777B">
        <w:rPr>
          <w:rFonts w:cstheme="minorHAnsi"/>
          <w:spacing w:val="-3"/>
          <w:sz w:val="24"/>
          <w:szCs w:val="24"/>
          <w:lang w:val="en-GB"/>
        </w:rPr>
        <w:t xml:space="preserve">. </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BF17D9" w:rsidRPr="0005777B" w:rsidRDefault="00FD1BF7"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Foreign currency revenues and expenditures are converted in accordance with the exchange rate at the transaction date. The resulting foreign exchange gains or losses are recorded in the Statement of Profit or Loss and Other Comprehensive Income in net figures</w:t>
      </w:r>
      <w:r w:rsidR="00BF17D9" w:rsidRPr="0005777B">
        <w:rPr>
          <w:rFonts w:cstheme="minorHAnsi"/>
          <w:spacing w:val="-3"/>
          <w:sz w:val="24"/>
          <w:szCs w:val="24"/>
          <w:lang w:val="en-GB"/>
        </w:rPr>
        <w:t>.</w:t>
      </w:r>
    </w:p>
    <w:p w:rsidR="00BF17D9" w:rsidRPr="0005777B" w:rsidRDefault="00BF17D9" w:rsidP="00BF17D9">
      <w:pPr>
        <w:spacing w:after="0" w:line="240" w:lineRule="auto"/>
        <w:jc w:val="both"/>
        <w:rPr>
          <w:rFonts w:eastAsia="Times New Roman" w:cs="Calibri"/>
          <w:b/>
          <w:i/>
          <w:sz w:val="24"/>
          <w:szCs w:val="24"/>
          <w:lang w:val="en-GB" w:eastAsia="hr-HR"/>
        </w:rPr>
        <w:sectPr w:rsidR="00BF17D9" w:rsidRPr="0005777B">
          <w:footerReference w:type="default" r:id="rId32"/>
          <w:pgSz w:w="11906" w:h="16838"/>
          <w:pgMar w:top="1417" w:right="1417" w:bottom="1417" w:left="1417" w:header="708" w:footer="708" w:gutter="0"/>
          <w:cols w:space="708"/>
          <w:docGrid w:linePitch="360"/>
        </w:sectPr>
      </w:pPr>
    </w:p>
    <w:p w:rsidR="00BF17D9" w:rsidRPr="0005777B" w:rsidRDefault="00BF17D9" w:rsidP="00BF17D9">
      <w:pPr>
        <w:spacing w:after="0" w:line="240" w:lineRule="auto"/>
        <w:jc w:val="both"/>
        <w:rPr>
          <w:rFonts w:eastAsia="Times New Roman" w:cs="Calibri"/>
          <w:b/>
          <w:i/>
          <w:sz w:val="24"/>
          <w:szCs w:val="24"/>
          <w:lang w:val="en-GB" w:eastAsia="hr-HR"/>
        </w:rPr>
      </w:pPr>
      <w:r w:rsidRPr="0005777B">
        <w:rPr>
          <w:rFonts w:eastAsia="Times New Roman" w:cs="Calibri"/>
          <w:b/>
          <w:i/>
          <w:sz w:val="24"/>
          <w:szCs w:val="24"/>
          <w:lang w:val="en-GB" w:eastAsia="hr-HR"/>
        </w:rPr>
        <w:t>Operat</w:t>
      </w:r>
      <w:r w:rsidR="00FD1BF7" w:rsidRPr="0005777B">
        <w:rPr>
          <w:rFonts w:eastAsia="Times New Roman" w:cs="Calibri"/>
          <w:b/>
          <w:i/>
          <w:sz w:val="24"/>
          <w:szCs w:val="24"/>
          <w:lang w:val="en-GB" w:eastAsia="hr-HR"/>
        </w:rPr>
        <w:t>ing expenses</w:t>
      </w:r>
    </w:p>
    <w:p w:rsidR="00BF17D9" w:rsidRPr="0005777B" w:rsidRDefault="00BF17D9" w:rsidP="00BF17D9">
      <w:pPr>
        <w:spacing w:after="0" w:line="240" w:lineRule="auto"/>
        <w:jc w:val="both"/>
        <w:rPr>
          <w:rFonts w:eastAsia="Times New Roman" w:cs="Calibri"/>
          <w:b/>
          <w:sz w:val="24"/>
          <w:szCs w:val="24"/>
          <w:lang w:val="en-GB" w:eastAsia="hr-HR"/>
        </w:rPr>
      </w:pP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O</w:t>
      </w:r>
      <w:r w:rsidR="00FD1BF7" w:rsidRPr="0005777B">
        <w:rPr>
          <w:rFonts w:cstheme="minorHAnsi"/>
          <w:spacing w:val="-3"/>
          <w:sz w:val="24"/>
          <w:szCs w:val="24"/>
          <w:lang w:val="en-GB"/>
        </w:rPr>
        <w:t xml:space="preserve">perating expenses that include general and administrative expenses and other operating expenses stood at HRK </w:t>
      </w:r>
      <w:r w:rsidR="002E7237">
        <w:rPr>
          <w:rFonts w:cstheme="minorHAnsi"/>
          <w:spacing w:val="-3"/>
          <w:sz w:val="24"/>
          <w:szCs w:val="24"/>
          <w:lang w:val="en-GB"/>
        </w:rPr>
        <w:t>74</w:t>
      </w:r>
      <w:r w:rsidR="00837600" w:rsidRPr="0005777B">
        <w:rPr>
          <w:rFonts w:cstheme="minorHAnsi"/>
          <w:spacing w:val="-3"/>
          <w:sz w:val="24"/>
          <w:szCs w:val="24"/>
          <w:lang w:val="en-GB"/>
        </w:rPr>
        <w:t>.</w:t>
      </w:r>
      <w:r w:rsidR="002E7237">
        <w:rPr>
          <w:rFonts w:cstheme="minorHAnsi"/>
          <w:spacing w:val="-3"/>
          <w:sz w:val="24"/>
          <w:szCs w:val="24"/>
          <w:lang w:val="en-GB"/>
        </w:rPr>
        <w:t>13</w:t>
      </w:r>
      <w:r w:rsidR="00837600" w:rsidRPr="0005777B">
        <w:rPr>
          <w:rFonts w:cstheme="minorHAnsi"/>
          <w:spacing w:val="-3"/>
          <w:sz w:val="24"/>
          <w:szCs w:val="24"/>
          <w:lang w:val="en-GB"/>
        </w:rPr>
        <w:t xml:space="preserve"> million, a decrease of </w:t>
      </w:r>
      <w:r w:rsidR="002E7237">
        <w:rPr>
          <w:rFonts w:cstheme="minorHAnsi"/>
          <w:spacing w:val="-3"/>
          <w:sz w:val="24"/>
          <w:szCs w:val="24"/>
          <w:lang w:val="en-GB"/>
        </w:rPr>
        <w:t>3</w:t>
      </w:r>
      <w:r w:rsidR="00837600" w:rsidRPr="0005777B">
        <w:rPr>
          <w:rFonts w:cstheme="minorHAnsi"/>
          <w:spacing w:val="-3"/>
          <w:sz w:val="24"/>
          <w:szCs w:val="24"/>
          <w:lang w:val="en-GB"/>
        </w:rPr>
        <w:t>.</w:t>
      </w:r>
      <w:r w:rsidR="002E7237">
        <w:rPr>
          <w:rFonts w:cstheme="minorHAnsi"/>
          <w:spacing w:val="-3"/>
          <w:sz w:val="24"/>
          <w:szCs w:val="24"/>
          <w:lang w:val="en-GB"/>
        </w:rPr>
        <w:t>79</w:t>
      </w:r>
      <w:r w:rsidR="00A3128E" w:rsidRPr="0005777B">
        <w:rPr>
          <w:rFonts w:cstheme="minorHAnsi"/>
          <w:spacing w:val="-3"/>
          <w:sz w:val="24"/>
          <w:szCs w:val="24"/>
          <w:lang w:val="en-GB"/>
        </w:rPr>
        <w:t xml:space="preserve"> p</w:t>
      </w:r>
      <w:r w:rsidR="00837600" w:rsidRPr="0005777B">
        <w:rPr>
          <w:rFonts w:cstheme="minorHAnsi"/>
          <w:spacing w:val="-3"/>
          <w:sz w:val="24"/>
          <w:szCs w:val="24"/>
          <w:lang w:val="en-GB"/>
        </w:rPr>
        <w:t xml:space="preserve">ercent compared with the </w:t>
      </w:r>
      <w:r w:rsidR="002E7237">
        <w:rPr>
          <w:rFonts w:cstheme="minorHAnsi"/>
          <w:spacing w:val="-3"/>
          <w:sz w:val="24"/>
          <w:szCs w:val="24"/>
          <w:lang w:val="en-GB"/>
        </w:rPr>
        <w:t xml:space="preserve">same period </w:t>
      </w:r>
      <w:r w:rsidR="00837600" w:rsidRPr="0005777B">
        <w:rPr>
          <w:rFonts w:cstheme="minorHAnsi"/>
          <w:spacing w:val="-3"/>
          <w:sz w:val="24"/>
          <w:szCs w:val="24"/>
          <w:lang w:val="en-GB"/>
        </w:rPr>
        <w:t>previous year</w:t>
      </w:r>
      <w:r w:rsidRPr="0005777B">
        <w:rPr>
          <w:rFonts w:cstheme="minorHAnsi"/>
          <w:spacing w:val="-3"/>
          <w:sz w:val="24"/>
          <w:szCs w:val="24"/>
          <w:lang w:val="en-GB"/>
        </w:rPr>
        <w:t xml:space="preserve">. </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A3128E" w:rsidRPr="0005777B" w:rsidRDefault="00FD1BF7" w:rsidP="00A3128E">
      <w:pPr>
        <w:tabs>
          <w:tab w:val="left" w:pos="-720"/>
          <w:tab w:val="left" w:pos="426"/>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This development is mostly affected by other expenses </w:t>
      </w:r>
      <w:r w:rsidR="00C6152B" w:rsidRPr="0005777B">
        <w:rPr>
          <w:rFonts w:cstheme="minorHAnsi"/>
          <w:spacing w:val="-3"/>
          <w:sz w:val="24"/>
          <w:szCs w:val="24"/>
          <w:lang w:val="en-GB"/>
        </w:rPr>
        <w:t>de</w:t>
      </w:r>
      <w:r w:rsidRPr="0005777B">
        <w:rPr>
          <w:rFonts w:cstheme="minorHAnsi"/>
          <w:spacing w:val="-3"/>
          <w:sz w:val="24"/>
          <w:szCs w:val="24"/>
          <w:lang w:val="en-GB"/>
        </w:rPr>
        <w:t xml:space="preserve">creasing by HRK </w:t>
      </w:r>
      <w:r w:rsidR="007F4BA4">
        <w:rPr>
          <w:rFonts w:cstheme="minorHAnsi"/>
          <w:spacing w:val="-3"/>
          <w:sz w:val="24"/>
          <w:szCs w:val="24"/>
          <w:lang w:val="en-GB"/>
        </w:rPr>
        <w:t>7</w:t>
      </w:r>
      <w:r w:rsidR="00C6152B" w:rsidRPr="0005777B">
        <w:rPr>
          <w:rFonts w:cstheme="minorHAnsi"/>
          <w:spacing w:val="-3"/>
          <w:sz w:val="24"/>
          <w:szCs w:val="24"/>
          <w:lang w:val="en-GB"/>
        </w:rPr>
        <w:t>.</w:t>
      </w:r>
      <w:r w:rsidR="007F4BA4">
        <w:rPr>
          <w:rFonts w:cstheme="minorHAnsi"/>
          <w:spacing w:val="-3"/>
          <w:sz w:val="24"/>
          <w:szCs w:val="24"/>
          <w:lang w:val="en-GB"/>
        </w:rPr>
        <w:t>33</w:t>
      </w:r>
      <w:r w:rsidR="00C6152B" w:rsidRPr="0005777B">
        <w:rPr>
          <w:rFonts w:cstheme="minorHAnsi"/>
          <w:spacing w:val="-3"/>
          <w:sz w:val="24"/>
          <w:szCs w:val="24"/>
          <w:lang w:val="en-GB"/>
        </w:rPr>
        <w:t xml:space="preserve"> million </w:t>
      </w:r>
      <w:r w:rsidRPr="0005777B">
        <w:rPr>
          <w:rFonts w:cstheme="minorHAnsi"/>
          <w:spacing w:val="-3"/>
          <w:sz w:val="24"/>
          <w:szCs w:val="24"/>
          <w:lang w:val="en-GB"/>
        </w:rPr>
        <w:t xml:space="preserve">compared with the </w:t>
      </w:r>
      <w:r w:rsidR="00C6152B" w:rsidRPr="0005777B">
        <w:rPr>
          <w:rFonts w:cstheme="minorHAnsi"/>
          <w:spacing w:val="-3"/>
          <w:sz w:val="24"/>
          <w:szCs w:val="24"/>
          <w:lang w:val="en-GB"/>
        </w:rPr>
        <w:t xml:space="preserve">same period </w:t>
      </w:r>
      <w:r w:rsidRPr="0005777B">
        <w:rPr>
          <w:rFonts w:cstheme="minorHAnsi"/>
          <w:spacing w:val="-3"/>
          <w:sz w:val="24"/>
          <w:szCs w:val="24"/>
          <w:lang w:val="en-GB"/>
        </w:rPr>
        <w:t>previous year</w:t>
      </w:r>
      <w:r w:rsidR="00BF17D9" w:rsidRPr="0005777B">
        <w:rPr>
          <w:rFonts w:cstheme="minorHAnsi"/>
          <w:spacing w:val="-3"/>
          <w:sz w:val="24"/>
          <w:szCs w:val="24"/>
          <w:lang w:val="en-GB"/>
        </w:rPr>
        <w:t xml:space="preserve">. </w:t>
      </w:r>
    </w:p>
    <w:p w:rsidR="00A3128E" w:rsidRPr="0005777B" w:rsidRDefault="00FD1BF7" w:rsidP="00A3128E">
      <w:pPr>
        <w:tabs>
          <w:tab w:val="left" w:pos="-720"/>
          <w:tab w:val="left" w:pos="426"/>
        </w:tabs>
        <w:suppressAutoHyphens/>
        <w:spacing w:after="0" w:line="240" w:lineRule="auto"/>
        <w:jc w:val="both"/>
        <w:rPr>
          <w:rFonts w:ascii="Calibri" w:eastAsia="Times New Roman" w:hAnsi="Calibri" w:cs="Arial"/>
          <w:sz w:val="24"/>
          <w:szCs w:val="24"/>
          <w:lang w:val="en-GB" w:eastAsia="hr-HR"/>
        </w:rPr>
      </w:pPr>
      <w:r w:rsidRPr="0005777B">
        <w:rPr>
          <w:rFonts w:cstheme="minorHAnsi"/>
          <w:spacing w:val="-3"/>
          <w:sz w:val="24"/>
          <w:szCs w:val="24"/>
          <w:lang w:val="en-GB"/>
        </w:rPr>
        <w:t xml:space="preserve">This </w:t>
      </w:r>
      <w:r w:rsidR="004A3877" w:rsidRPr="0005777B">
        <w:rPr>
          <w:rFonts w:cstheme="minorHAnsi"/>
          <w:spacing w:val="-3"/>
          <w:sz w:val="24"/>
          <w:szCs w:val="24"/>
          <w:lang w:val="en-GB"/>
        </w:rPr>
        <w:t>de</w:t>
      </w:r>
      <w:r w:rsidRPr="0005777B">
        <w:rPr>
          <w:rFonts w:cstheme="minorHAnsi"/>
          <w:spacing w:val="-3"/>
          <w:sz w:val="24"/>
          <w:szCs w:val="24"/>
          <w:lang w:val="en-GB"/>
        </w:rPr>
        <w:t xml:space="preserve">crease is a result of a </w:t>
      </w:r>
      <w:r w:rsidR="004A3877" w:rsidRPr="0005777B">
        <w:rPr>
          <w:rFonts w:cstheme="minorHAnsi"/>
          <w:spacing w:val="-3"/>
          <w:sz w:val="24"/>
          <w:szCs w:val="24"/>
          <w:lang w:val="en-GB"/>
        </w:rPr>
        <w:t xml:space="preserve">one-off business event in </w:t>
      </w:r>
      <w:r w:rsidR="007F4BA4">
        <w:rPr>
          <w:rFonts w:cstheme="minorHAnsi"/>
          <w:spacing w:val="-3"/>
          <w:sz w:val="24"/>
          <w:szCs w:val="24"/>
          <w:lang w:val="en-GB"/>
        </w:rPr>
        <w:t xml:space="preserve">the first half-year </w:t>
      </w:r>
      <w:r w:rsidR="004A3877" w:rsidRPr="0005777B">
        <w:rPr>
          <w:rFonts w:cstheme="minorHAnsi"/>
          <w:spacing w:val="-3"/>
          <w:sz w:val="24"/>
          <w:szCs w:val="24"/>
          <w:lang w:val="en-GB"/>
        </w:rPr>
        <w:t xml:space="preserve">2016, i.e. a recalculation arising from partial assumption of </w:t>
      </w:r>
      <w:r w:rsidR="00A91F67" w:rsidRPr="0005777B">
        <w:rPr>
          <w:rFonts w:cstheme="minorHAnsi"/>
          <w:spacing w:val="-3"/>
          <w:sz w:val="24"/>
          <w:szCs w:val="24"/>
          <w:lang w:val="en-GB"/>
        </w:rPr>
        <w:t>a</w:t>
      </w:r>
      <w:r w:rsidR="004A3877" w:rsidRPr="0005777B">
        <w:rPr>
          <w:rFonts w:cstheme="minorHAnsi"/>
          <w:spacing w:val="-3"/>
          <w:sz w:val="24"/>
          <w:szCs w:val="24"/>
          <w:lang w:val="en-GB"/>
        </w:rPr>
        <w:t xml:space="preserve"> placement by another debtor resulting in the expense</w:t>
      </w:r>
      <w:r w:rsidR="00F360A9">
        <w:rPr>
          <w:rFonts w:cstheme="minorHAnsi"/>
          <w:spacing w:val="-3"/>
          <w:sz w:val="24"/>
          <w:szCs w:val="24"/>
          <w:lang w:val="en-GB"/>
        </w:rPr>
        <w:t>s</w:t>
      </w:r>
      <w:r w:rsidR="004A3877" w:rsidRPr="0005777B">
        <w:rPr>
          <w:rFonts w:cstheme="minorHAnsi"/>
          <w:spacing w:val="-3"/>
          <w:sz w:val="24"/>
          <w:szCs w:val="24"/>
          <w:lang w:val="en-GB"/>
        </w:rPr>
        <w:t xml:space="preserve"> </w:t>
      </w:r>
      <w:r w:rsidR="00F360A9">
        <w:rPr>
          <w:rFonts w:cstheme="minorHAnsi"/>
          <w:spacing w:val="-3"/>
          <w:sz w:val="24"/>
          <w:szCs w:val="24"/>
          <w:lang w:val="en-GB"/>
        </w:rPr>
        <w:t xml:space="preserve">of </w:t>
      </w:r>
      <w:r w:rsidR="004A3877" w:rsidRPr="0005777B">
        <w:rPr>
          <w:rFonts w:cstheme="minorHAnsi"/>
          <w:spacing w:val="-3"/>
          <w:sz w:val="24"/>
          <w:szCs w:val="24"/>
          <w:lang w:val="en-GB"/>
        </w:rPr>
        <w:t>HRK 5.88 million</w:t>
      </w:r>
      <w:r w:rsidR="00A3128E" w:rsidRPr="0005777B">
        <w:rPr>
          <w:rFonts w:ascii="Calibri" w:eastAsia="Times New Roman" w:hAnsi="Calibri" w:cs="Arial"/>
          <w:sz w:val="24"/>
          <w:szCs w:val="24"/>
          <w:lang w:val="en-GB" w:eastAsia="hr-HR"/>
        </w:rPr>
        <w:t>.</w:t>
      </w:r>
    </w:p>
    <w:p w:rsidR="00A3128E" w:rsidRPr="0005777B" w:rsidRDefault="00A3128E" w:rsidP="00A3128E">
      <w:pPr>
        <w:tabs>
          <w:tab w:val="left" w:pos="-720"/>
        </w:tabs>
        <w:suppressAutoHyphens/>
        <w:spacing w:after="0" w:line="240" w:lineRule="auto"/>
        <w:jc w:val="both"/>
        <w:rPr>
          <w:rFonts w:ascii="Calibri" w:eastAsia="Times New Roman" w:hAnsi="Calibri" w:cs="Arial"/>
          <w:sz w:val="24"/>
          <w:szCs w:val="24"/>
          <w:lang w:val="en-GB" w:eastAsia="hr-HR"/>
        </w:rPr>
      </w:pPr>
    </w:p>
    <w:p w:rsidR="00A3128E" w:rsidRPr="0005777B" w:rsidRDefault="00FD1BF7" w:rsidP="00A3128E">
      <w:pPr>
        <w:tabs>
          <w:tab w:val="left" w:pos="-720"/>
        </w:tabs>
        <w:suppressAutoHyphens/>
        <w:spacing w:after="0" w:line="240" w:lineRule="auto"/>
        <w:jc w:val="both"/>
        <w:rPr>
          <w:rFonts w:cstheme="minorHAnsi"/>
          <w:spacing w:val="-3"/>
          <w:sz w:val="24"/>
          <w:szCs w:val="24"/>
          <w:lang w:val="en-GB"/>
        </w:rPr>
      </w:pPr>
      <w:r w:rsidRPr="0005777B">
        <w:rPr>
          <w:rFonts w:ascii="Calibri" w:eastAsia="Times New Roman" w:hAnsi="Calibri" w:cs="Arial"/>
          <w:sz w:val="24"/>
          <w:szCs w:val="24"/>
          <w:lang w:val="en-GB" w:eastAsia="hr-HR"/>
        </w:rPr>
        <w:t xml:space="preserve">Excluding the above mentioned one-off </w:t>
      </w:r>
      <w:r w:rsidR="00A91F67" w:rsidRPr="0005777B">
        <w:rPr>
          <w:rFonts w:ascii="Calibri" w:eastAsia="Times New Roman" w:hAnsi="Calibri" w:cs="Arial"/>
          <w:sz w:val="24"/>
          <w:szCs w:val="24"/>
          <w:lang w:val="en-GB" w:eastAsia="hr-HR"/>
        </w:rPr>
        <w:t xml:space="preserve">impact </w:t>
      </w:r>
      <w:r w:rsidR="00C42251" w:rsidRPr="0005777B">
        <w:rPr>
          <w:rFonts w:ascii="Calibri" w:eastAsia="Times New Roman" w:hAnsi="Calibri" w:cs="Arial"/>
          <w:sz w:val="24"/>
          <w:szCs w:val="24"/>
          <w:lang w:val="en-GB" w:eastAsia="hr-HR"/>
        </w:rPr>
        <w:t xml:space="preserve">reducing the </w:t>
      </w:r>
      <w:r w:rsidRPr="0005777B">
        <w:rPr>
          <w:rFonts w:ascii="Calibri" w:eastAsia="Times New Roman" w:hAnsi="Calibri" w:cs="Arial"/>
          <w:sz w:val="24"/>
          <w:szCs w:val="24"/>
          <w:lang w:val="en-GB" w:eastAsia="hr-HR"/>
        </w:rPr>
        <w:t>expenses</w:t>
      </w:r>
      <w:r w:rsidR="00C42251" w:rsidRPr="0005777B">
        <w:rPr>
          <w:rFonts w:ascii="Calibri" w:eastAsia="Times New Roman" w:hAnsi="Calibri" w:cs="Arial"/>
          <w:sz w:val="24"/>
          <w:szCs w:val="24"/>
          <w:lang w:val="en-GB" w:eastAsia="hr-HR"/>
        </w:rPr>
        <w:t xml:space="preserve"> in the reporting period</w:t>
      </w:r>
      <w:r w:rsidRPr="0005777B">
        <w:rPr>
          <w:rFonts w:ascii="Calibri" w:eastAsia="Times New Roman" w:hAnsi="Calibri" w:cs="Arial"/>
          <w:sz w:val="24"/>
          <w:szCs w:val="24"/>
          <w:lang w:val="en-GB" w:eastAsia="hr-HR"/>
        </w:rPr>
        <w:t xml:space="preserve">, the operating expenses would increase by </w:t>
      </w:r>
      <w:r w:rsidR="007F4BA4">
        <w:rPr>
          <w:rFonts w:ascii="Calibri" w:eastAsia="Times New Roman" w:hAnsi="Calibri" w:cs="Arial"/>
          <w:sz w:val="24"/>
          <w:szCs w:val="24"/>
          <w:lang w:val="en-GB" w:eastAsia="hr-HR"/>
        </w:rPr>
        <w:t>6</w:t>
      </w:r>
      <w:r w:rsidRPr="0005777B">
        <w:rPr>
          <w:rFonts w:ascii="Calibri" w:eastAsia="Times New Roman" w:hAnsi="Calibri" w:cs="Arial"/>
          <w:sz w:val="24"/>
          <w:szCs w:val="24"/>
          <w:lang w:val="en-GB" w:eastAsia="hr-HR"/>
        </w:rPr>
        <w:t>.</w:t>
      </w:r>
      <w:r w:rsidR="007F4BA4">
        <w:rPr>
          <w:rFonts w:ascii="Calibri" w:eastAsia="Times New Roman" w:hAnsi="Calibri" w:cs="Arial"/>
          <w:sz w:val="24"/>
          <w:szCs w:val="24"/>
          <w:lang w:val="en-GB" w:eastAsia="hr-HR"/>
        </w:rPr>
        <w:t>3</w:t>
      </w:r>
      <w:r w:rsidR="00C42251" w:rsidRPr="0005777B">
        <w:rPr>
          <w:rFonts w:ascii="Calibri" w:eastAsia="Times New Roman" w:hAnsi="Calibri" w:cs="Arial"/>
          <w:sz w:val="24"/>
          <w:szCs w:val="24"/>
          <w:lang w:val="en-GB" w:eastAsia="hr-HR"/>
        </w:rPr>
        <w:t>3</w:t>
      </w:r>
      <w:r w:rsidRPr="0005777B">
        <w:rPr>
          <w:rFonts w:ascii="Calibri" w:eastAsia="Times New Roman" w:hAnsi="Calibri" w:cs="Arial"/>
          <w:sz w:val="24"/>
          <w:szCs w:val="24"/>
          <w:lang w:val="en-GB" w:eastAsia="hr-HR"/>
        </w:rPr>
        <w:t xml:space="preserve"> percent </w:t>
      </w:r>
      <w:r w:rsidR="00C42251" w:rsidRPr="0005777B">
        <w:rPr>
          <w:rFonts w:ascii="Calibri" w:eastAsia="Times New Roman" w:hAnsi="Calibri" w:cs="Arial"/>
          <w:sz w:val="24"/>
          <w:szCs w:val="24"/>
          <w:lang w:val="en-GB" w:eastAsia="hr-HR"/>
        </w:rPr>
        <w:t xml:space="preserve">in </w:t>
      </w:r>
      <w:r w:rsidR="007F4BA4">
        <w:rPr>
          <w:rFonts w:ascii="Calibri" w:eastAsia="Times New Roman" w:hAnsi="Calibri" w:cs="Arial"/>
          <w:sz w:val="24"/>
          <w:szCs w:val="24"/>
          <w:lang w:val="en-GB" w:eastAsia="hr-HR"/>
        </w:rPr>
        <w:t xml:space="preserve">the first half-year </w:t>
      </w:r>
      <w:r w:rsidR="00C42251" w:rsidRPr="0005777B">
        <w:rPr>
          <w:rFonts w:ascii="Calibri" w:eastAsia="Times New Roman" w:hAnsi="Calibri" w:cs="Arial"/>
          <w:sz w:val="24"/>
          <w:szCs w:val="24"/>
          <w:lang w:val="en-GB" w:eastAsia="hr-HR"/>
        </w:rPr>
        <w:t xml:space="preserve">2017 </w:t>
      </w:r>
      <w:r w:rsidRPr="0005777B">
        <w:rPr>
          <w:rFonts w:ascii="Calibri" w:eastAsia="Times New Roman" w:hAnsi="Calibri" w:cs="Arial"/>
          <w:sz w:val="24"/>
          <w:szCs w:val="24"/>
          <w:lang w:val="en-GB" w:eastAsia="hr-HR"/>
        </w:rPr>
        <w:t>compared with the same reporting period previous yea</w:t>
      </w:r>
      <w:r w:rsidR="00C42251" w:rsidRPr="0005777B">
        <w:rPr>
          <w:rFonts w:ascii="Calibri" w:eastAsia="Times New Roman" w:hAnsi="Calibri" w:cs="Arial"/>
          <w:sz w:val="24"/>
          <w:szCs w:val="24"/>
          <w:lang w:val="en-GB" w:eastAsia="hr-HR"/>
        </w:rPr>
        <w:t>r</w:t>
      </w:r>
      <w:r w:rsidR="00A3128E" w:rsidRPr="0005777B">
        <w:rPr>
          <w:rFonts w:ascii="Calibri" w:eastAsia="Times New Roman" w:hAnsi="Calibri" w:cs="Arial"/>
          <w:sz w:val="24"/>
          <w:szCs w:val="24"/>
          <w:lang w:val="en-GB" w:eastAsia="hr-HR"/>
        </w:rPr>
        <w:t>.</w:t>
      </w:r>
    </w:p>
    <w:p w:rsidR="00A3128E" w:rsidRPr="0005777B" w:rsidRDefault="00A3128E" w:rsidP="00A3128E">
      <w:pPr>
        <w:tabs>
          <w:tab w:val="left" w:pos="-720"/>
        </w:tabs>
        <w:suppressAutoHyphens/>
        <w:spacing w:after="0" w:line="240" w:lineRule="auto"/>
        <w:jc w:val="both"/>
        <w:rPr>
          <w:rFonts w:cstheme="minorHAnsi"/>
          <w:spacing w:val="-3"/>
          <w:sz w:val="24"/>
          <w:szCs w:val="24"/>
          <w:lang w:val="en-GB"/>
        </w:rPr>
      </w:pPr>
    </w:p>
    <w:p w:rsidR="00BF17D9" w:rsidRPr="0005777B" w:rsidRDefault="00C42251" w:rsidP="00A3128E">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There were </w:t>
      </w:r>
      <w:r w:rsidR="00BF17D9" w:rsidRPr="0005777B">
        <w:rPr>
          <w:rFonts w:cstheme="minorHAnsi"/>
          <w:spacing w:val="-3"/>
          <w:sz w:val="24"/>
          <w:szCs w:val="24"/>
          <w:lang w:val="en-GB"/>
        </w:rPr>
        <w:t>36</w:t>
      </w:r>
      <w:r w:rsidR="007F4BA4">
        <w:rPr>
          <w:rFonts w:cstheme="minorHAnsi"/>
          <w:spacing w:val="-3"/>
          <w:sz w:val="24"/>
          <w:szCs w:val="24"/>
          <w:lang w:val="en-GB"/>
        </w:rPr>
        <w:t>1</w:t>
      </w:r>
      <w:r w:rsidRPr="0005777B">
        <w:rPr>
          <w:rFonts w:cstheme="minorHAnsi"/>
          <w:spacing w:val="-3"/>
          <w:sz w:val="24"/>
          <w:szCs w:val="24"/>
          <w:lang w:val="en-GB"/>
        </w:rPr>
        <w:t xml:space="preserve"> employees as at 3</w:t>
      </w:r>
      <w:r w:rsidR="007F4BA4">
        <w:rPr>
          <w:rFonts w:cstheme="minorHAnsi"/>
          <w:spacing w:val="-3"/>
          <w:sz w:val="24"/>
          <w:szCs w:val="24"/>
          <w:lang w:val="en-GB"/>
        </w:rPr>
        <w:t>0 June</w:t>
      </w:r>
      <w:r w:rsidRPr="0005777B">
        <w:rPr>
          <w:rFonts w:cstheme="minorHAnsi"/>
          <w:spacing w:val="-3"/>
          <w:sz w:val="24"/>
          <w:szCs w:val="24"/>
          <w:lang w:val="en-GB"/>
        </w:rPr>
        <w:t xml:space="preserve"> 2017, whereas there were </w:t>
      </w:r>
      <w:r w:rsidR="00BF17D9" w:rsidRPr="0005777B">
        <w:rPr>
          <w:rFonts w:cstheme="minorHAnsi"/>
          <w:spacing w:val="-3"/>
          <w:sz w:val="24"/>
          <w:szCs w:val="24"/>
          <w:lang w:val="en-GB"/>
        </w:rPr>
        <w:t>3</w:t>
      </w:r>
      <w:r w:rsidR="007F4BA4">
        <w:rPr>
          <w:rFonts w:cstheme="minorHAnsi"/>
          <w:spacing w:val="-3"/>
          <w:sz w:val="24"/>
          <w:szCs w:val="24"/>
          <w:lang w:val="en-GB"/>
        </w:rPr>
        <w:t>45</w:t>
      </w:r>
      <w:r w:rsidRPr="0005777B">
        <w:rPr>
          <w:rFonts w:cstheme="minorHAnsi"/>
          <w:spacing w:val="-3"/>
          <w:sz w:val="24"/>
          <w:szCs w:val="24"/>
          <w:lang w:val="en-GB"/>
        </w:rPr>
        <w:t xml:space="preserve"> employees as at 3</w:t>
      </w:r>
      <w:r w:rsidR="007F4BA4">
        <w:rPr>
          <w:rFonts w:cstheme="minorHAnsi"/>
          <w:spacing w:val="-3"/>
          <w:sz w:val="24"/>
          <w:szCs w:val="24"/>
          <w:lang w:val="en-GB"/>
        </w:rPr>
        <w:t>0 June</w:t>
      </w:r>
      <w:r w:rsidRPr="0005777B">
        <w:rPr>
          <w:rFonts w:cstheme="minorHAnsi"/>
          <w:spacing w:val="-3"/>
          <w:sz w:val="24"/>
          <w:szCs w:val="24"/>
          <w:lang w:val="en-GB"/>
        </w:rPr>
        <w:t xml:space="preserve"> 2016</w:t>
      </w:r>
      <w:r w:rsidR="00BF17D9" w:rsidRPr="0005777B">
        <w:rPr>
          <w:rFonts w:cstheme="minorHAnsi"/>
          <w:spacing w:val="-3"/>
          <w:sz w:val="24"/>
          <w:szCs w:val="24"/>
          <w:lang w:val="en-GB"/>
        </w:rPr>
        <w:t xml:space="preserve">. </w:t>
      </w:r>
    </w:p>
    <w:p w:rsidR="00BF17D9" w:rsidRPr="0005777B" w:rsidRDefault="00BF17D9" w:rsidP="00BF17D9">
      <w:pPr>
        <w:spacing w:after="0" w:line="240" w:lineRule="auto"/>
        <w:jc w:val="both"/>
        <w:rPr>
          <w:rFonts w:eastAsia="Times New Roman" w:cs="Calibri"/>
          <w:b/>
          <w:i/>
          <w:spacing w:val="-3"/>
          <w:sz w:val="24"/>
          <w:szCs w:val="24"/>
          <w:lang w:val="en-GB" w:eastAsia="hr-HR"/>
        </w:rPr>
      </w:pPr>
    </w:p>
    <w:p w:rsidR="00BF17D9" w:rsidRPr="0005777B" w:rsidRDefault="00BF17D9" w:rsidP="00BF17D9">
      <w:pPr>
        <w:spacing w:after="0" w:line="240" w:lineRule="auto"/>
        <w:jc w:val="both"/>
        <w:rPr>
          <w:rFonts w:eastAsia="Times New Roman" w:cs="Calibri"/>
          <w:b/>
          <w:i/>
          <w:spacing w:val="-3"/>
          <w:sz w:val="24"/>
          <w:szCs w:val="24"/>
          <w:lang w:val="en-GB" w:eastAsia="hr-HR"/>
        </w:rPr>
      </w:pPr>
    </w:p>
    <w:p w:rsidR="00BF17D9" w:rsidRPr="0005777B" w:rsidRDefault="00FD1BF7" w:rsidP="00BF17D9">
      <w:pPr>
        <w:spacing w:after="0" w:line="240" w:lineRule="auto"/>
        <w:jc w:val="both"/>
        <w:rPr>
          <w:rFonts w:eastAsia="Times New Roman" w:cs="Calibri"/>
          <w:b/>
          <w:i/>
          <w:sz w:val="24"/>
          <w:szCs w:val="24"/>
          <w:lang w:val="en-GB" w:eastAsia="hr-HR"/>
        </w:rPr>
      </w:pPr>
      <w:r w:rsidRPr="0005777B">
        <w:rPr>
          <w:rFonts w:eastAsia="Times New Roman" w:cs="Calibri"/>
          <w:b/>
          <w:i/>
          <w:spacing w:val="-3"/>
          <w:sz w:val="24"/>
          <w:szCs w:val="24"/>
          <w:lang w:val="en-GB" w:eastAsia="hr-HR"/>
        </w:rPr>
        <w:t xml:space="preserve">Impairment loss and provisions </w:t>
      </w:r>
    </w:p>
    <w:p w:rsidR="00BF17D9" w:rsidRPr="0005777B" w:rsidRDefault="00BF17D9" w:rsidP="00BF17D9">
      <w:pPr>
        <w:spacing w:after="0" w:line="240" w:lineRule="auto"/>
        <w:jc w:val="both"/>
        <w:rPr>
          <w:rFonts w:eastAsia="Times New Roman" w:cs="Calibri"/>
          <w:b/>
          <w:i/>
          <w:sz w:val="24"/>
          <w:szCs w:val="24"/>
          <w:lang w:val="en-GB" w:eastAsia="hr-HR"/>
        </w:rPr>
      </w:pPr>
    </w:p>
    <w:p w:rsidR="00BF17D9" w:rsidRPr="0005777B" w:rsidRDefault="00FD1BF7" w:rsidP="00BF17D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In accordance with the regulations and internal acts, HBOR determines the amount of impairment loss and provisions and maintains it at the level it considers adequate for the coverage of possible future </w:t>
      </w:r>
      <w:r w:rsidR="00BF17D9" w:rsidRPr="0005777B">
        <w:rPr>
          <w:rFonts w:cstheme="minorHAnsi"/>
          <w:spacing w:val="-3"/>
          <w:sz w:val="24"/>
          <w:szCs w:val="24"/>
          <w:lang w:val="en-GB"/>
        </w:rPr>
        <w:t>ri</w:t>
      </w:r>
      <w:r w:rsidR="00E46C33" w:rsidRPr="0005777B">
        <w:rPr>
          <w:rFonts w:cstheme="minorHAnsi"/>
          <w:spacing w:val="-3"/>
          <w:sz w:val="24"/>
          <w:szCs w:val="24"/>
          <w:lang w:val="en-GB"/>
        </w:rPr>
        <w:t>s</w:t>
      </w:r>
      <w:r w:rsidR="00BF17D9" w:rsidRPr="0005777B">
        <w:rPr>
          <w:rFonts w:cstheme="minorHAnsi"/>
          <w:spacing w:val="-3"/>
          <w:sz w:val="24"/>
          <w:szCs w:val="24"/>
          <w:lang w:val="en-GB"/>
        </w:rPr>
        <w:t>k</w:t>
      </w:r>
      <w:r w:rsidR="00E46C33" w:rsidRPr="0005777B">
        <w:rPr>
          <w:rFonts w:cstheme="minorHAnsi"/>
          <w:spacing w:val="-3"/>
          <w:sz w:val="24"/>
          <w:szCs w:val="24"/>
          <w:lang w:val="en-GB"/>
        </w:rPr>
        <w:t>s</w:t>
      </w:r>
      <w:r w:rsidR="00BF17D9" w:rsidRPr="0005777B">
        <w:rPr>
          <w:rFonts w:cstheme="minorHAnsi"/>
          <w:spacing w:val="-3"/>
          <w:sz w:val="24"/>
          <w:szCs w:val="24"/>
          <w:lang w:val="en-GB"/>
        </w:rPr>
        <w:t xml:space="preserve">. </w:t>
      </w:r>
    </w:p>
    <w:p w:rsidR="00BF17D9" w:rsidRPr="0005777B" w:rsidRDefault="00BF17D9" w:rsidP="00BF17D9">
      <w:pPr>
        <w:tabs>
          <w:tab w:val="left" w:pos="-720"/>
        </w:tabs>
        <w:suppressAutoHyphens/>
        <w:spacing w:after="0" w:line="240" w:lineRule="auto"/>
        <w:jc w:val="both"/>
        <w:rPr>
          <w:rFonts w:cstheme="minorHAnsi"/>
          <w:spacing w:val="-3"/>
          <w:sz w:val="24"/>
          <w:szCs w:val="24"/>
          <w:lang w:val="en-GB"/>
        </w:rPr>
      </w:pPr>
    </w:p>
    <w:p w:rsidR="003358AA" w:rsidRPr="0005777B" w:rsidRDefault="00FD1BF7" w:rsidP="00BF17D9">
      <w:pPr>
        <w:tabs>
          <w:tab w:val="left" w:pos="-720"/>
        </w:tabs>
        <w:suppressAutoHyphens/>
        <w:spacing w:after="0" w:line="240" w:lineRule="auto"/>
        <w:jc w:val="both"/>
        <w:rPr>
          <w:rFonts w:cstheme="minorHAnsi"/>
          <w:spacing w:val="-3"/>
          <w:sz w:val="24"/>
          <w:szCs w:val="24"/>
          <w:lang w:val="en-GB"/>
        </w:rPr>
        <w:sectPr w:rsidR="003358AA" w:rsidRPr="0005777B" w:rsidSect="007B5D75">
          <w:footerReference w:type="default" r:id="rId33"/>
          <w:pgSz w:w="11906" w:h="16838"/>
          <w:pgMar w:top="1417" w:right="1417" w:bottom="1417" w:left="1276" w:header="708" w:footer="708" w:gutter="0"/>
          <w:cols w:space="708"/>
          <w:docGrid w:linePitch="360"/>
        </w:sectPr>
      </w:pPr>
      <w:r w:rsidRPr="0005777B">
        <w:rPr>
          <w:rFonts w:cstheme="minorHAnsi"/>
          <w:spacing w:val="-3"/>
          <w:sz w:val="24"/>
          <w:szCs w:val="24"/>
          <w:lang w:val="en-GB"/>
        </w:rPr>
        <w:t xml:space="preserve">In the reporting period, net impairment loss stood at HRK </w:t>
      </w:r>
      <w:r w:rsidR="005D2E06">
        <w:rPr>
          <w:rFonts w:cstheme="minorHAnsi"/>
          <w:spacing w:val="-3"/>
          <w:sz w:val="24"/>
          <w:szCs w:val="24"/>
          <w:lang w:val="en-GB"/>
        </w:rPr>
        <w:t>43</w:t>
      </w:r>
      <w:r w:rsidR="00E46C33" w:rsidRPr="0005777B">
        <w:rPr>
          <w:rFonts w:cstheme="minorHAnsi"/>
          <w:spacing w:val="-3"/>
          <w:sz w:val="24"/>
          <w:szCs w:val="24"/>
          <w:lang w:val="en-GB"/>
        </w:rPr>
        <w:t>.</w:t>
      </w:r>
      <w:r w:rsidR="005D2E06">
        <w:rPr>
          <w:rFonts w:cstheme="minorHAnsi"/>
          <w:spacing w:val="-3"/>
          <w:sz w:val="24"/>
          <w:szCs w:val="24"/>
          <w:lang w:val="en-GB"/>
        </w:rPr>
        <w:t>1</w:t>
      </w:r>
      <w:r w:rsidR="00A3128E" w:rsidRPr="0005777B">
        <w:rPr>
          <w:rFonts w:cstheme="minorHAnsi"/>
          <w:spacing w:val="-3"/>
          <w:sz w:val="24"/>
          <w:szCs w:val="24"/>
          <w:lang w:val="en-GB"/>
        </w:rPr>
        <w:t>5</w:t>
      </w:r>
      <w:r w:rsidR="00BF17D9" w:rsidRPr="0005777B">
        <w:rPr>
          <w:rFonts w:cstheme="minorHAnsi"/>
          <w:spacing w:val="-3"/>
          <w:sz w:val="24"/>
          <w:szCs w:val="24"/>
          <w:lang w:val="en-GB"/>
        </w:rPr>
        <w:t xml:space="preserve"> m</w:t>
      </w:r>
      <w:r w:rsidR="00E46C33" w:rsidRPr="0005777B">
        <w:rPr>
          <w:rFonts w:cstheme="minorHAnsi"/>
          <w:spacing w:val="-3"/>
          <w:sz w:val="24"/>
          <w:szCs w:val="24"/>
          <w:lang w:val="en-GB"/>
        </w:rPr>
        <w:t>illion</w:t>
      </w:r>
      <w:r w:rsidR="00366BCB" w:rsidRPr="0005777B">
        <w:rPr>
          <w:rFonts w:cstheme="minorHAnsi"/>
          <w:spacing w:val="-3"/>
          <w:sz w:val="24"/>
          <w:szCs w:val="24"/>
          <w:lang w:val="en-GB"/>
        </w:rPr>
        <w:t>.</w:t>
      </w:r>
    </w:p>
    <w:p w:rsidR="00BF17D9" w:rsidRPr="0005777B" w:rsidRDefault="00FD099C" w:rsidP="00BF17D9">
      <w:pPr>
        <w:tabs>
          <w:tab w:val="left" w:pos="-720"/>
        </w:tabs>
        <w:spacing w:after="0" w:line="240" w:lineRule="auto"/>
        <w:jc w:val="both"/>
        <w:rPr>
          <w:rFonts w:cstheme="minorHAnsi"/>
          <w:spacing w:val="-3"/>
          <w:sz w:val="24"/>
          <w:szCs w:val="24"/>
          <w:lang w:val="en-GB"/>
        </w:rPr>
      </w:pPr>
      <w:r w:rsidRPr="0005777B">
        <w:rPr>
          <w:rFonts w:cstheme="minorHAnsi"/>
          <w:spacing w:val="-3"/>
          <w:sz w:val="24"/>
          <w:szCs w:val="24"/>
          <w:lang w:val="en-GB"/>
        </w:rPr>
        <w:t>The following text contains a breakdown of the quality of portfolio</w:t>
      </w:r>
      <w:r w:rsidR="00BF17D9" w:rsidRPr="0005777B">
        <w:rPr>
          <w:rFonts w:cstheme="minorHAnsi"/>
          <w:spacing w:val="-3"/>
          <w:sz w:val="24"/>
          <w:szCs w:val="24"/>
          <w:lang w:val="en-GB"/>
        </w:rPr>
        <w:t>:</w:t>
      </w:r>
    </w:p>
    <w:p w:rsidR="005B58C5" w:rsidRPr="0005777B" w:rsidRDefault="005B58C5" w:rsidP="00BF17D9">
      <w:pPr>
        <w:tabs>
          <w:tab w:val="left" w:pos="-720"/>
        </w:tabs>
        <w:suppressAutoHyphens/>
        <w:spacing w:after="0" w:line="240" w:lineRule="auto"/>
        <w:jc w:val="both"/>
        <w:rPr>
          <w:lang w:val="en-GB"/>
        </w:rPr>
      </w:pPr>
    </w:p>
    <w:p w:rsidR="00BF17D9" w:rsidRDefault="00BF17D9" w:rsidP="00BF17D9">
      <w:pPr>
        <w:spacing w:after="0" w:line="240" w:lineRule="auto"/>
        <w:jc w:val="both"/>
        <w:rPr>
          <w:rFonts w:eastAsia="Times New Roman" w:cs="Calibri"/>
          <w:b/>
          <w:i/>
          <w:spacing w:val="-3"/>
          <w:sz w:val="24"/>
          <w:szCs w:val="24"/>
          <w:lang w:val="en-GB" w:eastAsia="hr-HR"/>
        </w:rPr>
      </w:pPr>
    </w:p>
    <w:p w:rsidR="00A9534E" w:rsidRPr="0005777B" w:rsidRDefault="00A9534E" w:rsidP="00BF17D9">
      <w:pPr>
        <w:spacing w:after="0" w:line="240" w:lineRule="auto"/>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7D1AD5">
        <w:rPr>
          <w:rFonts w:eastAsia="Times New Roman" w:cs="Calibri"/>
          <w:b/>
          <w:i/>
          <w:noProof/>
          <w:spacing w:val="-3"/>
          <w:sz w:val="24"/>
          <w:szCs w:val="24"/>
          <w:lang w:eastAsia="hr-HR"/>
        </w:rPr>
        <w:drawing>
          <wp:inline distT="0" distB="0" distL="0" distR="0" wp14:anchorId="055B459C" wp14:editId="12C2D0EA">
            <wp:extent cx="2638800" cy="2856565"/>
            <wp:effectExtent l="0" t="0" r="9525" b="127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38800" cy="2856565"/>
                    </a:xfrm>
                    <a:prstGeom prst="rect">
                      <a:avLst/>
                    </a:prstGeom>
                    <a:noFill/>
                  </pic:spPr>
                </pic:pic>
              </a:graphicData>
            </a:graphic>
          </wp:inline>
        </w:drawing>
      </w:r>
      <w:r>
        <w:rPr>
          <w:rFonts w:eastAsia="Times New Roman" w:cs="Calibri"/>
          <w:b/>
          <w:i/>
          <w:spacing w:val="-3"/>
          <w:sz w:val="24"/>
          <w:szCs w:val="24"/>
          <w:lang w:val="en-GB" w:eastAsia="hr-HR"/>
        </w:rPr>
        <w:t xml:space="preserve"> </w:t>
      </w:r>
      <w:r w:rsidR="0038180F">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7D1AD5">
        <w:rPr>
          <w:rFonts w:eastAsia="Times New Roman" w:cs="Calibri"/>
          <w:b/>
          <w:i/>
          <w:noProof/>
          <w:spacing w:val="-3"/>
          <w:sz w:val="24"/>
          <w:szCs w:val="24"/>
          <w:lang w:eastAsia="hr-HR"/>
        </w:rPr>
        <w:drawing>
          <wp:inline distT="0" distB="0" distL="0" distR="0" wp14:anchorId="7CA3DB7B" wp14:editId="2FD940A3">
            <wp:extent cx="2638800" cy="2856565"/>
            <wp:effectExtent l="0" t="0" r="9525"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38800" cy="2856565"/>
                    </a:xfrm>
                    <a:prstGeom prst="rect">
                      <a:avLst/>
                    </a:prstGeom>
                    <a:noFill/>
                  </pic:spPr>
                </pic:pic>
              </a:graphicData>
            </a:graphic>
          </wp:inline>
        </w:drawing>
      </w:r>
    </w:p>
    <w:p w:rsidR="00BF17D9" w:rsidRPr="0005777B" w:rsidRDefault="00BF17D9" w:rsidP="00BF17D9">
      <w:pPr>
        <w:spacing w:after="0" w:line="240" w:lineRule="auto"/>
        <w:rPr>
          <w:rFonts w:eastAsia="Times New Roman" w:cs="Calibri"/>
          <w:b/>
          <w:i/>
          <w:spacing w:val="-3"/>
          <w:sz w:val="24"/>
          <w:szCs w:val="24"/>
          <w:lang w:val="en-GB" w:eastAsia="hr-HR"/>
        </w:rPr>
      </w:pPr>
    </w:p>
    <w:p w:rsidR="00BF17D9" w:rsidRPr="0005777B" w:rsidRDefault="00BF17D9" w:rsidP="00BF17D9">
      <w:pPr>
        <w:spacing w:after="0" w:line="240" w:lineRule="auto"/>
        <w:rPr>
          <w:rFonts w:eastAsia="Times New Roman" w:cs="Calibri"/>
          <w:b/>
          <w:i/>
          <w:spacing w:val="-3"/>
          <w:sz w:val="24"/>
          <w:szCs w:val="24"/>
          <w:lang w:val="en-GB" w:eastAsia="hr-HR"/>
        </w:rPr>
      </w:pPr>
    </w:p>
    <w:p w:rsidR="00BF17D9" w:rsidRPr="0005777B" w:rsidRDefault="00BF17D9" w:rsidP="00BF17D9">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3162"/>
        <w:gridCol w:w="1897"/>
        <w:gridCol w:w="1512"/>
        <w:gridCol w:w="1793"/>
        <w:gridCol w:w="1559"/>
      </w:tblGrid>
      <w:tr w:rsidR="00BF17D9" w:rsidRPr="0005777B" w:rsidTr="0048362C">
        <w:trPr>
          <w:trHeight w:val="267"/>
        </w:trPr>
        <w:tc>
          <w:tcPr>
            <w:tcW w:w="3162" w:type="dxa"/>
            <w:shd w:val="clear" w:color="auto" w:fill="auto"/>
            <w:vAlign w:val="center"/>
            <w:hideMark/>
          </w:tcPr>
          <w:p w:rsidR="00BF17D9" w:rsidRPr="0005777B" w:rsidRDefault="00BF17D9" w:rsidP="00417B56">
            <w:pPr>
              <w:spacing w:after="0" w:line="240" w:lineRule="auto"/>
              <w:rPr>
                <w:rFonts w:ascii="Times New Roman" w:eastAsia="Times New Roman" w:hAnsi="Times New Roman" w:cs="Times New Roman"/>
                <w:sz w:val="24"/>
                <w:szCs w:val="24"/>
                <w:lang w:val="en-GB" w:eastAsia="hr-HR"/>
              </w:rPr>
            </w:pPr>
          </w:p>
        </w:tc>
        <w:tc>
          <w:tcPr>
            <w:tcW w:w="3409" w:type="dxa"/>
            <w:gridSpan w:val="2"/>
            <w:shd w:val="clear" w:color="auto" w:fill="auto"/>
            <w:vAlign w:val="center"/>
            <w:hideMark/>
          </w:tcPr>
          <w:p w:rsidR="00BF17D9" w:rsidRPr="0005777B" w:rsidRDefault="00BF17D9" w:rsidP="00FD099C">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31</w:t>
            </w:r>
            <w:r w:rsidR="00FD099C" w:rsidRPr="0005777B">
              <w:rPr>
                <w:rFonts w:ascii="Calibri" w:eastAsia="Times New Roman" w:hAnsi="Calibri" w:cs="Times New Roman"/>
                <w:b/>
                <w:bCs/>
                <w:color w:val="000000"/>
                <w:lang w:val="en-GB" w:eastAsia="hr-HR"/>
              </w:rPr>
              <w:t xml:space="preserve"> December </w:t>
            </w:r>
            <w:r w:rsidRPr="0005777B">
              <w:rPr>
                <w:rFonts w:ascii="Calibri" w:eastAsia="Times New Roman" w:hAnsi="Calibri" w:cs="Times New Roman"/>
                <w:b/>
                <w:bCs/>
                <w:color w:val="000000"/>
                <w:lang w:val="en-GB" w:eastAsia="hr-HR"/>
              </w:rPr>
              <w:t>201</w:t>
            </w:r>
            <w:r w:rsidR="0048362C" w:rsidRPr="0005777B">
              <w:rPr>
                <w:rFonts w:ascii="Calibri" w:eastAsia="Times New Roman" w:hAnsi="Calibri" w:cs="Times New Roman"/>
                <w:b/>
                <w:bCs/>
                <w:color w:val="000000"/>
                <w:lang w:val="en-GB" w:eastAsia="hr-HR"/>
              </w:rPr>
              <w:t>6</w:t>
            </w:r>
          </w:p>
        </w:tc>
        <w:tc>
          <w:tcPr>
            <w:tcW w:w="3352" w:type="dxa"/>
            <w:gridSpan w:val="2"/>
            <w:shd w:val="clear" w:color="auto" w:fill="auto"/>
            <w:vAlign w:val="center"/>
            <w:hideMark/>
          </w:tcPr>
          <w:p w:rsidR="00BF17D9" w:rsidRPr="0005777B" w:rsidRDefault="00BF17D9" w:rsidP="001D70EE">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3</w:t>
            </w:r>
            <w:r w:rsidR="001D70EE">
              <w:rPr>
                <w:rFonts w:ascii="Calibri" w:eastAsia="Times New Roman" w:hAnsi="Calibri" w:cs="Times New Roman"/>
                <w:b/>
                <w:bCs/>
                <w:color w:val="000000"/>
                <w:lang w:val="en-GB" w:eastAsia="hr-HR"/>
              </w:rPr>
              <w:t>0 June</w:t>
            </w:r>
            <w:r w:rsidR="00FD099C" w:rsidRPr="0005777B">
              <w:rPr>
                <w:rFonts w:ascii="Calibri" w:eastAsia="Times New Roman" w:hAnsi="Calibri" w:cs="Times New Roman"/>
                <w:b/>
                <w:bCs/>
                <w:color w:val="000000"/>
                <w:lang w:val="en-GB" w:eastAsia="hr-HR"/>
              </w:rPr>
              <w:t xml:space="preserve"> </w:t>
            </w:r>
            <w:r w:rsidRPr="0005777B">
              <w:rPr>
                <w:rFonts w:ascii="Calibri" w:eastAsia="Times New Roman" w:hAnsi="Calibri" w:cs="Times New Roman"/>
                <w:b/>
                <w:bCs/>
                <w:color w:val="000000"/>
                <w:lang w:val="en-GB" w:eastAsia="hr-HR"/>
              </w:rPr>
              <w:t>201</w:t>
            </w:r>
            <w:r w:rsidR="0048362C" w:rsidRPr="0005777B">
              <w:rPr>
                <w:rFonts w:ascii="Calibri" w:eastAsia="Times New Roman" w:hAnsi="Calibri" w:cs="Times New Roman"/>
                <w:b/>
                <w:bCs/>
                <w:color w:val="000000"/>
                <w:lang w:val="en-GB" w:eastAsia="hr-HR"/>
              </w:rPr>
              <w:t>7</w:t>
            </w:r>
          </w:p>
        </w:tc>
      </w:tr>
      <w:tr w:rsidR="00BF17D9" w:rsidRPr="0005777B" w:rsidTr="0048362C">
        <w:trPr>
          <w:trHeight w:val="873"/>
        </w:trPr>
        <w:tc>
          <w:tcPr>
            <w:tcW w:w="3162" w:type="dxa"/>
            <w:shd w:val="clear" w:color="auto" w:fill="auto"/>
            <w:vAlign w:val="center"/>
            <w:hideMark/>
          </w:tcPr>
          <w:p w:rsidR="00BF17D9" w:rsidRPr="0005777B" w:rsidRDefault="00BF17D9" w:rsidP="00417B56">
            <w:pPr>
              <w:spacing w:after="0" w:line="240" w:lineRule="auto"/>
              <w:jc w:val="center"/>
              <w:rPr>
                <w:rFonts w:ascii="Calibri" w:eastAsia="Times New Roman" w:hAnsi="Calibri" w:cs="Times New Roman"/>
                <w:b/>
                <w:bCs/>
                <w:color w:val="000000"/>
                <w:lang w:val="en-GB" w:eastAsia="hr-HR"/>
              </w:rPr>
            </w:pPr>
          </w:p>
        </w:tc>
        <w:tc>
          <w:tcPr>
            <w:tcW w:w="1897" w:type="dxa"/>
            <w:shd w:val="clear" w:color="auto" w:fill="auto"/>
            <w:vAlign w:val="center"/>
            <w:hideMark/>
          </w:tcPr>
          <w:p w:rsidR="00BF17D9" w:rsidRPr="0005777B" w:rsidRDefault="00FD099C" w:rsidP="00FD099C">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 xml:space="preserve">HRK million </w:t>
            </w:r>
          </w:p>
        </w:tc>
        <w:tc>
          <w:tcPr>
            <w:tcW w:w="1512" w:type="dxa"/>
            <w:shd w:val="clear" w:color="auto" w:fill="auto"/>
            <w:vAlign w:val="center"/>
            <w:hideMark/>
          </w:tcPr>
          <w:p w:rsidR="00BF17D9" w:rsidRPr="0005777B" w:rsidRDefault="00BF17D9" w:rsidP="00417B56">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Stru</w:t>
            </w:r>
            <w:r w:rsidR="00FD099C" w:rsidRPr="0005777B">
              <w:rPr>
                <w:rFonts w:ascii="Calibri" w:eastAsia="Times New Roman" w:hAnsi="Calibri" w:cs="Times New Roman"/>
                <w:b/>
                <w:bCs/>
                <w:color w:val="000000"/>
                <w:lang w:val="en-GB" w:eastAsia="hr-HR"/>
              </w:rPr>
              <w:t>c</w:t>
            </w:r>
            <w:r w:rsidRPr="0005777B">
              <w:rPr>
                <w:rFonts w:ascii="Calibri" w:eastAsia="Times New Roman" w:hAnsi="Calibri" w:cs="Times New Roman"/>
                <w:b/>
                <w:bCs/>
                <w:color w:val="000000"/>
                <w:lang w:val="en-GB" w:eastAsia="hr-HR"/>
              </w:rPr>
              <w:t>tur</w:t>
            </w:r>
            <w:r w:rsidR="00FD099C" w:rsidRPr="0005777B">
              <w:rPr>
                <w:rFonts w:ascii="Calibri" w:eastAsia="Times New Roman" w:hAnsi="Calibri" w:cs="Times New Roman"/>
                <w:b/>
                <w:bCs/>
                <w:color w:val="000000"/>
                <w:lang w:val="en-GB" w:eastAsia="hr-HR"/>
              </w:rPr>
              <w:t>e</w:t>
            </w:r>
          </w:p>
          <w:p w:rsidR="00BF17D9" w:rsidRPr="0005777B" w:rsidRDefault="00BF17D9" w:rsidP="00FD099C">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w:t>
            </w:r>
            <w:r w:rsidR="00FD099C" w:rsidRPr="0005777B">
              <w:rPr>
                <w:rFonts w:ascii="Calibri" w:eastAsia="Times New Roman" w:hAnsi="Calibri" w:cs="Times New Roman"/>
                <w:b/>
                <w:bCs/>
                <w:color w:val="000000"/>
                <w:lang w:val="en-GB" w:eastAsia="hr-HR"/>
              </w:rPr>
              <w:t>%</w:t>
            </w:r>
            <w:r w:rsidRPr="0005777B">
              <w:rPr>
                <w:rFonts w:ascii="Calibri" w:eastAsia="Times New Roman" w:hAnsi="Calibri" w:cs="Times New Roman"/>
                <w:b/>
                <w:bCs/>
                <w:color w:val="000000"/>
                <w:lang w:val="en-GB" w:eastAsia="hr-HR"/>
              </w:rPr>
              <w:t>)</w:t>
            </w:r>
          </w:p>
        </w:tc>
        <w:tc>
          <w:tcPr>
            <w:tcW w:w="1793" w:type="dxa"/>
            <w:shd w:val="clear" w:color="auto" w:fill="auto"/>
            <w:vAlign w:val="center"/>
            <w:hideMark/>
          </w:tcPr>
          <w:p w:rsidR="00BF17D9" w:rsidRPr="0005777B" w:rsidRDefault="00FD099C" w:rsidP="00FD099C">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 xml:space="preserve">HRK million </w:t>
            </w:r>
          </w:p>
        </w:tc>
        <w:tc>
          <w:tcPr>
            <w:tcW w:w="1559" w:type="dxa"/>
            <w:shd w:val="clear" w:color="auto" w:fill="auto"/>
            <w:vAlign w:val="center"/>
            <w:hideMark/>
          </w:tcPr>
          <w:p w:rsidR="00BF17D9" w:rsidRPr="0005777B" w:rsidRDefault="00BF17D9" w:rsidP="00417B56">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Stru</w:t>
            </w:r>
            <w:r w:rsidR="00FD099C" w:rsidRPr="0005777B">
              <w:rPr>
                <w:rFonts w:ascii="Calibri" w:eastAsia="Times New Roman" w:hAnsi="Calibri" w:cs="Times New Roman"/>
                <w:b/>
                <w:bCs/>
                <w:color w:val="000000"/>
                <w:lang w:val="en-GB" w:eastAsia="hr-HR"/>
              </w:rPr>
              <w:t>c</w:t>
            </w:r>
            <w:r w:rsidRPr="0005777B">
              <w:rPr>
                <w:rFonts w:ascii="Calibri" w:eastAsia="Times New Roman" w:hAnsi="Calibri" w:cs="Times New Roman"/>
                <w:b/>
                <w:bCs/>
                <w:color w:val="000000"/>
                <w:lang w:val="en-GB" w:eastAsia="hr-HR"/>
              </w:rPr>
              <w:t>tur</w:t>
            </w:r>
            <w:r w:rsidR="00FD099C" w:rsidRPr="0005777B">
              <w:rPr>
                <w:rFonts w:ascii="Calibri" w:eastAsia="Times New Roman" w:hAnsi="Calibri" w:cs="Times New Roman"/>
                <w:b/>
                <w:bCs/>
                <w:color w:val="000000"/>
                <w:lang w:val="en-GB" w:eastAsia="hr-HR"/>
              </w:rPr>
              <w:t>e</w:t>
            </w:r>
          </w:p>
          <w:p w:rsidR="00BF17D9" w:rsidRPr="0005777B" w:rsidRDefault="00BF17D9" w:rsidP="00FD099C">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w:t>
            </w:r>
            <w:r w:rsidR="00FD099C" w:rsidRPr="0005777B">
              <w:rPr>
                <w:rFonts w:ascii="Calibri" w:eastAsia="Times New Roman" w:hAnsi="Calibri" w:cs="Times New Roman"/>
                <w:b/>
                <w:bCs/>
                <w:color w:val="000000"/>
                <w:lang w:val="en-GB" w:eastAsia="hr-HR"/>
              </w:rPr>
              <w:t>%</w:t>
            </w:r>
            <w:r w:rsidRPr="0005777B">
              <w:rPr>
                <w:rFonts w:ascii="Calibri" w:eastAsia="Times New Roman" w:hAnsi="Calibri" w:cs="Times New Roman"/>
                <w:b/>
                <w:bCs/>
                <w:color w:val="000000"/>
                <w:lang w:val="en-GB" w:eastAsia="hr-HR"/>
              </w:rPr>
              <w:t>)</w:t>
            </w:r>
          </w:p>
        </w:tc>
      </w:tr>
      <w:tr w:rsidR="0048362C" w:rsidRPr="0005777B" w:rsidTr="00C23C95">
        <w:trPr>
          <w:trHeight w:val="411"/>
        </w:trPr>
        <w:tc>
          <w:tcPr>
            <w:tcW w:w="3162" w:type="dxa"/>
            <w:shd w:val="clear" w:color="auto" w:fill="auto"/>
            <w:vAlign w:val="center"/>
            <w:hideMark/>
          </w:tcPr>
          <w:p w:rsidR="0048362C" w:rsidRPr="0005777B" w:rsidRDefault="00FD099C" w:rsidP="00FD099C">
            <w:pPr>
              <w:spacing w:after="0" w:line="240" w:lineRule="auto"/>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 xml:space="preserve">Total gross portfolio </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b/>
                <w:bCs/>
                <w:color w:val="000000"/>
                <w:lang w:val="en-GB" w:eastAsia="hr-HR"/>
              </w:rPr>
            </w:pPr>
            <w:r w:rsidRPr="0005777B">
              <w:rPr>
                <w:b/>
                <w:bCs/>
                <w:color w:val="000000"/>
                <w:lang w:val="en-GB"/>
              </w:rPr>
              <w:t>36</w:t>
            </w:r>
            <w:r w:rsidR="00FD099C" w:rsidRPr="0005777B">
              <w:rPr>
                <w:b/>
                <w:bCs/>
                <w:color w:val="000000"/>
                <w:lang w:val="en-GB"/>
              </w:rPr>
              <w:t>,</w:t>
            </w:r>
            <w:r w:rsidRPr="0005777B">
              <w:rPr>
                <w:b/>
                <w:bCs/>
                <w:color w:val="000000"/>
                <w:lang w:val="en-GB"/>
              </w:rPr>
              <w:t>481</w:t>
            </w:r>
            <w:r w:rsidR="00C172B0" w:rsidRPr="0005777B">
              <w:rPr>
                <w:b/>
                <w:bCs/>
                <w:color w:val="000000"/>
                <w:lang w:val="en-GB"/>
              </w:rPr>
              <w:t>.</w:t>
            </w:r>
            <w:r w:rsidRPr="0005777B">
              <w:rPr>
                <w:b/>
                <w:bCs/>
                <w:color w:val="000000"/>
                <w:lang w:val="en-GB"/>
              </w:rPr>
              <w:t>66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b/>
                <w:bCs/>
                <w:color w:val="000000"/>
                <w:lang w:val="en-GB" w:eastAsia="hr-HR"/>
              </w:rPr>
            </w:pPr>
            <w:r w:rsidRPr="0005777B">
              <w:rPr>
                <w:b/>
                <w:bCs/>
                <w:color w:val="000000"/>
                <w:lang w:val="en-GB"/>
              </w:rPr>
              <w:t>100</w:t>
            </w:r>
            <w:r w:rsidR="00C172B0" w:rsidRPr="0005777B">
              <w:rPr>
                <w:b/>
                <w:bCs/>
                <w:color w:val="000000"/>
                <w:lang w:val="en-GB"/>
              </w:rPr>
              <w:t>.</w:t>
            </w:r>
            <w:r w:rsidRPr="0005777B">
              <w:rPr>
                <w:b/>
                <w:bCs/>
                <w:color w:val="000000"/>
                <w:lang w:val="en-GB"/>
              </w:rPr>
              <w:t>00</w:t>
            </w:r>
          </w:p>
        </w:tc>
        <w:tc>
          <w:tcPr>
            <w:tcW w:w="1793" w:type="dxa"/>
            <w:shd w:val="clear" w:color="auto" w:fill="auto"/>
            <w:vAlign w:val="center"/>
          </w:tcPr>
          <w:p w:rsidR="0048362C" w:rsidRPr="0005777B" w:rsidRDefault="005B58C5" w:rsidP="006F5E01">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3</w:t>
            </w:r>
            <w:r w:rsidR="001D70EE">
              <w:rPr>
                <w:rFonts w:ascii="Calibri" w:eastAsia="Times New Roman" w:hAnsi="Calibri" w:cs="Times New Roman"/>
                <w:b/>
                <w:bCs/>
                <w:color w:val="000000"/>
                <w:lang w:val="en-GB" w:eastAsia="hr-HR"/>
              </w:rPr>
              <w:t>6</w:t>
            </w:r>
            <w:r w:rsidR="00C172B0" w:rsidRPr="0005777B">
              <w:rPr>
                <w:rFonts w:ascii="Calibri" w:eastAsia="Times New Roman" w:hAnsi="Calibri" w:cs="Times New Roman"/>
                <w:b/>
                <w:bCs/>
                <w:color w:val="000000"/>
                <w:lang w:val="en-GB" w:eastAsia="hr-HR"/>
              </w:rPr>
              <w:t>,</w:t>
            </w:r>
            <w:r w:rsidR="001D70EE">
              <w:rPr>
                <w:rFonts w:ascii="Calibri" w:eastAsia="Times New Roman" w:hAnsi="Calibri" w:cs="Times New Roman"/>
                <w:b/>
                <w:bCs/>
                <w:color w:val="000000"/>
                <w:lang w:val="en-GB" w:eastAsia="hr-HR"/>
              </w:rPr>
              <w:t>468</w:t>
            </w:r>
            <w:r w:rsidR="00C172B0" w:rsidRPr="0005777B">
              <w:rPr>
                <w:rFonts w:ascii="Calibri" w:eastAsia="Times New Roman" w:hAnsi="Calibri" w:cs="Times New Roman"/>
                <w:b/>
                <w:bCs/>
                <w:color w:val="000000"/>
                <w:lang w:val="en-GB" w:eastAsia="hr-HR"/>
              </w:rPr>
              <w:t>.</w:t>
            </w:r>
            <w:r w:rsidR="001D70EE">
              <w:rPr>
                <w:rFonts w:ascii="Calibri" w:eastAsia="Times New Roman" w:hAnsi="Calibri" w:cs="Times New Roman"/>
                <w:b/>
                <w:bCs/>
                <w:color w:val="000000"/>
                <w:lang w:val="en-GB" w:eastAsia="hr-HR"/>
              </w:rPr>
              <w:t>51</w:t>
            </w:r>
          </w:p>
        </w:tc>
        <w:tc>
          <w:tcPr>
            <w:tcW w:w="1559" w:type="dxa"/>
            <w:shd w:val="clear" w:color="auto" w:fill="auto"/>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100</w:t>
            </w:r>
            <w:r w:rsidR="001D70EE">
              <w:rPr>
                <w:rFonts w:ascii="Calibri" w:eastAsia="Times New Roman" w:hAnsi="Calibri" w:cs="Times New Roman"/>
                <w:b/>
                <w:bCs/>
                <w:color w:val="000000"/>
                <w:lang w:val="en-GB" w:eastAsia="hr-HR"/>
              </w:rPr>
              <w:t>.00</w:t>
            </w:r>
          </w:p>
        </w:tc>
      </w:tr>
      <w:tr w:rsidR="0048362C" w:rsidRPr="0005777B" w:rsidTr="00C23C95">
        <w:trPr>
          <w:trHeight w:val="246"/>
        </w:trPr>
        <w:tc>
          <w:tcPr>
            <w:tcW w:w="3162" w:type="dxa"/>
            <w:shd w:val="clear" w:color="auto" w:fill="auto"/>
            <w:vAlign w:val="center"/>
            <w:hideMark/>
          </w:tcPr>
          <w:p w:rsidR="0048362C" w:rsidRPr="0005777B" w:rsidRDefault="0048362C" w:rsidP="00FD099C">
            <w:pPr>
              <w:spacing w:after="0" w:line="240" w:lineRule="auto"/>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 xml:space="preserve"> O</w:t>
            </w:r>
            <w:r w:rsidR="00FD099C" w:rsidRPr="0005777B">
              <w:rPr>
                <w:rFonts w:ascii="Calibri" w:eastAsia="Times New Roman" w:hAnsi="Calibri" w:cs="Times New Roman"/>
                <w:color w:val="000000"/>
                <w:lang w:val="en-GB" w:eastAsia="hr-HR"/>
              </w:rPr>
              <w:t>f which</w:t>
            </w:r>
            <w:r w:rsidRPr="0005777B">
              <w:rPr>
                <w:rFonts w:ascii="Calibri" w:eastAsia="Times New Roman" w:hAnsi="Calibri" w:cs="Times New Roman"/>
                <w:color w:val="000000"/>
                <w:lang w:val="en-GB" w:eastAsia="hr-HR"/>
              </w:rPr>
              <w:t>:</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48362C">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48362C">
            <w:pPr>
              <w:spacing w:after="0" w:line="240" w:lineRule="auto"/>
              <w:jc w:val="center"/>
              <w:rPr>
                <w:rFonts w:ascii="Times New Roman" w:eastAsia="Times New Roman" w:hAnsi="Times New Roman" w:cs="Times New Roman"/>
                <w:sz w:val="20"/>
                <w:szCs w:val="20"/>
                <w:lang w:val="en-GB" w:eastAsia="hr-HR"/>
              </w:rPr>
            </w:pPr>
          </w:p>
        </w:tc>
        <w:tc>
          <w:tcPr>
            <w:tcW w:w="1793" w:type="dxa"/>
            <w:shd w:val="clear" w:color="auto" w:fill="auto"/>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p>
        </w:tc>
        <w:tc>
          <w:tcPr>
            <w:tcW w:w="1559" w:type="dxa"/>
            <w:shd w:val="clear" w:color="auto" w:fill="auto"/>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p>
        </w:tc>
      </w:tr>
      <w:tr w:rsidR="0048362C" w:rsidRPr="0005777B" w:rsidTr="00C23C95">
        <w:trPr>
          <w:trHeight w:val="246"/>
        </w:trPr>
        <w:tc>
          <w:tcPr>
            <w:tcW w:w="3162" w:type="dxa"/>
            <w:shd w:val="clear" w:color="auto" w:fill="auto"/>
            <w:vAlign w:val="center"/>
            <w:hideMark/>
          </w:tcPr>
          <w:p w:rsidR="0048362C" w:rsidRPr="0005777B" w:rsidRDefault="0048362C" w:rsidP="00FD099C">
            <w:pPr>
              <w:spacing w:after="0" w:line="240" w:lineRule="auto"/>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 xml:space="preserve">    - financi</w:t>
            </w:r>
            <w:r w:rsidR="00FD099C" w:rsidRPr="0005777B">
              <w:rPr>
                <w:rFonts w:ascii="Calibri" w:eastAsia="Times New Roman" w:hAnsi="Calibri" w:cs="Times New Roman"/>
                <w:color w:val="000000"/>
                <w:lang w:val="en-GB" w:eastAsia="hr-HR"/>
              </w:rPr>
              <w:t>al institutions</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color w:val="000000"/>
                <w:lang w:val="en-GB" w:eastAsia="hr-HR"/>
              </w:rPr>
            </w:pPr>
            <w:r w:rsidRPr="0005777B">
              <w:rPr>
                <w:color w:val="000000"/>
                <w:lang w:val="en-GB"/>
              </w:rPr>
              <w:t>15</w:t>
            </w:r>
            <w:r w:rsidR="00C172B0" w:rsidRPr="0005777B">
              <w:rPr>
                <w:color w:val="000000"/>
                <w:lang w:val="en-GB"/>
              </w:rPr>
              <w:t>,</w:t>
            </w:r>
            <w:r w:rsidRPr="0005777B">
              <w:rPr>
                <w:color w:val="000000"/>
                <w:lang w:val="en-GB"/>
              </w:rPr>
              <w:t>888</w:t>
            </w:r>
            <w:r w:rsidR="00C172B0" w:rsidRPr="0005777B">
              <w:rPr>
                <w:color w:val="000000"/>
                <w:lang w:val="en-GB"/>
              </w:rPr>
              <w:t>.</w:t>
            </w:r>
            <w:r w:rsidRPr="0005777B">
              <w:rPr>
                <w:color w:val="000000"/>
                <w:lang w:val="en-GB"/>
              </w:rPr>
              <w:t>50</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color w:val="000000"/>
                <w:lang w:val="en-GB" w:eastAsia="hr-HR"/>
              </w:rPr>
            </w:pPr>
            <w:r w:rsidRPr="0005777B">
              <w:rPr>
                <w:color w:val="000000"/>
                <w:lang w:val="en-GB"/>
              </w:rPr>
              <w:t>43</w:t>
            </w:r>
            <w:r w:rsidR="00C172B0" w:rsidRPr="0005777B">
              <w:rPr>
                <w:color w:val="000000"/>
                <w:lang w:val="en-GB"/>
              </w:rPr>
              <w:t>.</w:t>
            </w:r>
            <w:r w:rsidRPr="0005777B">
              <w:rPr>
                <w:color w:val="000000"/>
                <w:lang w:val="en-GB"/>
              </w:rPr>
              <w:t>55</w:t>
            </w:r>
          </w:p>
        </w:tc>
        <w:tc>
          <w:tcPr>
            <w:tcW w:w="1793" w:type="dxa"/>
            <w:shd w:val="clear" w:color="auto" w:fill="auto"/>
            <w:vAlign w:val="center"/>
          </w:tcPr>
          <w:p w:rsidR="0048362C" w:rsidRPr="0005777B" w:rsidRDefault="005B58C5" w:rsidP="001D70EE">
            <w:pPr>
              <w:spacing w:after="0" w:line="240" w:lineRule="auto"/>
              <w:jc w:val="center"/>
              <w:rPr>
                <w:rFonts w:ascii="Calibri" w:eastAsia="Times New Roman" w:hAnsi="Calibri" w:cs="Times New Roman"/>
                <w:bCs/>
                <w:color w:val="000000"/>
                <w:lang w:val="en-GB" w:eastAsia="hr-HR"/>
              </w:rPr>
            </w:pPr>
            <w:r w:rsidRPr="0005777B">
              <w:rPr>
                <w:rFonts w:ascii="Calibri" w:eastAsia="Times New Roman" w:hAnsi="Calibri" w:cs="Times New Roman"/>
                <w:bCs/>
                <w:color w:val="000000"/>
                <w:lang w:val="en-GB" w:eastAsia="hr-HR"/>
              </w:rPr>
              <w:t>1</w:t>
            </w:r>
            <w:r w:rsidR="001D70EE">
              <w:rPr>
                <w:rFonts w:ascii="Calibri" w:eastAsia="Times New Roman" w:hAnsi="Calibri" w:cs="Times New Roman"/>
                <w:bCs/>
                <w:color w:val="000000"/>
                <w:lang w:val="en-GB" w:eastAsia="hr-HR"/>
              </w:rPr>
              <w:t>6</w:t>
            </w:r>
            <w:r w:rsidR="00C172B0" w:rsidRPr="0005777B">
              <w:rPr>
                <w:rFonts w:ascii="Calibri" w:eastAsia="Times New Roman" w:hAnsi="Calibri" w:cs="Times New Roman"/>
                <w:bCs/>
                <w:color w:val="000000"/>
                <w:lang w:val="en-GB" w:eastAsia="hr-HR"/>
              </w:rPr>
              <w:t>,</w:t>
            </w:r>
            <w:r w:rsidR="001D70EE">
              <w:rPr>
                <w:rFonts w:ascii="Calibri" w:eastAsia="Times New Roman" w:hAnsi="Calibri" w:cs="Times New Roman"/>
                <w:bCs/>
                <w:color w:val="000000"/>
                <w:lang w:val="en-GB" w:eastAsia="hr-HR"/>
              </w:rPr>
              <w:t>49</w:t>
            </w:r>
            <w:r w:rsidRPr="0005777B">
              <w:rPr>
                <w:rFonts w:ascii="Calibri" w:eastAsia="Times New Roman" w:hAnsi="Calibri" w:cs="Times New Roman"/>
                <w:bCs/>
                <w:color w:val="000000"/>
                <w:lang w:val="en-GB" w:eastAsia="hr-HR"/>
              </w:rPr>
              <w:t>7</w:t>
            </w:r>
            <w:r w:rsidR="00C172B0" w:rsidRPr="0005777B">
              <w:rPr>
                <w:rFonts w:ascii="Calibri" w:eastAsia="Times New Roman" w:hAnsi="Calibri" w:cs="Times New Roman"/>
                <w:bCs/>
                <w:color w:val="000000"/>
                <w:lang w:val="en-GB" w:eastAsia="hr-HR"/>
              </w:rPr>
              <w:t>.</w:t>
            </w:r>
            <w:r w:rsidR="001D70EE">
              <w:rPr>
                <w:rFonts w:ascii="Calibri" w:eastAsia="Times New Roman" w:hAnsi="Calibri" w:cs="Times New Roman"/>
                <w:bCs/>
                <w:color w:val="000000"/>
                <w:lang w:val="en-GB" w:eastAsia="hr-HR"/>
              </w:rPr>
              <w:t>69</w:t>
            </w:r>
          </w:p>
        </w:tc>
        <w:tc>
          <w:tcPr>
            <w:tcW w:w="1559" w:type="dxa"/>
            <w:shd w:val="clear" w:color="auto" w:fill="auto"/>
            <w:vAlign w:val="center"/>
          </w:tcPr>
          <w:p w:rsidR="0048362C" w:rsidRPr="0005777B" w:rsidRDefault="005B58C5" w:rsidP="001D70EE">
            <w:pPr>
              <w:spacing w:after="0" w:line="240" w:lineRule="auto"/>
              <w:jc w:val="center"/>
              <w:rPr>
                <w:rFonts w:ascii="Calibri" w:eastAsia="Times New Roman" w:hAnsi="Calibri" w:cs="Times New Roman"/>
                <w:bCs/>
                <w:color w:val="000000"/>
                <w:lang w:val="en-GB" w:eastAsia="hr-HR"/>
              </w:rPr>
            </w:pPr>
            <w:r w:rsidRPr="0005777B">
              <w:rPr>
                <w:rFonts w:ascii="Calibri" w:eastAsia="Times New Roman" w:hAnsi="Calibri" w:cs="Times New Roman"/>
                <w:bCs/>
                <w:color w:val="000000"/>
                <w:lang w:val="en-GB" w:eastAsia="hr-HR"/>
              </w:rPr>
              <w:t>4</w:t>
            </w:r>
            <w:r w:rsidR="001D70EE">
              <w:rPr>
                <w:rFonts w:ascii="Calibri" w:eastAsia="Times New Roman" w:hAnsi="Calibri" w:cs="Times New Roman"/>
                <w:bCs/>
                <w:color w:val="000000"/>
                <w:lang w:val="en-GB" w:eastAsia="hr-HR"/>
              </w:rPr>
              <w:t>5</w:t>
            </w:r>
            <w:r w:rsidR="00C172B0" w:rsidRPr="0005777B">
              <w:rPr>
                <w:rFonts w:ascii="Calibri" w:eastAsia="Times New Roman" w:hAnsi="Calibri" w:cs="Times New Roman"/>
                <w:bCs/>
                <w:color w:val="000000"/>
                <w:lang w:val="en-GB" w:eastAsia="hr-HR"/>
              </w:rPr>
              <w:t>.</w:t>
            </w:r>
            <w:r w:rsidR="001D70EE">
              <w:rPr>
                <w:rFonts w:ascii="Calibri" w:eastAsia="Times New Roman" w:hAnsi="Calibri" w:cs="Times New Roman"/>
                <w:bCs/>
                <w:color w:val="000000"/>
                <w:lang w:val="en-GB" w:eastAsia="hr-HR"/>
              </w:rPr>
              <w:t>24</w:t>
            </w:r>
          </w:p>
        </w:tc>
      </w:tr>
      <w:tr w:rsidR="0048362C" w:rsidRPr="0005777B" w:rsidTr="00C23C95">
        <w:trPr>
          <w:trHeight w:val="205"/>
        </w:trPr>
        <w:tc>
          <w:tcPr>
            <w:tcW w:w="3162" w:type="dxa"/>
            <w:shd w:val="clear" w:color="auto" w:fill="auto"/>
            <w:vAlign w:val="center"/>
            <w:hideMark/>
          </w:tcPr>
          <w:p w:rsidR="0048362C" w:rsidRPr="0005777B" w:rsidRDefault="0048362C" w:rsidP="00FD099C">
            <w:pPr>
              <w:spacing w:after="0" w:line="240" w:lineRule="auto"/>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 xml:space="preserve">    - dire</w:t>
            </w:r>
            <w:r w:rsidR="00FD099C" w:rsidRPr="0005777B">
              <w:rPr>
                <w:rFonts w:ascii="Calibri" w:eastAsia="Times New Roman" w:hAnsi="Calibri" w:cs="Times New Roman"/>
                <w:color w:val="000000"/>
                <w:lang w:val="en-GB" w:eastAsia="hr-HR"/>
              </w:rPr>
              <w:t>c</w:t>
            </w:r>
            <w:r w:rsidRPr="0005777B">
              <w:rPr>
                <w:rFonts w:ascii="Calibri" w:eastAsia="Times New Roman" w:hAnsi="Calibri" w:cs="Times New Roman"/>
                <w:color w:val="000000"/>
                <w:lang w:val="en-GB" w:eastAsia="hr-HR"/>
              </w:rPr>
              <w:t>t</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color w:val="000000"/>
                <w:lang w:val="en-GB" w:eastAsia="hr-HR"/>
              </w:rPr>
            </w:pPr>
            <w:r w:rsidRPr="0005777B">
              <w:rPr>
                <w:color w:val="000000"/>
                <w:lang w:val="en-GB"/>
              </w:rPr>
              <w:t>20</w:t>
            </w:r>
            <w:r w:rsidR="00C172B0" w:rsidRPr="0005777B">
              <w:rPr>
                <w:color w:val="000000"/>
                <w:lang w:val="en-GB"/>
              </w:rPr>
              <w:t>,</w:t>
            </w:r>
            <w:r w:rsidRPr="0005777B">
              <w:rPr>
                <w:color w:val="000000"/>
                <w:lang w:val="en-GB"/>
              </w:rPr>
              <w:t>593</w:t>
            </w:r>
            <w:r w:rsidR="00C172B0" w:rsidRPr="0005777B">
              <w:rPr>
                <w:color w:val="000000"/>
                <w:lang w:val="en-GB"/>
              </w:rPr>
              <w:t>.</w:t>
            </w:r>
            <w:r w:rsidRPr="0005777B">
              <w:rPr>
                <w:color w:val="000000"/>
                <w:lang w:val="en-GB"/>
              </w:rPr>
              <w:t>16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color w:val="000000"/>
                <w:lang w:val="en-GB" w:eastAsia="hr-HR"/>
              </w:rPr>
            </w:pPr>
            <w:r w:rsidRPr="0005777B">
              <w:rPr>
                <w:color w:val="000000"/>
                <w:lang w:val="en-GB"/>
              </w:rPr>
              <w:t>56</w:t>
            </w:r>
            <w:r w:rsidR="00C172B0" w:rsidRPr="0005777B">
              <w:rPr>
                <w:color w:val="000000"/>
                <w:lang w:val="en-GB"/>
              </w:rPr>
              <w:t>.</w:t>
            </w:r>
            <w:r w:rsidRPr="0005777B">
              <w:rPr>
                <w:color w:val="000000"/>
                <w:lang w:val="en-GB"/>
              </w:rPr>
              <w:t>45</w:t>
            </w:r>
          </w:p>
        </w:tc>
        <w:tc>
          <w:tcPr>
            <w:tcW w:w="1793" w:type="dxa"/>
            <w:shd w:val="clear" w:color="auto" w:fill="auto"/>
            <w:vAlign w:val="center"/>
          </w:tcPr>
          <w:p w:rsidR="0048362C" w:rsidRPr="0005777B" w:rsidRDefault="001D70EE" w:rsidP="001D70EE">
            <w:pPr>
              <w:spacing w:after="0" w:line="240" w:lineRule="auto"/>
              <w:jc w:val="center"/>
              <w:rPr>
                <w:rFonts w:ascii="Calibri" w:eastAsia="Times New Roman" w:hAnsi="Calibri" w:cs="Times New Roman"/>
                <w:bCs/>
                <w:color w:val="000000"/>
                <w:lang w:val="en-GB" w:eastAsia="hr-HR"/>
              </w:rPr>
            </w:pPr>
            <w:r>
              <w:rPr>
                <w:rFonts w:ascii="Calibri" w:eastAsia="Times New Roman" w:hAnsi="Calibri" w:cs="Times New Roman"/>
                <w:bCs/>
                <w:color w:val="000000"/>
                <w:lang w:val="en-GB" w:eastAsia="hr-HR"/>
              </w:rPr>
              <w:t>19</w:t>
            </w:r>
            <w:r w:rsidR="00C172B0" w:rsidRPr="0005777B">
              <w:rPr>
                <w:rFonts w:ascii="Calibri" w:eastAsia="Times New Roman" w:hAnsi="Calibri" w:cs="Times New Roman"/>
                <w:bCs/>
                <w:color w:val="000000"/>
                <w:lang w:val="en-GB" w:eastAsia="hr-HR"/>
              </w:rPr>
              <w:t>,</w:t>
            </w:r>
            <w:r w:rsidR="005B58C5" w:rsidRPr="0005777B">
              <w:rPr>
                <w:rFonts w:ascii="Calibri" w:eastAsia="Times New Roman" w:hAnsi="Calibri" w:cs="Times New Roman"/>
                <w:bCs/>
                <w:color w:val="000000"/>
                <w:lang w:val="en-GB" w:eastAsia="hr-HR"/>
              </w:rPr>
              <w:t>9</w:t>
            </w:r>
            <w:r>
              <w:rPr>
                <w:rFonts w:ascii="Calibri" w:eastAsia="Times New Roman" w:hAnsi="Calibri" w:cs="Times New Roman"/>
                <w:bCs/>
                <w:color w:val="000000"/>
                <w:lang w:val="en-GB" w:eastAsia="hr-HR"/>
              </w:rPr>
              <w:t>70</w:t>
            </w:r>
            <w:r w:rsidR="00C172B0" w:rsidRPr="0005777B">
              <w:rPr>
                <w:rFonts w:ascii="Calibri" w:eastAsia="Times New Roman" w:hAnsi="Calibri" w:cs="Times New Roman"/>
                <w:bCs/>
                <w:color w:val="000000"/>
                <w:lang w:val="en-GB" w:eastAsia="hr-HR"/>
              </w:rPr>
              <w:t>.</w:t>
            </w:r>
            <w:r>
              <w:rPr>
                <w:rFonts w:ascii="Calibri" w:eastAsia="Times New Roman" w:hAnsi="Calibri" w:cs="Times New Roman"/>
                <w:bCs/>
                <w:color w:val="000000"/>
                <w:lang w:val="en-GB" w:eastAsia="hr-HR"/>
              </w:rPr>
              <w:t>82</w:t>
            </w:r>
          </w:p>
        </w:tc>
        <w:tc>
          <w:tcPr>
            <w:tcW w:w="1559" w:type="dxa"/>
            <w:shd w:val="clear" w:color="auto" w:fill="auto"/>
            <w:vAlign w:val="center"/>
          </w:tcPr>
          <w:p w:rsidR="0048362C" w:rsidRPr="0005777B" w:rsidRDefault="005B58C5" w:rsidP="001D70EE">
            <w:pPr>
              <w:spacing w:after="0" w:line="240" w:lineRule="auto"/>
              <w:jc w:val="center"/>
              <w:rPr>
                <w:rFonts w:ascii="Calibri" w:eastAsia="Times New Roman" w:hAnsi="Calibri" w:cs="Times New Roman"/>
                <w:bCs/>
                <w:color w:val="000000"/>
                <w:lang w:val="en-GB" w:eastAsia="hr-HR"/>
              </w:rPr>
            </w:pPr>
            <w:r w:rsidRPr="0005777B">
              <w:rPr>
                <w:rFonts w:ascii="Calibri" w:eastAsia="Times New Roman" w:hAnsi="Calibri" w:cs="Times New Roman"/>
                <w:bCs/>
                <w:color w:val="000000"/>
                <w:lang w:val="en-GB" w:eastAsia="hr-HR"/>
              </w:rPr>
              <w:t>5</w:t>
            </w:r>
            <w:r w:rsidR="001D70EE">
              <w:rPr>
                <w:rFonts w:ascii="Calibri" w:eastAsia="Times New Roman" w:hAnsi="Calibri" w:cs="Times New Roman"/>
                <w:bCs/>
                <w:color w:val="000000"/>
                <w:lang w:val="en-GB" w:eastAsia="hr-HR"/>
              </w:rPr>
              <w:t>4</w:t>
            </w:r>
            <w:r w:rsidR="00C172B0" w:rsidRPr="0005777B">
              <w:rPr>
                <w:rFonts w:ascii="Calibri" w:eastAsia="Times New Roman" w:hAnsi="Calibri" w:cs="Times New Roman"/>
                <w:bCs/>
                <w:color w:val="000000"/>
                <w:lang w:val="en-GB" w:eastAsia="hr-HR"/>
              </w:rPr>
              <w:t>.</w:t>
            </w:r>
            <w:r w:rsidR="001D70EE">
              <w:rPr>
                <w:rFonts w:ascii="Calibri" w:eastAsia="Times New Roman" w:hAnsi="Calibri" w:cs="Times New Roman"/>
                <w:bCs/>
                <w:color w:val="000000"/>
                <w:lang w:val="en-GB" w:eastAsia="hr-HR"/>
              </w:rPr>
              <w:t>76</w:t>
            </w:r>
          </w:p>
        </w:tc>
      </w:tr>
      <w:tr w:rsidR="0048362C" w:rsidRPr="0005777B" w:rsidTr="00C23C95">
        <w:trPr>
          <w:trHeight w:val="205"/>
        </w:trPr>
        <w:tc>
          <w:tcPr>
            <w:tcW w:w="3162" w:type="dxa"/>
            <w:shd w:val="clear" w:color="auto" w:fill="auto"/>
            <w:vAlign w:val="center"/>
            <w:hideMark/>
          </w:tcPr>
          <w:p w:rsidR="0048362C" w:rsidRPr="0005777B" w:rsidRDefault="0048362C" w:rsidP="0048362C">
            <w:pPr>
              <w:spacing w:after="0" w:line="240" w:lineRule="auto"/>
              <w:rPr>
                <w:rFonts w:ascii="Calibri" w:eastAsia="Times New Roman" w:hAnsi="Calibri" w:cs="Times New Roman"/>
                <w:color w:val="000000"/>
                <w:lang w:val="en-GB" w:eastAsia="hr-HR"/>
              </w:rPr>
            </w:pPr>
          </w:p>
        </w:tc>
        <w:tc>
          <w:tcPr>
            <w:tcW w:w="1897" w:type="dxa"/>
            <w:shd w:val="clear" w:color="auto" w:fill="auto"/>
            <w:vAlign w:val="center"/>
            <w:hideMark/>
          </w:tcPr>
          <w:p w:rsidR="0048362C" w:rsidRPr="0005777B" w:rsidRDefault="0048362C" w:rsidP="0048362C">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48362C">
            <w:pPr>
              <w:spacing w:after="0" w:line="240" w:lineRule="auto"/>
              <w:jc w:val="center"/>
              <w:rPr>
                <w:rFonts w:ascii="Times New Roman" w:eastAsia="Times New Roman" w:hAnsi="Times New Roman" w:cs="Times New Roman"/>
                <w:sz w:val="20"/>
                <w:szCs w:val="20"/>
                <w:lang w:val="en-GB" w:eastAsia="hr-HR"/>
              </w:rPr>
            </w:pPr>
          </w:p>
        </w:tc>
        <w:tc>
          <w:tcPr>
            <w:tcW w:w="1793" w:type="dxa"/>
            <w:shd w:val="clear" w:color="auto" w:fill="auto"/>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p>
        </w:tc>
        <w:tc>
          <w:tcPr>
            <w:tcW w:w="1559" w:type="dxa"/>
            <w:shd w:val="clear" w:color="auto" w:fill="auto"/>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p>
        </w:tc>
      </w:tr>
      <w:tr w:rsidR="0048362C" w:rsidRPr="0005777B" w:rsidTr="00C23C95">
        <w:trPr>
          <w:trHeight w:val="375"/>
        </w:trPr>
        <w:tc>
          <w:tcPr>
            <w:tcW w:w="3162" w:type="dxa"/>
            <w:shd w:val="clear" w:color="auto" w:fill="auto"/>
            <w:vAlign w:val="center"/>
            <w:hideMark/>
          </w:tcPr>
          <w:p w:rsidR="0048362C" w:rsidRPr="0005777B" w:rsidRDefault="00FD099C" w:rsidP="00FD099C">
            <w:pPr>
              <w:spacing w:after="0" w:line="240" w:lineRule="auto"/>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Total provisions</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b/>
                <w:bCs/>
                <w:color w:val="000000"/>
                <w:lang w:val="en-GB" w:eastAsia="hr-HR"/>
              </w:rPr>
            </w:pPr>
            <w:r w:rsidRPr="0005777B">
              <w:rPr>
                <w:b/>
                <w:bCs/>
                <w:color w:val="000000"/>
                <w:lang w:val="en-GB"/>
              </w:rPr>
              <w:t>3</w:t>
            </w:r>
            <w:r w:rsidR="00C172B0" w:rsidRPr="0005777B">
              <w:rPr>
                <w:b/>
                <w:bCs/>
                <w:color w:val="000000"/>
                <w:lang w:val="en-GB"/>
              </w:rPr>
              <w:t>,</w:t>
            </w:r>
            <w:r w:rsidRPr="0005777B">
              <w:rPr>
                <w:b/>
                <w:bCs/>
                <w:color w:val="000000"/>
                <w:lang w:val="en-GB"/>
              </w:rPr>
              <w:t>042</w:t>
            </w:r>
            <w:r w:rsidR="00C172B0" w:rsidRPr="0005777B">
              <w:rPr>
                <w:b/>
                <w:bCs/>
                <w:color w:val="000000"/>
                <w:lang w:val="en-GB"/>
              </w:rPr>
              <w:t>.</w:t>
            </w:r>
            <w:r w:rsidRPr="0005777B">
              <w:rPr>
                <w:b/>
                <w:bCs/>
                <w:color w:val="000000"/>
                <w:lang w:val="en-GB"/>
              </w:rPr>
              <w:t>51</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hideMark/>
          </w:tcPr>
          <w:p w:rsidR="0048362C" w:rsidRPr="0005777B" w:rsidRDefault="0048362C" w:rsidP="00C172B0">
            <w:pPr>
              <w:spacing w:after="0" w:line="240" w:lineRule="auto"/>
              <w:jc w:val="center"/>
              <w:rPr>
                <w:rFonts w:ascii="Calibri" w:eastAsia="Times New Roman" w:hAnsi="Calibri" w:cs="Times New Roman"/>
                <w:b/>
                <w:bCs/>
                <w:color w:val="000000"/>
                <w:lang w:val="en-GB" w:eastAsia="hr-HR"/>
              </w:rPr>
            </w:pPr>
            <w:r w:rsidRPr="0005777B">
              <w:rPr>
                <w:b/>
                <w:bCs/>
                <w:color w:val="000000"/>
                <w:lang w:val="en-GB"/>
              </w:rPr>
              <w:t>100</w:t>
            </w:r>
            <w:r w:rsidR="00C172B0" w:rsidRPr="0005777B">
              <w:rPr>
                <w:b/>
                <w:bCs/>
                <w:color w:val="000000"/>
                <w:lang w:val="en-GB"/>
              </w:rPr>
              <w:t>.</w:t>
            </w:r>
            <w:r w:rsidRPr="0005777B">
              <w:rPr>
                <w:b/>
                <w:bCs/>
                <w:color w:val="000000"/>
                <w:lang w:val="en-GB"/>
              </w:rPr>
              <w:t>00</w:t>
            </w:r>
          </w:p>
        </w:tc>
        <w:tc>
          <w:tcPr>
            <w:tcW w:w="1793" w:type="dxa"/>
            <w:shd w:val="clear" w:color="auto" w:fill="auto"/>
            <w:vAlign w:val="center"/>
          </w:tcPr>
          <w:p w:rsidR="0048362C" w:rsidRPr="0005777B" w:rsidRDefault="005B58C5" w:rsidP="001D70EE">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3</w:t>
            </w:r>
            <w:r w:rsidR="00C172B0" w:rsidRPr="0005777B">
              <w:rPr>
                <w:rFonts w:ascii="Calibri" w:eastAsia="Times New Roman" w:hAnsi="Calibri" w:cs="Times New Roman"/>
                <w:b/>
                <w:bCs/>
                <w:color w:val="000000"/>
                <w:lang w:val="en-GB" w:eastAsia="hr-HR"/>
              </w:rPr>
              <w:t>,</w:t>
            </w:r>
            <w:r w:rsidRPr="0005777B">
              <w:rPr>
                <w:rFonts w:ascii="Calibri" w:eastAsia="Times New Roman" w:hAnsi="Calibri" w:cs="Times New Roman"/>
                <w:b/>
                <w:bCs/>
                <w:color w:val="000000"/>
                <w:lang w:val="en-GB" w:eastAsia="hr-HR"/>
              </w:rPr>
              <w:t>0</w:t>
            </w:r>
            <w:r w:rsidR="001D70EE">
              <w:rPr>
                <w:rFonts w:ascii="Calibri" w:eastAsia="Times New Roman" w:hAnsi="Calibri" w:cs="Times New Roman"/>
                <w:b/>
                <w:bCs/>
                <w:color w:val="000000"/>
                <w:lang w:val="en-GB" w:eastAsia="hr-HR"/>
              </w:rPr>
              <w:t>76</w:t>
            </w:r>
            <w:r w:rsidR="00C172B0" w:rsidRPr="0005777B">
              <w:rPr>
                <w:rFonts w:ascii="Calibri" w:eastAsia="Times New Roman" w:hAnsi="Calibri" w:cs="Times New Roman"/>
                <w:b/>
                <w:bCs/>
                <w:color w:val="000000"/>
                <w:lang w:val="en-GB" w:eastAsia="hr-HR"/>
              </w:rPr>
              <w:t>.</w:t>
            </w:r>
            <w:r w:rsidR="001D70EE">
              <w:rPr>
                <w:rFonts w:ascii="Calibri" w:eastAsia="Times New Roman" w:hAnsi="Calibri" w:cs="Times New Roman"/>
                <w:b/>
                <w:bCs/>
                <w:color w:val="000000"/>
                <w:lang w:val="en-GB" w:eastAsia="hr-HR"/>
              </w:rPr>
              <w:t>2</w:t>
            </w:r>
            <w:r w:rsidR="00924415" w:rsidRPr="0005777B">
              <w:rPr>
                <w:rFonts w:ascii="Calibri" w:eastAsia="Times New Roman" w:hAnsi="Calibri" w:cs="Times New Roman"/>
                <w:b/>
                <w:bCs/>
                <w:color w:val="000000"/>
                <w:lang w:val="en-GB" w:eastAsia="hr-HR"/>
              </w:rPr>
              <w:t>9</w:t>
            </w:r>
          </w:p>
        </w:tc>
        <w:tc>
          <w:tcPr>
            <w:tcW w:w="1559" w:type="dxa"/>
            <w:shd w:val="clear" w:color="auto" w:fill="auto"/>
            <w:noWrap/>
            <w:vAlign w:val="center"/>
          </w:tcPr>
          <w:p w:rsidR="0048362C" w:rsidRPr="0005777B" w:rsidRDefault="0048362C" w:rsidP="00C172B0">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100</w:t>
            </w:r>
            <w:r w:rsidR="00C172B0" w:rsidRPr="0005777B">
              <w:rPr>
                <w:rFonts w:ascii="Calibri" w:eastAsia="Times New Roman" w:hAnsi="Calibri" w:cs="Times New Roman"/>
                <w:b/>
                <w:bCs/>
                <w:color w:val="000000"/>
                <w:lang w:val="en-GB" w:eastAsia="hr-HR"/>
              </w:rPr>
              <w:t>.</w:t>
            </w:r>
            <w:r w:rsidR="00C23C95" w:rsidRPr="0005777B">
              <w:rPr>
                <w:rFonts w:ascii="Calibri" w:eastAsia="Times New Roman" w:hAnsi="Calibri" w:cs="Times New Roman"/>
                <w:b/>
                <w:bCs/>
                <w:color w:val="000000"/>
                <w:lang w:val="en-GB" w:eastAsia="hr-HR"/>
              </w:rPr>
              <w:t>00</w:t>
            </w:r>
          </w:p>
        </w:tc>
      </w:tr>
      <w:tr w:rsidR="0048362C" w:rsidRPr="0005777B" w:rsidTr="00C23C95">
        <w:trPr>
          <w:trHeight w:val="235"/>
        </w:trPr>
        <w:tc>
          <w:tcPr>
            <w:tcW w:w="3162" w:type="dxa"/>
            <w:shd w:val="clear" w:color="auto" w:fill="auto"/>
            <w:vAlign w:val="center"/>
            <w:hideMark/>
          </w:tcPr>
          <w:p w:rsidR="0048362C" w:rsidRPr="0005777B" w:rsidRDefault="0048362C" w:rsidP="00FD099C">
            <w:pPr>
              <w:spacing w:after="0" w:line="240" w:lineRule="auto"/>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O</w:t>
            </w:r>
            <w:r w:rsidR="00FD099C" w:rsidRPr="0005777B">
              <w:rPr>
                <w:rFonts w:ascii="Calibri" w:eastAsia="Times New Roman" w:hAnsi="Calibri" w:cs="Times New Roman"/>
                <w:color w:val="000000"/>
                <w:lang w:val="en-GB" w:eastAsia="hr-HR"/>
              </w:rPr>
              <w:t>f which</w:t>
            </w:r>
            <w:r w:rsidRPr="0005777B">
              <w:rPr>
                <w:rFonts w:ascii="Calibri" w:eastAsia="Times New Roman" w:hAnsi="Calibri" w:cs="Times New Roman"/>
                <w:color w:val="000000"/>
                <w:lang w:val="en-GB" w:eastAsia="hr-HR"/>
              </w:rPr>
              <w:t>:</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48362C">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hideMark/>
          </w:tcPr>
          <w:p w:rsidR="0048362C" w:rsidRPr="0005777B" w:rsidRDefault="0048362C" w:rsidP="0048362C">
            <w:pPr>
              <w:spacing w:after="0" w:line="240" w:lineRule="auto"/>
              <w:jc w:val="center"/>
              <w:rPr>
                <w:rFonts w:ascii="Times New Roman" w:eastAsia="Times New Roman" w:hAnsi="Times New Roman" w:cs="Times New Roman"/>
                <w:sz w:val="20"/>
                <w:szCs w:val="20"/>
                <w:lang w:val="en-GB" w:eastAsia="hr-HR"/>
              </w:rPr>
            </w:pPr>
          </w:p>
        </w:tc>
        <w:tc>
          <w:tcPr>
            <w:tcW w:w="1793" w:type="dxa"/>
            <w:shd w:val="clear" w:color="auto" w:fill="auto"/>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p>
        </w:tc>
        <w:tc>
          <w:tcPr>
            <w:tcW w:w="1559" w:type="dxa"/>
            <w:shd w:val="clear" w:color="auto" w:fill="auto"/>
            <w:noWrap/>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p>
        </w:tc>
      </w:tr>
      <w:tr w:rsidR="0048362C" w:rsidRPr="0005777B" w:rsidTr="00C23C95">
        <w:trPr>
          <w:trHeight w:val="267"/>
        </w:trPr>
        <w:tc>
          <w:tcPr>
            <w:tcW w:w="3162" w:type="dxa"/>
            <w:shd w:val="clear" w:color="auto" w:fill="auto"/>
            <w:vAlign w:val="center"/>
            <w:hideMark/>
          </w:tcPr>
          <w:p w:rsidR="0048362C" w:rsidRPr="0005777B" w:rsidRDefault="0048362C" w:rsidP="00FD099C">
            <w:pPr>
              <w:spacing w:after="0" w:line="240" w:lineRule="auto"/>
              <w:ind w:firstLineChars="100" w:firstLine="220"/>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 financi</w:t>
            </w:r>
            <w:r w:rsidR="00FD099C" w:rsidRPr="0005777B">
              <w:rPr>
                <w:rFonts w:ascii="Calibri" w:eastAsia="Times New Roman" w:hAnsi="Calibri" w:cs="Times New Roman"/>
                <w:color w:val="000000"/>
                <w:lang w:val="en-GB" w:eastAsia="hr-HR"/>
              </w:rPr>
              <w:t>al institutions</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color w:val="000000"/>
                <w:lang w:val="en-GB" w:eastAsia="hr-HR"/>
              </w:rPr>
            </w:pPr>
            <w:r w:rsidRPr="0005777B">
              <w:rPr>
                <w:color w:val="000000"/>
                <w:lang w:val="en-GB"/>
              </w:rPr>
              <w:t>395</w:t>
            </w:r>
            <w:r w:rsidR="00C172B0" w:rsidRPr="0005777B">
              <w:rPr>
                <w:color w:val="000000"/>
                <w:lang w:val="en-GB"/>
              </w:rPr>
              <w:t>.</w:t>
            </w:r>
            <w:r w:rsidRPr="0005777B">
              <w:rPr>
                <w:color w:val="000000"/>
                <w:lang w:val="en-GB"/>
              </w:rPr>
              <w:t>46</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color w:val="000000"/>
                <w:lang w:val="en-GB" w:eastAsia="hr-HR"/>
              </w:rPr>
            </w:pPr>
            <w:r w:rsidRPr="0005777B">
              <w:rPr>
                <w:color w:val="000000"/>
                <w:lang w:val="en-GB"/>
              </w:rPr>
              <w:t>13</w:t>
            </w:r>
            <w:r w:rsidR="00C172B0" w:rsidRPr="0005777B">
              <w:rPr>
                <w:color w:val="000000"/>
                <w:lang w:val="en-GB"/>
              </w:rPr>
              <w:t>.</w:t>
            </w:r>
            <w:r w:rsidRPr="0005777B">
              <w:rPr>
                <w:color w:val="000000"/>
                <w:lang w:val="en-GB"/>
              </w:rPr>
              <w:t>00</w:t>
            </w:r>
          </w:p>
        </w:tc>
        <w:tc>
          <w:tcPr>
            <w:tcW w:w="1793" w:type="dxa"/>
            <w:shd w:val="clear" w:color="auto" w:fill="auto"/>
            <w:vAlign w:val="center"/>
          </w:tcPr>
          <w:p w:rsidR="0048362C" w:rsidRPr="0005777B" w:rsidRDefault="005B58C5" w:rsidP="001D70EE">
            <w:pPr>
              <w:spacing w:after="0" w:line="240" w:lineRule="auto"/>
              <w:jc w:val="center"/>
              <w:rPr>
                <w:rFonts w:ascii="Calibri" w:eastAsia="Times New Roman" w:hAnsi="Calibri" w:cs="Times New Roman"/>
                <w:bCs/>
                <w:color w:val="000000"/>
                <w:lang w:val="en-GB" w:eastAsia="hr-HR"/>
              </w:rPr>
            </w:pPr>
            <w:r w:rsidRPr="0005777B">
              <w:rPr>
                <w:rFonts w:ascii="Calibri" w:eastAsia="Times New Roman" w:hAnsi="Calibri" w:cs="Times New Roman"/>
                <w:bCs/>
                <w:color w:val="000000"/>
                <w:lang w:val="en-GB" w:eastAsia="hr-HR"/>
              </w:rPr>
              <w:t>3</w:t>
            </w:r>
            <w:r w:rsidR="001D70EE">
              <w:rPr>
                <w:rFonts w:ascii="Calibri" w:eastAsia="Times New Roman" w:hAnsi="Calibri" w:cs="Times New Roman"/>
                <w:bCs/>
                <w:color w:val="000000"/>
                <w:lang w:val="en-GB" w:eastAsia="hr-HR"/>
              </w:rPr>
              <w:t>3</w:t>
            </w:r>
            <w:r w:rsidRPr="0005777B">
              <w:rPr>
                <w:rFonts w:ascii="Calibri" w:eastAsia="Times New Roman" w:hAnsi="Calibri" w:cs="Times New Roman"/>
                <w:bCs/>
                <w:color w:val="000000"/>
                <w:lang w:val="en-GB" w:eastAsia="hr-HR"/>
              </w:rPr>
              <w:t>2</w:t>
            </w:r>
            <w:r w:rsidR="00C172B0" w:rsidRPr="0005777B">
              <w:rPr>
                <w:rFonts w:ascii="Calibri" w:eastAsia="Times New Roman" w:hAnsi="Calibri" w:cs="Times New Roman"/>
                <w:bCs/>
                <w:color w:val="000000"/>
                <w:lang w:val="en-GB" w:eastAsia="hr-HR"/>
              </w:rPr>
              <w:t>.</w:t>
            </w:r>
            <w:r w:rsidR="001D70EE">
              <w:rPr>
                <w:rFonts w:ascii="Calibri" w:eastAsia="Times New Roman" w:hAnsi="Calibri" w:cs="Times New Roman"/>
                <w:bCs/>
                <w:color w:val="000000"/>
                <w:lang w:val="en-GB" w:eastAsia="hr-HR"/>
              </w:rPr>
              <w:t>94</w:t>
            </w:r>
          </w:p>
        </w:tc>
        <w:tc>
          <w:tcPr>
            <w:tcW w:w="1559" w:type="dxa"/>
            <w:shd w:val="clear" w:color="auto" w:fill="auto"/>
            <w:noWrap/>
            <w:vAlign w:val="center"/>
          </w:tcPr>
          <w:p w:rsidR="0048362C" w:rsidRPr="0005777B" w:rsidRDefault="005B58C5" w:rsidP="001D70EE">
            <w:pPr>
              <w:spacing w:after="0" w:line="240" w:lineRule="auto"/>
              <w:jc w:val="center"/>
              <w:rPr>
                <w:rFonts w:ascii="Calibri" w:eastAsia="Times New Roman" w:hAnsi="Calibri" w:cs="Times New Roman"/>
                <w:bCs/>
                <w:color w:val="000000"/>
                <w:lang w:val="en-GB" w:eastAsia="hr-HR"/>
              </w:rPr>
            </w:pPr>
            <w:r w:rsidRPr="0005777B">
              <w:rPr>
                <w:rFonts w:ascii="Calibri" w:eastAsia="Times New Roman" w:hAnsi="Calibri" w:cs="Times New Roman"/>
                <w:bCs/>
                <w:color w:val="000000"/>
                <w:lang w:val="en-GB" w:eastAsia="hr-HR"/>
              </w:rPr>
              <w:t>1</w:t>
            </w:r>
            <w:r w:rsidR="001D70EE">
              <w:rPr>
                <w:rFonts w:ascii="Calibri" w:eastAsia="Times New Roman" w:hAnsi="Calibri" w:cs="Times New Roman"/>
                <w:bCs/>
                <w:color w:val="000000"/>
                <w:lang w:val="en-GB" w:eastAsia="hr-HR"/>
              </w:rPr>
              <w:t>0</w:t>
            </w:r>
            <w:r w:rsidR="00C172B0" w:rsidRPr="0005777B">
              <w:rPr>
                <w:rFonts w:ascii="Calibri" w:eastAsia="Times New Roman" w:hAnsi="Calibri" w:cs="Times New Roman"/>
                <w:bCs/>
                <w:color w:val="000000"/>
                <w:lang w:val="en-GB" w:eastAsia="hr-HR"/>
              </w:rPr>
              <w:t>.</w:t>
            </w:r>
            <w:r w:rsidR="001D70EE">
              <w:rPr>
                <w:rFonts w:ascii="Calibri" w:eastAsia="Times New Roman" w:hAnsi="Calibri" w:cs="Times New Roman"/>
                <w:bCs/>
                <w:color w:val="000000"/>
                <w:lang w:val="en-GB" w:eastAsia="hr-HR"/>
              </w:rPr>
              <w:t>82</w:t>
            </w:r>
          </w:p>
        </w:tc>
      </w:tr>
      <w:tr w:rsidR="0048362C" w:rsidRPr="0005777B" w:rsidTr="00C23C95">
        <w:trPr>
          <w:trHeight w:val="205"/>
        </w:trPr>
        <w:tc>
          <w:tcPr>
            <w:tcW w:w="3162" w:type="dxa"/>
            <w:shd w:val="clear" w:color="auto" w:fill="auto"/>
            <w:vAlign w:val="center"/>
            <w:hideMark/>
          </w:tcPr>
          <w:p w:rsidR="0048362C" w:rsidRPr="0005777B" w:rsidRDefault="0048362C" w:rsidP="00FD099C">
            <w:pPr>
              <w:spacing w:after="0" w:line="240" w:lineRule="auto"/>
              <w:ind w:firstLineChars="100" w:firstLine="220"/>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 dire</w:t>
            </w:r>
            <w:r w:rsidR="00FD099C" w:rsidRPr="0005777B">
              <w:rPr>
                <w:rFonts w:ascii="Calibri" w:eastAsia="Times New Roman" w:hAnsi="Calibri" w:cs="Times New Roman"/>
                <w:color w:val="000000"/>
                <w:lang w:val="en-GB" w:eastAsia="hr-HR"/>
              </w:rPr>
              <w:t>c</w:t>
            </w:r>
            <w:r w:rsidRPr="0005777B">
              <w:rPr>
                <w:rFonts w:ascii="Calibri" w:eastAsia="Times New Roman" w:hAnsi="Calibri" w:cs="Times New Roman"/>
                <w:color w:val="000000"/>
                <w:lang w:val="en-GB" w:eastAsia="hr-HR"/>
              </w:rPr>
              <w:t>t</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color w:val="000000"/>
                <w:lang w:val="en-GB" w:eastAsia="hr-HR"/>
              </w:rPr>
            </w:pPr>
            <w:r w:rsidRPr="0005777B">
              <w:rPr>
                <w:color w:val="000000"/>
                <w:lang w:val="en-GB"/>
              </w:rPr>
              <w:t>2</w:t>
            </w:r>
            <w:r w:rsidR="00C172B0" w:rsidRPr="0005777B">
              <w:rPr>
                <w:color w:val="000000"/>
                <w:lang w:val="en-GB"/>
              </w:rPr>
              <w:t>,</w:t>
            </w:r>
            <w:r w:rsidRPr="0005777B">
              <w:rPr>
                <w:color w:val="000000"/>
                <w:lang w:val="en-GB"/>
              </w:rPr>
              <w:t>647</w:t>
            </w:r>
            <w:r w:rsidR="00C172B0" w:rsidRPr="0005777B">
              <w:rPr>
                <w:color w:val="000000"/>
                <w:lang w:val="en-GB"/>
              </w:rPr>
              <w:t>.</w:t>
            </w:r>
            <w:r w:rsidRPr="0005777B">
              <w:rPr>
                <w:color w:val="000000"/>
                <w:lang w:val="en-GB"/>
              </w:rPr>
              <w:t>05</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color w:val="000000"/>
                <w:lang w:val="en-GB" w:eastAsia="hr-HR"/>
              </w:rPr>
            </w:pPr>
            <w:r w:rsidRPr="0005777B">
              <w:rPr>
                <w:color w:val="000000"/>
                <w:lang w:val="en-GB"/>
              </w:rPr>
              <w:t>87</w:t>
            </w:r>
            <w:r w:rsidR="00C172B0" w:rsidRPr="0005777B">
              <w:rPr>
                <w:color w:val="000000"/>
                <w:lang w:val="en-GB"/>
              </w:rPr>
              <w:t>.</w:t>
            </w:r>
            <w:r w:rsidRPr="0005777B">
              <w:rPr>
                <w:color w:val="000000"/>
                <w:lang w:val="en-GB"/>
              </w:rPr>
              <w:t>00</w:t>
            </w:r>
          </w:p>
        </w:tc>
        <w:tc>
          <w:tcPr>
            <w:tcW w:w="1793" w:type="dxa"/>
            <w:shd w:val="clear" w:color="auto" w:fill="auto"/>
            <w:vAlign w:val="center"/>
          </w:tcPr>
          <w:p w:rsidR="0048362C" w:rsidRPr="0005777B" w:rsidRDefault="005B58C5" w:rsidP="001D70EE">
            <w:pPr>
              <w:spacing w:after="0" w:line="240" w:lineRule="auto"/>
              <w:jc w:val="center"/>
              <w:rPr>
                <w:rFonts w:ascii="Calibri" w:eastAsia="Times New Roman" w:hAnsi="Calibri" w:cs="Times New Roman"/>
                <w:bCs/>
                <w:color w:val="000000"/>
                <w:lang w:val="en-GB" w:eastAsia="hr-HR"/>
              </w:rPr>
            </w:pPr>
            <w:r w:rsidRPr="0005777B">
              <w:rPr>
                <w:rFonts w:ascii="Calibri" w:eastAsia="Times New Roman" w:hAnsi="Calibri" w:cs="Times New Roman"/>
                <w:bCs/>
                <w:color w:val="000000"/>
                <w:lang w:val="en-GB" w:eastAsia="hr-HR"/>
              </w:rPr>
              <w:t>2</w:t>
            </w:r>
            <w:r w:rsidR="00C172B0" w:rsidRPr="0005777B">
              <w:rPr>
                <w:rFonts w:ascii="Calibri" w:eastAsia="Times New Roman" w:hAnsi="Calibri" w:cs="Times New Roman"/>
                <w:bCs/>
                <w:color w:val="000000"/>
                <w:lang w:val="en-GB" w:eastAsia="hr-HR"/>
              </w:rPr>
              <w:t>,</w:t>
            </w:r>
            <w:r w:rsidRPr="0005777B">
              <w:rPr>
                <w:rFonts w:ascii="Calibri" w:eastAsia="Times New Roman" w:hAnsi="Calibri" w:cs="Times New Roman"/>
                <w:bCs/>
                <w:color w:val="000000"/>
                <w:lang w:val="en-GB" w:eastAsia="hr-HR"/>
              </w:rPr>
              <w:t>7</w:t>
            </w:r>
            <w:r w:rsidR="001D70EE">
              <w:rPr>
                <w:rFonts w:ascii="Calibri" w:eastAsia="Times New Roman" w:hAnsi="Calibri" w:cs="Times New Roman"/>
                <w:bCs/>
                <w:color w:val="000000"/>
                <w:lang w:val="en-GB" w:eastAsia="hr-HR"/>
              </w:rPr>
              <w:t>43</w:t>
            </w:r>
            <w:r w:rsidR="00C172B0" w:rsidRPr="0005777B">
              <w:rPr>
                <w:rFonts w:ascii="Calibri" w:eastAsia="Times New Roman" w:hAnsi="Calibri" w:cs="Times New Roman"/>
                <w:bCs/>
                <w:color w:val="000000"/>
                <w:lang w:val="en-GB" w:eastAsia="hr-HR"/>
              </w:rPr>
              <w:t>.</w:t>
            </w:r>
            <w:r w:rsidRPr="0005777B">
              <w:rPr>
                <w:rFonts w:ascii="Calibri" w:eastAsia="Times New Roman" w:hAnsi="Calibri" w:cs="Times New Roman"/>
                <w:bCs/>
                <w:color w:val="000000"/>
                <w:lang w:val="en-GB" w:eastAsia="hr-HR"/>
              </w:rPr>
              <w:t>3</w:t>
            </w:r>
            <w:r w:rsidR="001D70EE">
              <w:rPr>
                <w:rFonts w:ascii="Calibri" w:eastAsia="Times New Roman" w:hAnsi="Calibri" w:cs="Times New Roman"/>
                <w:bCs/>
                <w:color w:val="000000"/>
                <w:lang w:val="en-GB" w:eastAsia="hr-HR"/>
              </w:rPr>
              <w:t>5</w:t>
            </w:r>
          </w:p>
        </w:tc>
        <w:tc>
          <w:tcPr>
            <w:tcW w:w="1559" w:type="dxa"/>
            <w:shd w:val="clear" w:color="auto" w:fill="auto"/>
            <w:noWrap/>
            <w:vAlign w:val="center"/>
          </w:tcPr>
          <w:p w:rsidR="0048362C" w:rsidRPr="0005777B" w:rsidRDefault="005B58C5" w:rsidP="001D70EE">
            <w:pPr>
              <w:spacing w:after="0" w:line="240" w:lineRule="auto"/>
              <w:jc w:val="center"/>
              <w:rPr>
                <w:rFonts w:ascii="Calibri" w:eastAsia="Times New Roman" w:hAnsi="Calibri" w:cs="Times New Roman"/>
                <w:bCs/>
                <w:color w:val="000000"/>
                <w:lang w:val="en-GB" w:eastAsia="hr-HR"/>
              </w:rPr>
            </w:pPr>
            <w:r w:rsidRPr="0005777B">
              <w:rPr>
                <w:rFonts w:ascii="Calibri" w:eastAsia="Times New Roman" w:hAnsi="Calibri" w:cs="Times New Roman"/>
                <w:bCs/>
                <w:color w:val="000000"/>
                <w:lang w:val="en-GB" w:eastAsia="hr-HR"/>
              </w:rPr>
              <w:t>8</w:t>
            </w:r>
            <w:r w:rsidR="001D70EE">
              <w:rPr>
                <w:rFonts w:ascii="Calibri" w:eastAsia="Times New Roman" w:hAnsi="Calibri" w:cs="Times New Roman"/>
                <w:bCs/>
                <w:color w:val="000000"/>
                <w:lang w:val="en-GB" w:eastAsia="hr-HR"/>
              </w:rPr>
              <w:t>9</w:t>
            </w:r>
            <w:r w:rsidR="00C172B0" w:rsidRPr="0005777B">
              <w:rPr>
                <w:rFonts w:ascii="Calibri" w:eastAsia="Times New Roman" w:hAnsi="Calibri" w:cs="Times New Roman"/>
                <w:bCs/>
                <w:color w:val="000000"/>
                <w:lang w:val="en-GB" w:eastAsia="hr-HR"/>
              </w:rPr>
              <w:t>.</w:t>
            </w:r>
            <w:r w:rsidR="001D70EE">
              <w:rPr>
                <w:rFonts w:ascii="Calibri" w:eastAsia="Times New Roman" w:hAnsi="Calibri" w:cs="Times New Roman"/>
                <w:bCs/>
                <w:color w:val="000000"/>
                <w:lang w:val="en-GB" w:eastAsia="hr-HR"/>
              </w:rPr>
              <w:t>18</w:t>
            </w:r>
          </w:p>
        </w:tc>
      </w:tr>
      <w:tr w:rsidR="0048362C" w:rsidRPr="0005777B" w:rsidTr="00C23C95">
        <w:trPr>
          <w:trHeight w:val="205"/>
        </w:trPr>
        <w:tc>
          <w:tcPr>
            <w:tcW w:w="3162" w:type="dxa"/>
            <w:shd w:val="clear" w:color="auto" w:fill="auto"/>
            <w:vAlign w:val="center"/>
            <w:hideMark/>
          </w:tcPr>
          <w:p w:rsidR="0048362C" w:rsidRPr="0005777B" w:rsidRDefault="0048362C" w:rsidP="0048362C">
            <w:pPr>
              <w:spacing w:after="0" w:line="240" w:lineRule="auto"/>
              <w:rPr>
                <w:rFonts w:ascii="Calibri" w:eastAsia="Times New Roman" w:hAnsi="Calibri" w:cs="Times New Roman"/>
                <w:color w:val="000000"/>
                <w:lang w:val="en-GB" w:eastAsia="hr-HR"/>
              </w:rPr>
            </w:pP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48362C">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hideMark/>
          </w:tcPr>
          <w:p w:rsidR="0048362C" w:rsidRPr="0005777B" w:rsidRDefault="0048362C" w:rsidP="0048362C">
            <w:pPr>
              <w:spacing w:after="0" w:line="240" w:lineRule="auto"/>
              <w:jc w:val="center"/>
              <w:rPr>
                <w:rFonts w:ascii="Times New Roman" w:eastAsia="Times New Roman" w:hAnsi="Times New Roman" w:cs="Times New Roman"/>
                <w:sz w:val="20"/>
                <w:szCs w:val="20"/>
                <w:lang w:val="en-GB" w:eastAsia="hr-HR"/>
              </w:rPr>
            </w:pPr>
          </w:p>
        </w:tc>
        <w:tc>
          <w:tcPr>
            <w:tcW w:w="1793" w:type="dxa"/>
            <w:shd w:val="clear" w:color="auto" w:fill="auto"/>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p>
        </w:tc>
        <w:tc>
          <w:tcPr>
            <w:tcW w:w="1559" w:type="dxa"/>
            <w:shd w:val="clear" w:color="auto" w:fill="auto"/>
            <w:noWrap/>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p>
        </w:tc>
      </w:tr>
      <w:tr w:rsidR="0048362C" w:rsidRPr="0005777B" w:rsidTr="00C23C95">
        <w:trPr>
          <w:trHeight w:val="410"/>
        </w:trPr>
        <w:tc>
          <w:tcPr>
            <w:tcW w:w="3162" w:type="dxa"/>
            <w:shd w:val="clear" w:color="auto" w:fill="auto"/>
            <w:vAlign w:val="center"/>
            <w:hideMark/>
          </w:tcPr>
          <w:p w:rsidR="0048362C" w:rsidRPr="0005777B" w:rsidRDefault="00FD099C" w:rsidP="00FD099C">
            <w:pPr>
              <w:spacing w:after="0" w:line="240" w:lineRule="auto"/>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Provisions</w:t>
            </w:r>
            <w:r w:rsidR="0048362C" w:rsidRPr="0005777B">
              <w:rPr>
                <w:rFonts w:ascii="Calibri" w:eastAsia="Times New Roman" w:hAnsi="Calibri" w:cs="Times New Roman"/>
                <w:b/>
                <w:bCs/>
                <w:color w:val="000000"/>
                <w:lang w:val="en-GB" w:eastAsia="hr-HR"/>
              </w:rPr>
              <w:t>/</w:t>
            </w:r>
            <w:r w:rsidRPr="0005777B">
              <w:rPr>
                <w:rFonts w:ascii="Calibri" w:eastAsia="Times New Roman" w:hAnsi="Calibri" w:cs="Times New Roman"/>
                <w:b/>
                <w:bCs/>
                <w:color w:val="000000"/>
                <w:lang w:val="en-GB" w:eastAsia="hr-HR"/>
              </w:rPr>
              <w:t xml:space="preserve">gross portfolio </w:t>
            </w:r>
          </w:p>
        </w:tc>
        <w:tc>
          <w:tcPr>
            <w:tcW w:w="1897" w:type="dxa"/>
            <w:tcBorders>
              <w:top w:val="single" w:sz="2" w:space="0" w:color="A6A6A6"/>
              <w:left w:val="single" w:sz="2" w:space="0" w:color="A6A6A6"/>
              <w:bottom w:val="single" w:sz="2" w:space="0" w:color="A6A6A6"/>
              <w:right w:val="single" w:sz="2" w:space="0" w:color="A6A6A6"/>
            </w:tcBorders>
            <w:shd w:val="clear" w:color="auto" w:fill="auto"/>
            <w:vAlign w:val="center"/>
            <w:hideMark/>
          </w:tcPr>
          <w:p w:rsidR="0048362C" w:rsidRPr="0005777B" w:rsidRDefault="0048362C" w:rsidP="00C172B0">
            <w:pPr>
              <w:spacing w:after="0" w:line="240" w:lineRule="auto"/>
              <w:jc w:val="center"/>
              <w:rPr>
                <w:rFonts w:ascii="Calibri" w:eastAsia="Times New Roman" w:hAnsi="Calibri" w:cs="Times New Roman"/>
                <w:b/>
                <w:bCs/>
                <w:color w:val="000000"/>
                <w:lang w:val="en-GB" w:eastAsia="hr-HR"/>
              </w:rPr>
            </w:pPr>
            <w:r w:rsidRPr="0005777B">
              <w:rPr>
                <w:b/>
                <w:bCs/>
                <w:color w:val="000000"/>
                <w:lang w:val="en-GB"/>
              </w:rPr>
              <w:t>8</w:t>
            </w:r>
            <w:r w:rsidR="00C172B0" w:rsidRPr="0005777B">
              <w:rPr>
                <w:b/>
                <w:bCs/>
                <w:color w:val="000000"/>
                <w:lang w:val="en-GB"/>
              </w:rPr>
              <w:t>.</w:t>
            </w:r>
            <w:r w:rsidRPr="0005777B">
              <w:rPr>
                <w:b/>
                <w:bCs/>
                <w:color w:val="000000"/>
                <w:lang w:val="en-GB"/>
              </w:rPr>
              <w:t>34 p</w:t>
            </w:r>
            <w:r w:rsidR="00C172B0" w:rsidRPr="0005777B">
              <w:rPr>
                <w:b/>
                <w:bCs/>
                <w:color w:val="000000"/>
                <w:lang w:val="en-GB"/>
              </w:rPr>
              <w:t>ercent</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hideMark/>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r w:rsidRPr="0005777B">
              <w:rPr>
                <w:b/>
                <w:bCs/>
                <w:color w:val="000000"/>
                <w:lang w:val="en-GB"/>
              </w:rPr>
              <w:t>-</w:t>
            </w:r>
          </w:p>
        </w:tc>
        <w:tc>
          <w:tcPr>
            <w:tcW w:w="1793" w:type="dxa"/>
            <w:shd w:val="clear" w:color="auto" w:fill="auto"/>
            <w:vAlign w:val="center"/>
          </w:tcPr>
          <w:p w:rsidR="0048362C" w:rsidRPr="0005777B" w:rsidRDefault="005B58C5" w:rsidP="001D70EE">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8</w:t>
            </w:r>
            <w:r w:rsidR="00C172B0" w:rsidRPr="0005777B">
              <w:rPr>
                <w:rFonts w:ascii="Calibri" w:eastAsia="Times New Roman" w:hAnsi="Calibri" w:cs="Times New Roman"/>
                <w:b/>
                <w:bCs/>
                <w:color w:val="000000"/>
                <w:lang w:val="en-GB" w:eastAsia="hr-HR"/>
              </w:rPr>
              <w:t>.</w:t>
            </w:r>
            <w:r w:rsidR="001D70EE">
              <w:rPr>
                <w:rFonts w:ascii="Calibri" w:eastAsia="Times New Roman" w:hAnsi="Calibri" w:cs="Times New Roman"/>
                <w:b/>
                <w:bCs/>
                <w:color w:val="000000"/>
                <w:lang w:val="en-GB" w:eastAsia="hr-HR"/>
              </w:rPr>
              <w:t>44</w:t>
            </w:r>
            <w:r w:rsidRPr="0005777B">
              <w:rPr>
                <w:rFonts w:ascii="Calibri" w:eastAsia="Times New Roman" w:hAnsi="Calibri" w:cs="Times New Roman"/>
                <w:b/>
                <w:bCs/>
                <w:color w:val="000000"/>
                <w:lang w:val="en-GB" w:eastAsia="hr-HR"/>
              </w:rPr>
              <w:t xml:space="preserve"> p</w:t>
            </w:r>
            <w:r w:rsidR="00C172B0" w:rsidRPr="0005777B">
              <w:rPr>
                <w:rFonts w:ascii="Calibri" w:eastAsia="Times New Roman" w:hAnsi="Calibri" w:cs="Times New Roman"/>
                <w:b/>
                <w:bCs/>
                <w:color w:val="000000"/>
                <w:lang w:val="en-GB" w:eastAsia="hr-HR"/>
              </w:rPr>
              <w:t>ercent</w:t>
            </w:r>
          </w:p>
        </w:tc>
        <w:tc>
          <w:tcPr>
            <w:tcW w:w="1559" w:type="dxa"/>
            <w:shd w:val="clear" w:color="auto" w:fill="auto"/>
            <w:noWrap/>
            <w:vAlign w:val="center"/>
          </w:tcPr>
          <w:p w:rsidR="0048362C" w:rsidRPr="0005777B" w:rsidRDefault="0048362C" w:rsidP="0048362C">
            <w:pPr>
              <w:spacing w:after="0" w:line="240" w:lineRule="auto"/>
              <w:jc w:val="center"/>
              <w:rPr>
                <w:rFonts w:ascii="Calibri" w:eastAsia="Times New Roman" w:hAnsi="Calibri" w:cs="Times New Roman"/>
                <w:b/>
                <w:bCs/>
                <w:color w:val="000000"/>
                <w:lang w:val="en-GB" w:eastAsia="hr-HR"/>
              </w:rPr>
            </w:pPr>
            <w:r w:rsidRPr="0005777B">
              <w:rPr>
                <w:rFonts w:ascii="Calibri" w:eastAsia="Times New Roman" w:hAnsi="Calibri" w:cs="Times New Roman"/>
                <w:b/>
                <w:bCs/>
                <w:color w:val="000000"/>
                <w:lang w:val="en-GB" w:eastAsia="hr-HR"/>
              </w:rPr>
              <w:t>-</w:t>
            </w:r>
          </w:p>
        </w:tc>
      </w:tr>
    </w:tbl>
    <w:p w:rsidR="00BF17D9" w:rsidRPr="0005777B" w:rsidRDefault="00BF17D9" w:rsidP="00BF17D9">
      <w:pPr>
        <w:spacing w:after="0" w:line="240" w:lineRule="auto"/>
        <w:rPr>
          <w:rFonts w:eastAsia="Times New Roman" w:cs="Calibri"/>
          <w:b/>
          <w:i/>
          <w:spacing w:val="-3"/>
          <w:sz w:val="24"/>
          <w:szCs w:val="24"/>
          <w:lang w:val="en-GB" w:eastAsia="hr-HR"/>
        </w:rPr>
      </w:pPr>
    </w:p>
    <w:p w:rsidR="007E222A" w:rsidRPr="0005777B" w:rsidRDefault="007E222A" w:rsidP="007667DB">
      <w:pPr>
        <w:spacing w:after="0" w:line="240" w:lineRule="auto"/>
        <w:rPr>
          <w:rFonts w:eastAsia="Times New Roman" w:cs="Calibri"/>
          <w:spacing w:val="-3"/>
          <w:sz w:val="24"/>
          <w:szCs w:val="24"/>
          <w:lang w:val="en-GB" w:eastAsia="hr-HR"/>
        </w:rPr>
      </w:pPr>
    </w:p>
    <w:p w:rsidR="00BF17D9" w:rsidRPr="0005777B" w:rsidRDefault="00BF17D9" w:rsidP="007667DB">
      <w:pPr>
        <w:spacing w:after="0" w:line="240" w:lineRule="auto"/>
        <w:jc w:val="both"/>
        <w:rPr>
          <w:rFonts w:eastAsia="Times New Roman" w:cs="Calibri"/>
          <w:spacing w:val="-3"/>
          <w:sz w:val="24"/>
          <w:szCs w:val="24"/>
          <w:lang w:val="en-GB" w:eastAsia="hr-HR"/>
        </w:rPr>
        <w:sectPr w:rsidR="00BF17D9" w:rsidRPr="0005777B">
          <w:footerReference w:type="default" r:id="rId36"/>
          <w:pgSz w:w="11906" w:h="16838"/>
          <w:pgMar w:top="1417" w:right="1417" w:bottom="1417" w:left="1417" w:header="708" w:footer="708" w:gutter="0"/>
          <w:cols w:space="708"/>
          <w:docGrid w:linePitch="360"/>
        </w:sectPr>
      </w:pPr>
    </w:p>
    <w:p w:rsidR="00857E8B" w:rsidRPr="0005777B" w:rsidRDefault="008A0D99" w:rsidP="00C23C95">
      <w:pPr>
        <w:tabs>
          <w:tab w:val="left" w:pos="-720"/>
        </w:tabs>
        <w:spacing w:after="0" w:line="240" w:lineRule="auto"/>
        <w:jc w:val="both"/>
        <w:rPr>
          <w:rFonts w:ascii="Calibri" w:hAnsi="Calibri" w:cs="Calibri"/>
          <w:b/>
          <w:spacing w:val="-3"/>
          <w:sz w:val="24"/>
          <w:szCs w:val="24"/>
          <w:lang w:val="en-GB"/>
        </w:rPr>
      </w:pPr>
      <w:r w:rsidRPr="0005777B">
        <w:rPr>
          <w:rFonts w:ascii="Calibri" w:hAnsi="Calibri" w:cs="Calibri"/>
          <w:b/>
          <w:spacing w:val="-3"/>
          <w:sz w:val="24"/>
          <w:szCs w:val="24"/>
          <w:lang w:val="en-GB"/>
        </w:rPr>
        <w:t>Significant changes in the financial position</w:t>
      </w:r>
    </w:p>
    <w:p w:rsidR="00422588" w:rsidRPr="0005777B" w:rsidRDefault="00422588" w:rsidP="003E5F5C">
      <w:pPr>
        <w:spacing w:after="0" w:line="240" w:lineRule="auto"/>
        <w:jc w:val="both"/>
        <w:rPr>
          <w:rFonts w:eastAsia="Times New Roman" w:cs="Calibri"/>
          <w:spacing w:val="-3"/>
          <w:sz w:val="24"/>
          <w:szCs w:val="24"/>
          <w:lang w:val="en-GB" w:eastAsia="hr-HR"/>
        </w:rPr>
      </w:pPr>
    </w:p>
    <w:p w:rsidR="00422588" w:rsidRPr="0005777B" w:rsidRDefault="008A0D99" w:rsidP="00FE5B03">
      <w:pPr>
        <w:tabs>
          <w:tab w:val="left" w:pos="-720"/>
        </w:tabs>
        <w:suppressAutoHyphens/>
        <w:spacing w:after="0" w:line="240" w:lineRule="auto"/>
        <w:jc w:val="both"/>
        <w:rPr>
          <w:rFonts w:eastAsia="Times New Roman" w:cs="Calibri"/>
          <w:spacing w:val="-3"/>
          <w:sz w:val="24"/>
          <w:szCs w:val="24"/>
          <w:lang w:val="en-GB" w:eastAsia="hr-HR"/>
        </w:rPr>
      </w:pPr>
      <w:r w:rsidRPr="0005777B">
        <w:rPr>
          <w:rFonts w:cstheme="minorHAnsi"/>
          <w:spacing w:val="-3"/>
          <w:sz w:val="24"/>
          <w:szCs w:val="24"/>
          <w:lang w:val="en-GB"/>
        </w:rPr>
        <w:t xml:space="preserve">Total assets of HBOR as </w:t>
      </w:r>
      <w:r w:rsidR="00E82C58" w:rsidRPr="0005777B">
        <w:rPr>
          <w:rFonts w:cstheme="minorHAnsi"/>
          <w:spacing w:val="-3"/>
          <w:sz w:val="24"/>
          <w:szCs w:val="24"/>
          <w:lang w:val="en-GB"/>
        </w:rPr>
        <w:t>at</w:t>
      </w:r>
      <w:r w:rsidRPr="0005777B">
        <w:rPr>
          <w:rFonts w:cstheme="minorHAnsi"/>
          <w:spacing w:val="-3"/>
          <w:sz w:val="24"/>
          <w:szCs w:val="24"/>
          <w:lang w:val="en-GB"/>
        </w:rPr>
        <w:t xml:space="preserve"> 3</w:t>
      </w:r>
      <w:r w:rsidR="00476109">
        <w:rPr>
          <w:rFonts w:cstheme="minorHAnsi"/>
          <w:spacing w:val="-3"/>
          <w:sz w:val="24"/>
          <w:szCs w:val="24"/>
          <w:lang w:val="en-GB"/>
        </w:rPr>
        <w:t>0 June</w:t>
      </w:r>
      <w:r w:rsidR="00E82C58" w:rsidRPr="0005777B">
        <w:rPr>
          <w:rFonts w:cstheme="minorHAnsi"/>
          <w:spacing w:val="-3"/>
          <w:sz w:val="24"/>
          <w:szCs w:val="24"/>
          <w:lang w:val="en-GB"/>
        </w:rPr>
        <w:t xml:space="preserve"> </w:t>
      </w:r>
      <w:r w:rsidRPr="0005777B">
        <w:rPr>
          <w:rFonts w:cstheme="minorHAnsi"/>
          <w:spacing w:val="-3"/>
          <w:sz w:val="24"/>
          <w:szCs w:val="24"/>
          <w:lang w:val="en-GB"/>
        </w:rPr>
        <w:t>201</w:t>
      </w:r>
      <w:r w:rsidR="00E82C58" w:rsidRPr="0005777B">
        <w:rPr>
          <w:rFonts w:cstheme="minorHAnsi"/>
          <w:spacing w:val="-3"/>
          <w:sz w:val="24"/>
          <w:szCs w:val="24"/>
          <w:lang w:val="en-GB"/>
        </w:rPr>
        <w:t>7</w:t>
      </w:r>
      <w:r w:rsidRPr="0005777B">
        <w:rPr>
          <w:rFonts w:cstheme="minorHAnsi"/>
          <w:spacing w:val="-3"/>
          <w:sz w:val="24"/>
          <w:szCs w:val="24"/>
          <w:lang w:val="en-GB"/>
        </w:rPr>
        <w:t xml:space="preserve"> amounted to HRK </w:t>
      </w:r>
      <w:r w:rsidR="00164CDA">
        <w:rPr>
          <w:rFonts w:cstheme="minorHAnsi"/>
          <w:spacing w:val="-3"/>
          <w:sz w:val="24"/>
          <w:szCs w:val="24"/>
          <w:lang w:val="en-GB"/>
        </w:rPr>
        <w:t>27,805.97</w:t>
      </w:r>
      <w:r w:rsidR="00810A4B" w:rsidRPr="0005777B">
        <w:rPr>
          <w:rFonts w:cstheme="minorHAnsi"/>
          <w:spacing w:val="-3"/>
          <w:sz w:val="24"/>
          <w:szCs w:val="24"/>
          <w:lang w:val="en-GB"/>
        </w:rPr>
        <w:t xml:space="preserve"> </w:t>
      </w:r>
      <w:r w:rsidR="00E82C58" w:rsidRPr="0005777B">
        <w:rPr>
          <w:rFonts w:cstheme="minorHAnsi"/>
          <w:spacing w:val="-3"/>
          <w:sz w:val="24"/>
          <w:szCs w:val="24"/>
          <w:lang w:val="en-GB"/>
        </w:rPr>
        <w:t xml:space="preserve">million, an increase of </w:t>
      </w:r>
      <w:r w:rsidR="00476109">
        <w:rPr>
          <w:rFonts w:cstheme="minorHAnsi"/>
          <w:spacing w:val="-3"/>
          <w:sz w:val="24"/>
          <w:szCs w:val="24"/>
          <w:lang w:val="en-GB"/>
        </w:rPr>
        <w:t>1</w:t>
      </w:r>
      <w:r w:rsidR="00E82C58" w:rsidRPr="0005777B">
        <w:rPr>
          <w:rFonts w:cstheme="minorHAnsi"/>
          <w:spacing w:val="-3"/>
          <w:sz w:val="24"/>
          <w:szCs w:val="24"/>
          <w:lang w:val="en-GB"/>
        </w:rPr>
        <w:t>.</w:t>
      </w:r>
      <w:r w:rsidR="00A969CE" w:rsidRPr="0005777B">
        <w:rPr>
          <w:rFonts w:cstheme="minorHAnsi"/>
          <w:spacing w:val="-3"/>
          <w:sz w:val="24"/>
          <w:szCs w:val="24"/>
          <w:lang w:val="en-GB"/>
        </w:rPr>
        <w:t>5</w:t>
      </w:r>
      <w:r w:rsidR="00476109">
        <w:rPr>
          <w:rFonts w:cstheme="minorHAnsi"/>
          <w:spacing w:val="-3"/>
          <w:sz w:val="24"/>
          <w:szCs w:val="24"/>
          <w:lang w:val="en-GB"/>
        </w:rPr>
        <w:t>7</w:t>
      </w:r>
      <w:r w:rsidR="00A969CE" w:rsidRPr="0005777B">
        <w:rPr>
          <w:rFonts w:cstheme="minorHAnsi"/>
          <w:spacing w:val="-3"/>
          <w:sz w:val="24"/>
          <w:szCs w:val="24"/>
          <w:lang w:val="en-GB"/>
        </w:rPr>
        <w:t xml:space="preserve"> </w:t>
      </w:r>
      <w:r w:rsidR="001014AC" w:rsidRPr="0005777B">
        <w:rPr>
          <w:rFonts w:cstheme="minorHAnsi"/>
          <w:spacing w:val="-3"/>
          <w:sz w:val="24"/>
          <w:szCs w:val="24"/>
          <w:lang w:val="en-GB"/>
        </w:rPr>
        <w:t>p</w:t>
      </w:r>
      <w:r w:rsidR="00E82C58" w:rsidRPr="0005777B">
        <w:rPr>
          <w:rFonts w:cstheme="minorHAnsi"/>
          <w:spacing w:val="-3"/>
          <w:sz w:val="24"/>
          <w:szCs w:val="24"/>
          <w:lang w:val="en-GB"/>
        </w:rPr>
        <w:t xml:space="preserve">ercent compared with the beginning of the year. </w:t>
      </w:r>
      <w:r w:rsidR="00DC74FE">
        <w:rPr>
          <w:rFonts w:cstheme="minorHAnsi"/>
          <w:spacing w:val="-3"/>
          <w:sz w:val="24"/>
          <w:szCs w:val="24"/>
          <w:lang w:val="en-GB"/>
        </w:rPr>
        <w:t xml:space="preserve">The slight increase in the total assets and the decrease compared with 31 March 2017 are the result of the one-off payment under the long-term bonds in the amount of HRK </w:t>
      </w:r>
      <w:r w:rsidR="00DC74FE" w:rsidRPr="00DC74FE">
        <w:rPr>
          <w:rFonts w:cstheme="minorHAnsi"/>
          <w:spacing w:val="-3"/>
          <w:sz w:val="24"/>
          <w:szCs w:val="24"/>
          <w:lang w:val="en-GB"/>
        </w:rPr>
        <w:t>1,8</w:t>
      </w:r>
      <w:r w:rsidR="00F72699">
        <w:rPr>
          <w:rFonts w:cstheme="minorHAnsi"/>
          <w:spacing w:val="-3"/>
          <w:sz w:val="24"/>
          <w:szCs w:val="24"/>
          <w:lang w:val="en-GB"/>
        </w:rPr>
        <w:t>5</w:t>
      </w:r>
      <w:r w:rsidR="00B21736">
        <w:rPr>
          <w:rFonts w:cstheme="minorHAnsi"/>
          <w:spacing w:val="-3"/>
          <w:sz w:val="24"/>
          <w:szCs w:val="24"/>
          <w:lang w:val="en-GB"/>
        </w:rPr>
        <w:t>2</w:t>
      </w:r>
      <w:r w:rsidR="00DC74FE">
        <w:rPr>
          <w:rFonts w:cstheme="minorHAnsi"/>
          <w:spacing w:val="-3"/>
          <w:sz w:val="24"/>
          <w:szCs w:val="24"/>
          <w:lang w:val="en-GB"/>
        </w:rPr>
        <w:t>.</w:t>
      </w:r>
      <w:r w:rsidR="00DC74FE" w:rsidRPr="00DC74FE">
        <w:rPr>
          <w:rFonts w:cstheme="minorHAnsi"/>
          <w:spacing w:val="-3"/>
          <w:sz w:val="24"/>
          <w:szCs w:val="24"/>
          <w:lang w:val="en-GB"/>
        </w:rPr>
        <w:t>05</w:t>
      </w:r>
      <w:r w:rsidR="00DC74FE">
        <w:rPr>
          <w:rFonts w:cstheme="minorHAnsi"/>
          <w:spacing w:val="-3"/>
          <w:sz w:val="24"/>
          <w:szCs w:val="24"/>
          <w:lang w:val="en-GB"/>
        </w:rPr>
        <w:t xml:space="preserve"> million </w:t>
      </w:r>
      <w:r w:rsidR="00DC74FE" w:rsidRPr="00DC74FE">
        <w:rPr>
          <w:rFonts w:cstheme="minorHAnsi"/>
          <w:spacing w:val="-3"/>
          <w:sz w:val="24"/>
          <w:szCs w:val="24"/>
          <w:lang w:val="en-GB"/>
        </w:rPr>
        <w:t>together with interest of HRK 92</w:t>
      </w:r>
      <w:r w:rsidR="00DC74FE">
        <w:rPr>
          <w:rFonts w:cstheme="minorHAnsi"/>
          <w:spacing w:val="-3"/>
          <w:sz w:val="24"/>
          <w:szCs w:val="24"/>
          <w:lang w:val="en-GB"/>
        </w:rPr>
        <w:t>.</w:t>
      </w:r>
      <w:r w:rsidR="00DC74FE" w:rsidRPr="00DC74FE">
        <w:rPr>
          <w:rFonts w:cstheme="minorHAnsi"/>
          <w:spacing w:val="-3"/>
          <w:sz w:val="24"/>
          <w:szCs w:val="24"/>
          <w:lang w:val="en-GB"/>
        </w:rPr>
        <w:t>60</w:t>
      </w:r>
      <w:r w:rsidR="00DC74FE">
        <w:rPr>
          <w:rFonts w:cstheme="minorHAnsi"/>
          <w:spacing w:val="-3"/>
          <w:sz w:val="24"/>
          <w:szCs w:val="24"/>
          <w:lang w:val="en-GB"/>
        </w:rPr>
        <w:t xml:space="preserve"> million made by HBOR on </w:t>
      </w:r>
      <w:r w:rsidR="00DC74FE" w:rsidRPr="00DC74FE">
        <w:rPr>
          <w:rFonts w:cstheme="minorHAnsi"/>
          <w:spacing w:val="-3"/>
          <w:sz w:val="24"/>
          <w:szCs w:val="24"/>
          <w:lang w:val="en-GB"/>
        </w:rPr>
        <w:t>13 June 2017</w:t>
      </w:r>
      <w:r w:rsidR="00F23B41" w:rsidRPr="0005777B">
        <w:rPr>
          <w:rFonts w:cstheme="minorHAnsi"/>
          <w:spacing w:val="-3"/>
          <w:sz w:val="24"/>
          <w:szCs w:val="24"/>
          <w:lang w:val="en-GB"/>
        </w:rPr>
        <w:t>.</w:t>
      </w:r>
      <w:r w:rsidR="00F23B41" w:rsidRPr="0005777B" w:rsidDel="00F23B41">
        <w:rPr>
          <w:rFonts w:cstheme="minorHAnsi"/>
          <w:spacing w:val="-3"/>
          <w:sz w:val="24"/>
          <w:szCs w:val="24"/>
          <w:lang w:val="en-GB"/>
        </w:rPr>
        <w:t xml:space="preserve"> </w:t>
      </w:r>
    </w:p>
    <w:p w:rsidR="00C21778" w:rsidRPr="0005777B" w:rsidRDefault="00C21778" w:rsidP="00075515">
      <w:pPr>
        <w:spacing w:after="0" w:line="240" w:lineRule="auto"/>
        <w:jc w:val="both"/>
        <w:rPr>
          <w:rFonts w:eastAsia="Times New Roman" w:cs="Calibri"/>
          <w:spacing w:val="-3"/>
          <w:sz w:val="24"/>
          <w:szCs w:val="24"/>
          <w:lang w:val="en-GB" w:eastAsia="hr-HR"/>
        </w:rPr>
      </w:pPr>
    </w:p>
    <w:p w:rsidR="00422588" w:rsidRPr="0005777B" w:rsidRDefault="008A0D99" w:rsidP="00075515">
      <w:pPr>
        <w:spacing w:after="0" w:line="240" w:lineRule="auto"/>
        <w:jc w:val="both"/>
        <w:rPr>
          <w:rFonts w:eastAsia="Times New Roman" w:cs="Calibri"/>
          <w:b/>
          <w:i/>
          <w:sz w:val="24"/>
          <w:szCs w:val="24"/>
          <w:lang w:val="en-GB" w:eastAsia="hr-HR"/>
        </w:rPr>
      </w:pPr>
      <w:r w:rsidRPr="0005777B">
        <w:rPr>
          <w:rFonts w:eastAsia="Times New Roman" w:cs="Calibri"/>
          <w:b/>
          <w:i/>
          <w:sz w:val="24"/>
          <w:szCs w:val="24"/>
          <w:lang w:val="en-GB" w:eastAsia="hr-HR"/>
        </w:rPr>
        <w:t>Cash on hand and deposits with other banks</w:t>
      </w:r>
      <w:r w:rsidR="007E222A" w:rsidRPr="0005777B">
        <w:rPr>
          <w:rFonts w:eastAsia="Times New Roman" w:cs="Calibri"/>
          <w:b/>
          <w:i/>
          <w:sz w:val="24"/>
          <w:szCs w:val="24"/>
          <w:lang w:val="en-GB" w:eastAsia="hr-HR"/>
        </w:rPr>
        <w:t xml:space="preserve"> </w:t>
      </w:r>
    </w:p>
    <w:p w:rsidR="007667DB" w:rsidRPr="0005777B" w:rsidRDefault="007667DB" w:rsidP="00602844">
      <w:pPr>
        <w:spacing w:after="0" w:line="240" w:lineRule="auto"/>
        <w:jc w:val="both"/>
        <w:rPr>
          <w:rFonts w:eastAsia="Times New Roman" w:cs="Calibri"/>
          <w:b/>
          <w:sz w:val="24"/>
          <w:szCs w:val="24"/>
          <w:lang w:val="en-GB" w:eastAsia="hr-HR"/>
        </w:rPr>
      </w:pPr>
    </w:p>
    <w:p w:rsidR="008646D7" w:rsidRPr="0005777B" w:rsidRDefault="008A0D99" w:rsidP="00602844">
      <w:pPr>
        <w:spacing w:after="0" w:line="240" w:lineRule="auto"/>
        <w:jc w:val="both"/>
        <w:rPr>
          <w:rFonts w:eastAsia="Times New Roman" w:cs="Calibri"/>
          <w:sz w:val="24"/>
          <w:szCs w:val="24"/>
          <w:lang w:val="en-GB" w:eastAsia="hr-HR"/>
        </w:rPr>
      </w:pPr>
      <w:r w:rsidRPr="0005777B">
        <w:rPr>
          <w:rFonts w:cstheme="minorHAnsi"/>
          <w:sz w:val="24"/>
          <w:szCs w:val="24"/>
          <w:lang w:val="en-GB"/>
        </w:rPr>
        <w:t>As at 3</w:t>
      </w:r>
      <w:r w:rsidR="003F0136">
        <w:rPr>
          <w:rFonts w:cstheme="minorHAnsi"/>
          <w:sz w:val="24"/>
          <w:szCs w:val="24"/>
          <w:lang w:val="en-GB"/>
        </w:rPr>
        <w:t>0 June</w:t>
      </w:r>
      <w:r w:rsidR="003F3755" w:rsidRPr="0005777B">
        <w:rPr>
          <w:rFonts w:cstheme="minorHAnsi"/>
          <w:sz w:val="24"/>
          <w:szCs w:val="24"/>
          <w:lang w:val="en-GB"/>
        </w:rPr>
        <w:t xml:space="preserve"> </w:t>
      </w:r>
      <w:r w:rsidRPr="0005777B">
        <w:rPr>
          <w:rFonts w:cstheme="minorHAnsi"/>
          <w:sz w:val="24"/>
          <w:szCs w:val="24"/>
          <w:lang w:val="en-GB"/>
        </w:rPr>
        <w:t>201</w:t>
      </w:r>
      <w:r w:rsidR="003F3755" w:rsidRPr="0005777B">
        <w:rPr>
          <w:rFonts w:cstheme="minorHAnsi"/>
          <w:sz w:val="24"/>
          <w:szCs w:val="24"/>
          <w:lang w:val="en-GB"/>
        </w:rPr>
        <w:t>7</w:t>
      </w:r>
      <w:r w:rsidRPr="0005777B">
        <w:rPr>
          <w:rFonts w:cstheme="minorHAnsi"/>
          <w:sz w:val="24"/>
          <w:szCs w:val="24"/>
          <w:lang w:val="en-GB"/>
        </w:rPr>
        <w:t>, cash on hand and deposits with other banks amounted to HRK</w:t>
      </w:r>
      <w:r w:rsidR="00810A4B" w:rsidRPr="0005777B">
        <w:rPr>
          <w:rFonts w:cstheme="minorHAnsi"/>
          <w:sz w:val="24"/>
          <w:szCs w:val="24"/>
          <w:lang w:val="en-GB"/>
        </w:rPr>
        <w:t xml:space="preserve"> </w:t>
      </w:r>
      <w:r w:rsidR="00A310D3">
        <w:rPr>
          <w:rFonts w:cstheme="minorHAnsi"/>
          <w:sz w:val="24"/>
          <w:szCs w:val="24"/>
          <w:lang w:val="en-GB"/>
        </w:rPr>
        <w:t>1</w:t>
      </w:r>
      <w:r w:rsidR="003F3755" w:rsidRPr="0005777B">
        <w:rPr>
          <w:rFonts w:cstheme="minorHAnsi"/>
          <w:sz w:val="24"/>
          <w:szCs w:val="24"/>
          <w:lang w:val="en-GB"/>
        </w:rPr>
        <w:t>,</w:t>
      </w:r>
      <w:r w:rsidR="00DB38B6" w:rsidRPr="0005777B">
        <w:rPr>
          <w:rFonts w:cstheme="minorHAnsi"/>
          <w:sz w:val="24"/>
          <w:szCs w:val="24"/>
          <w:lang w:val="en-GB"/>
        </w:rPr>
        <w:t>6</w:t>
      </w:r>
      <w:r w:rsidR="00A310D3">
        <w:rPr>
          <w:rFonts w:cstheme="minorHAnsi"/>
          <w:sz w:val="24"/>
          <w:szCs w:val="24"/>
          <w:lang w:val="en-GB"/>
        </w:rPr>
        <w:t>8</w:t>
      </w:r>
      <w:r w:rsidR="00DB38B6" w:rsidRPr="0005777B">
        <w:rPr>
          <w:rFonts w:cstheme="minorHAnsi"/>
          <w:sz w:val="24"/>
          <w:szCs w:val="24"/>
          <w:lang w:val="en-GB"/>
        </w:rPr>
        <w:t>1</w:t>
      </w:r>
      <w:r w:rsidR="003F3755" w:rsidRPr="0005777B">
        <w:rPr>
          <w:rFonts w:cstheme="minorHAnsi"/>
          <w:sz w:val="24"/>
          <w:szCs w:val="24"/>
          <w:lang w:val="en-GB"/>
        </w:rPr>
        <w:t>.</w:t>
      </w:r>
      <w:r w:rsidR="00A310D3">
        <w:rPr>
          <w:rFonts w:cstheme="minorHAnsi"/>
          <w:sz w:val="24"/>
          <w:szCs w:val="24"/>
          <w:lang w:val="en-GB"/>
        </w:rPr>
        <w:t>58</w:t>
      </w:r>
      <w:r w:rsidR="00DB38B6" w:rsidRPr="0005777B">
        <w:rPr>
          <w:rFonts w:cstheme="minorHAnsi"/>
          <w:sz w:val="24"/>
          <w:szCs w:val="24"/>
          <w:lang w:val="en-GB"/>
        </w:rPr>
        <w:t xml:space="preserve"> </w:t>
      </w:r>
      <w:r w:rsidR="003F3755" w:rsidRPr="0005777B">
        <w:rPr>
          <w:rFonts w:cstheme="minorHAnsi"/>
          <w:sz w:val="24"/>
          <w:szCs w:val="24"/>
          <w:lang w:val="en-GB"/>
        </w:rPr>
        <w:t xml:space="preserve">million representing </w:t>
      </w:r>
      <w:r w:rsidR="00A310D3">
        <w:rPr>
          <w:rFonts w:cstheme="minorHAnsi"/>
          <w:sz w:val="24"/>
          <w:szCs w:val="24"/>
          <w:lang w:val="en-GB"/>
        </w:rPr>
        <w:t>6</w:t>
      </w:r>
      <w:r w:rsidR="003F3755" w:rsidRPr="0005777B">
        <w:rPr>
          <w:rFonts w:cstheme="minorHAnsi"/>
          <w:sz w:val="24"/>
          <w:szCs w:val="24"/>
          <w:lang w:val="en-GB"/>
        </w:rPr>
        <w:t>.</w:t>
      </w:r>
      <w:r w:rsidR="001014AC" w:rsidRPr="0005777B">
        <w:rPr>
          <w:rFonts w:cstheme="minorHAnsi"/>
          <w:sz w:val="24"/>
          <w:szCs w:val="24"/>
          <w:lang w:val="en-GB"/>
        </w:rPr>
        <w:t>0</w:t>
      </w:r>
      <w:r w:rsidR="00A310D3">
        <w:rPr>
          <w:rFonts w:cstheme="minorHAnsi"/>
          <w:sz w:val="24"/>
          <w:szCs w:val="24"/>
          <w:lang w:val="en-GB"/>
        </w:rPr>
        <w:t>5</w:t>
      </w:r>
      <w:r w:rsidR="003F3755" w:rsidRPr="0005777B">
        <w:rPr>
          <w:rFonts w:cstheme="minorHAnsi"/>
          <w:sz w:val="24"/>
          <w:szCs w:val="24"/>
          <w:lang w:val="en-GB"/>
        </w:rPr>
        <w:t xml:space="preserve"> percent of total assets, an increase of </w:t>
      </w:r>
      <w:r w:rsidR="00A310D3">
        <w:rPr>
          <w:rFonts w:cstheme="minorHAnsi"/>
          <w:sz w:val="24"/>
          <w:szCs w:val="24"/>
          <w:lang w:val="en-GB"/>
        </w:rPr>
        <w:t>226</w:t>
      </w:r>
      <w:r w:rsidR="003F3755" w:rsidRPr="0005777B">
        <w:rPr>
          <w:rFonts w:cstheme="minorHAnsi"/>
          <w:sz w:val="24"/>
          <w:szCs w:val="24"/>
          <w:lang w:val="en-GB"/>
        </w:rPr>
        <w:t>.</w:t>
      </w:r>
      <w:r w:rsidR="00A310D3">
        <w:rPr>
          <w:rFonts w:cstheme="minorHAnsi"/>
          <w:sz w:val="24"/>
          <w:szCs w:val="24"/>
          <w:lang w:val="en-GB"/>
        </w:rPr>
        <w:t>79</w:t>
      </w:r>
      <w:r w:rsidR="00BE2A95" w:rsidRPr="0005777B">
        <w:rPr>
          <w:rFonts w:cstheme="minorHAnsi"/>
          <w:sz w:val="24"/>
          <w:szCs w:val="24"/>
          <w:lang w:val="en-GB"/>
        </w:rPr>
        <w:t xml:space="preserve"> p</w:t>
      </w:r>
      <w:r w:rsidR="003F3755" w:rsidRPr="0005777B">
        <w:rPr>
          <w:rFonts w:cstheme="minorHAnsi"/>
          <w:sz w:val="24"/>
          <w:szCs w:val="24"/>
          <w:lang w:val="en-GB"/>
        </w:rPr>
        <w:t xml:space="preserve">ercent compared with the beginning of the year as a result of the </w:t>
      </w:r>
      <w:r w:rsidR="00A310D3">
        <w:rPr>
          <w:rFonts w:cstheme="minorHAnsi"/>
          <w:sz w:val="24"/>
          <w:szCs w:val="24"/>
          <w:lang w:val="en-GB"/>
        </w:rPr>
        <w:t xml:space="preserve">redistribution </w:t>
      </w:r>
      <w:r w:rsidR="003F3755" w:rsidRPr="0005777B">
        <w:rPr>
          <w:rFonts w:cstheme="minorHAnsi"/>
          <w:sz w:val="24"/>
          <w:szCs w:val="24"/>
          <w:lang w:val="en-GB"/>
        </w:rPr>
        <w:t xml:space="preserve">of </w:t>
      </w:r>
      <w:r w:rsidR="00A310D3">
        <w:rPr>
          <w:rFonts w:cstheme="minorHAnsi"/>
          <w:sz w:val="24"/>
          <w:szCs w:val="24"/>
          <w:lang w:val="en-GB"/>
        </w:rPr>
        <w:t xml:space="preserve">liquidity reserve </w:t>
      </w:r>
      <w:r w:rsidR="003F3755" w:rsidRPr="0005777B">
        <w:rPr>
          <w:rFonts w:cstheme="minorHAnsi"/>
          <w:sz w:val="24"/>
          <w:szCs w:val="24"/>
          <w:lang w:val="en-GB"/>
        </w:rPr>
        <w:t>funds</w:t>
      </w:r>
      <w:r w:rsidR="001059FF" w:rsidRPr="0005777B">
        <w:rPr>
          <w:rFonts w:cstheme="minorHAnsi"/>
          <w:sz w:val="24"/>
          <w:szCs w:val="24"/>
          <w:lang w:val="en-GB"/>
        </w:rPr>
        <w:t xml:space="preserve">. </w:t>
      </w:r>
    </w:p>
    <w:p w:rsidR="00AC5E5D" w:rsidRPr="0005777B" w:rsidRDefault="00AC5E5D" w:rsidP="00602844">
      <w:pPr>
        <w:spacing w:after="0" w:line="240" w:lineRule="auto"/>
        <w:jc w:val="both"/>
        <w:rPr>
          <w:rFonts w:eastAsia="Times New Roman" w:cs="Calibri"/>
          <w:sz w:val="24"/>
          <w:szCs w:val="24"/>
          <w:lang w:val="en-GB" w:eastAsia="hr-HR"/>
        </w:rPr>
      </w:pPr>
    </w:p>
    <w:p w:rsidR="00801EB8" w:rsidRPr="0005777B" w:rsidRDefault="00801EB8" w:rsidP="00602844">
      <w:pPr>
        <w:spacing w:after="0" w:line="240" w:lineRule="auto"/>
        <w:jc w:val="both"/>
        <w:rPr>
          <w:rFonts w:eastAsia="Times New Roman" w:cs="Calibri"/>
          <w:sz w:val="24"/>
          <w:szCs w:val="24"/>
          <w:lang w:val="en-GB" w:eastAsia="hr-HR"/>
        </w:rPr>
      </w:pPr>
    </w:p>
    <w:p w:rsidR="00422588" w:rsidRPr="0005777B" w:rsidRDefault="008A0D99" w:rsidP="006B2629">
      <w:pPr>
        <w:spacing w:after="0" w:line="240" w:lineRule="auto"/>
        <w:jc w:val="both"/>
        <w:rPr>
          <w:rFonts w:eastAsia="Times New Roman" w:cs="Calibri"/>
          <w:b/>
          <w:i/>
          <w:sz w:val="24"/>
          <w:szCs w:val="24"/>
          <w:lang w:val="en-GB" w:eastAsia="hr-HR"/>
        </w:rPr>
      </w:pPr>
      <w:r w:rsidRPr="0005777B">
        <w:rPr>
          <w:rFonts w:eastAsia="Times New Roman" w:cs="Calibri"/>
          <w:b/>
          <w:i/>
          <w:sz w:val="24"/>
          <w:szCs w:val="24"/>
          <w:lang w:val="en-GB" w:eastAsia="hr-HR"/>
        </w:rPr>
        <w:t>Loans to financial institutions and other customers</w:t>
      </w:r>
      <w:r w:rsidR="007E222A" w:rsidRPr="0005777B">
        <w:rPr>
          <w:rFonts w:eastAsia="Times New Roman" w:cs="Calibri"/>
          <w:b/>
          <w:i/>
          <w:sz w:val="24"/>
          <w:szCs w:val="24"/>
          <w:lang w:val="en-GB" w:eastAsia="hr-HR"/>
        </w:rPr>
        <w:t xml:space="preserve"> </w:t>
      </w:r>
    </w:p>
    <w:p w:rsidR="00B57DFA" w:rsidRPr="0005777B" w:rsidRDefault="00B57DFA" w:rsidP="00FF28FF">
      <w:pPr>
        <w:spacing w:after="0" w:line="240" w:lineRule="auto"/>
        <w:jc w:val="both"/>
        <w:rPr>
          <w:rFonts w:eastAsia="Times New Roman" w:cs="Calibri"/>
          <w:sz w:val="24"/>
          <w:szCs w:val="24"/>
          <w:lang w:val="en-GB" w:eastAsia="hr-HR"/>
        </w:rPr>
      </w:pPr>
    </w:p>
    <w:p w:rsidR="00810A4B" w:rsidRPr="0005777B" w:rsidRDefault="00A23FD6">
      <w:pPr>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Total net loans as at </w:t>
      </w:r>
      <w:r w:rsidR="00187D89" w:rsidRPr="0005777B">
        <w:rPr>
          <w:rFonts w:cstheme="minorHAnsi"/>
          <w:spacing w:val="-3"/>
          <w:sz w:val="24"/>
          <w:szCs w:val="24"/>
          <w:lang w:val="en-GB"/>
        </w:rPr>
        <w:t>3</w:t>
      </w:r>
      <w:r w:rsidR="007F00B5">
        <w:rPr>
          <w:rFonts w:cstheme="minorHAnsi"/>
          <w:spacing w:val="-3"/>
          <w:sz w:val="24"/>
          <w:szCs w:val="24"/>
          <w:lang w:val="en-GB"/>
        </w:rPr>
        <w:t>0 June</w:t>
      </w:r>
      <w:r w:rsidRPr="0005777B">
        <w:rPr>
          <w:rFonts w:cstheme="minorHAnsi"/>
          <w:spacing w:val="-3"/>
          <w:sz w:val="24"/>
          <w:szCs w:val="24"/>
          <w:lang w:val="en-GB"/>
        </w:rPr>
        <w:t xml:space="preserve"> </w:t>
      </w:r>
      <w:r w:rsidR="00810A4B" w:rsidRPr="0005777B">
        <w:rPr>
          <w:rFonts w:cstheme="minorHAnsi"/>
          <w:spacing w:val="-3"/>
          <w:sz w:val="24"/>
          <w:szCs w:val="24"/>
          <w:lang w:val="en-GB"/>
        </w:rPr>
        <w:t>201</w:t>
      </w:r>
      <w:r w:rsidR="003F2303" w:rsidRPr="0005777B">
        <w:rPr>
          <w:rFonts w:cstheme="minorHAnsi"/>
          <w:spacing w:val="-3"/>
          <w:sz w:val="24"/>
          <w:szCs w:val="24"/>
          <w:lang w:val="en-GB"/>
        </w:rPr>
        <w:t>7</w:t>
      </w:r>
      <w:r w:rsidRPr="0005777B">
        <w:rPr>
          <w:rFonts w:cstheme="minorHAnsi"/>
          <w:spacing w:val="-3"/>
          <w:sz w:val="24"/>
          <w:szCs w:val="24"/>
          <w:lang w:val="en-GB"/>
        </w:rPr>
        <w:t xml:space="preserve"> amounted to HRK </w:t>
      </w:r>
      <w:r w:rsidR="007F00B5">
        <w:rPr>
          <w:rFonts w:cstheme="minorHAnsi"/>
          <w:spacing w:val="-3"/>
          <w:sz w:val="24"/>
          <w:szCs w:val="24"/>
          <w:lang w:val="en-GB"/>
        </w:rPr>
        <w:t>22,960.61</w:t>
      </w:r>
      <w:r w:rsidRPr="0005777B">
        <w:rPr>
          <w:rFonts w:cstheme="minorHAnsi"/>
          <w:spacing w:val="-3"/>
          <w:sz w:val="24"/>
          <w:szCs w:val="24"/>
          <w:lang w:val="en-GB"/>
        </w:rPr>
        <w:t xml:space="preserve"> million representing </w:t>
      </w:r>
      <w:r w:rsidR="003F2303" w:rsidRPr="0005777B">
        <w:rPr>
          <w:rFonts w:cstheme="minorHAnsi"/>
          <w:spacing w:val="-3"/>
          <w:sz w:val="24"/>
          <w:szCs w:val="24"/>
          <w:lang w:val="en-GB"/>
        </w:rPr>
        <w:t>8</w:t>
      </w:r>
      <w:r w:rsidR="007F00B5">
        <w:rPr>
          <w:rFonts w:cstheme="minorHAnsi"/>
          <w:spacing w:val="-3"/>
          <w:sz w:val="24"/>
          <w:szCs w:val="24"/>
          <w:lang w:val="en-GB"/>
        </w:rPr>
        <w:t>2</w:t>
      </w:r>
      <w:r w:rsidRPr="0005777B">
        <w:rPr>
          <w:rFonts w:cstheme="minorHAnsi"/>
          <w:spacing w:val="-3"/>
          <w:sz w:val="24"/>
          <w:szCs w:val="24"/>
          <w:lang w:val="en-GB"/>
        </w:rPr>
        <w:t>.</w:t>
      </w:r>
      <w:r w:rsidR="003F2303" w:rsidRPr="0005777B">
        <w:rPr>
          <w:rFonts w:cstheme="minorHAnsi"/>
          <w:spacing w:val="-3"/>
          <w:sz w:val="24"/>
          <w:szCs w:val="24"/>
          <w:lang w:val="en-GB"/>
        </w:rPr>
        <w:t>5</w:t>
      </w:r>
      <w:r w:rsidR="007F00B5">
        <w:rPr>
          <w:rFonts w:cstheme="minorHAnsi"/>
          <w:spacing w:val="-3"/>
          <w:sz w:val="24"/>
          <w:szCs w:val="24"/>
          <w:lang w:val="en-GB"/>
        </w:rPr>
        <w:t>7</w:t>
      </w:r>
      <w:r w:rsidR="003F2303" w:rsidRPr="0005777B">
        <w:rPr>
          <w:rFonts w:cstheme="minorHAnsi"/>
          <w:spacing w:val="-3"/>
          <w:sz w:val="24"/>
          <w:szCs w:val="24"/>
          <w:lang w:val="en-GB"/>
        </w:rPr>
        <w:t xml:space="preserve"> p</w:t>
      </w:r>
      <w:r w:rsidRPr="0005777B">
        <w:rPr>
          <w:rFonts w:cstheme="minorHAnsi"/>
          <w:spacing w:val="-3"/>
          <w:sz w:val="24"/>
          <w:szCs w:val="24"/>
          <w:lang w:val="en-GB"/>
        </w:rPr>
        <w:t xml:space="preserve">ercent of total assets, a decrease of </w:t>
      </w:r>
      <w:r w:rsidR="007F00B5">
        <w:rPr>
          <w:rFonts w:cstheme="minorHAnsi"/>
          <w:spacing w:val="-3"/>
          <w:sz w:val="24"/>
          <w:szCs w:val="24"/>
          <w:lang w:val="en-GB"/>
        </w:rPr>
        <w:t>1.8</w:t>
      </w:r>
      <w:r w:rsidR="00157AA7" w:rsidRPr="0005777B">
        <w:rPr>
          <w:rFonts w:cstheme="minorHAnsi"/>
          <w:spacing w:val="-3"/>
          <w:sz w:val="24"/>
          <w:szCs w:val="24"/>
          <w:lang w:val="en-GB"/>
        </w:rPr>
        <w:t>8 p</w:t>
      </w:r>
      <w:r w:rsidRPr="0005777B">
        <w:rPr>
          <w:rFonts w:cstheme="minorHAnsi"/>
          <w:spacing w:val="-3"/>
          <w:sz w:val="24"/>
          <w:szCs w:val="24"/>
          <w:lang w:val="en-GB"/>
        </w:rPr>
        <w:t>ercent compared with the beginning of the year</w:t>
      </w:r>
      <w:r w:rsidR="00810A4B" w:rsidRPr="0005777B">
        <w:rPr>
          <w:rFonts w:cstheme="minorHAnsi"/>
          <w:spacing w:val="-3"/>
          <w:sz w:val="24"/>
          <w:szCs w:val="24"/>
          <w:lang w:val="en-GB"/>
        </w:rPr>
        <w:t xml:space="preserve">. </w:t>
      </w:r>
    </w:p>
    <w:p w:rsidR="00810A4B" w:rsidRPr="0005777B" w:rsidRDefault="00810A4B" w:rsidP="00810A4B">
      <w:pPr>
        <w:spacing w:after="0" w:line="240" w:lineRule="auto"/>
        <w:jc w:val="both"/>
        <w:rPr>
          <w:rFonts w:cstheme="minorHAnsi"/>
          <w:spacing w:val="-3"/>
          <w:sz w:val="24"/>
          <w:szCs w:val="24"/>
          <w:lang w:val="en-GB"/>
        </w:rPr>
      </w:pPr>
    </w:p>
    <w:p w:rsidR="00B70257" w:rsidRPr="0005777B" w:rsidRDefault="00A23FD6" w:rsidP="00157AA7">
      <w:pPr>
        <w:spacing w:after="0" w:line="240" w:lineRule="auto"/>
        <w:jc w:val="both"/>
        <w:rPr>
          <w:rFonts w:eastAsia="Times New Roman" w:cs="Calibri"/>
          <w:sz w:val="24"/>
          <w:szCs w:val="24"/>
          <w:lang w:val="en-GB" w:eastAsia="hr-HR"/>
        </w:rPr>
      </w:pPr>
      <w:r w:rsidRPr="0005777B">
        <w:rPr>
          <w:rFonts w:cstheme="minorHAnsi"/>
          <w:spacing w:val="-3"/>
          <w:sz w:val="24"/>
          <w:szCs w:val="24"/>
          <w:lang w:val="en-GB"/>
        </w:rPr>
        <w:t xml:space="preserve">Total gross loans amounted to HRK </w:t>
      </w:r>
      <w:r w:rsidR="006738AC">
        <w:rPr>
          <w:rFonts w:cstheme="minorHAnsi"/>
          <w:spacing w:val="-3"/>
          <w:sz w:val="24"/>
          <w:szCs w:val="24"/>
          <w:lang w:val="en-GB"/>
        </w:rPr>
        <w:t>25,946.82</w:t>
      </w:r>
      <w:r w:rsidRPr="0005777B">
        <w:rPr>
          <w:rFonts w:cstheme="minorHAnsi"/>
          <w:spacing w:val="-3"/>
          <w:sz w:val="24"/>
          <w:szCs w:val="24"/>
          <w:lang w:val="en-GB"/>
        </w:rPr>
        <w:t xml:space="preserve"> million, a decrease of </w:t>
      </w:r>
      <w:r w:rsidR="006738AC">
        <w:rPr>
          <w:rFonts w:cstheme="minorHAnsi"/>
          <w:spacing w:val="-3"/>
          <w:sz w:val="24"/>
          <w:szCs w:val="24"/>
          <w:lang w:val="en-GB"/>
        </w:rPr>
        <w:t>1</w:t>
      </w:r>
      <w:r w:rsidRPr="0005777B">
        <w:rPr>
          <w:rFonts w:cstheme="minorHAnsi"/>
          <w:spacing w:val="-3"/>
          <w:sz w:val="24"/>
          <w:szCs w:val="24"/>
          <w:lang w:val="en-GB"/>
        </w:rPr>
        <w:t>.</w:t>
      </w:r>
      <w:r w:rsidR="006738AC">
        <w:rPr>
          <w:rFonts w:cstheme="minorHAnsi"/>
          <w:spacing w:val="-3"/>
          <w:sz w:val="24"/>
          <w:szCs w:val="24"/>
          <w:lang w:val="en-GB"/>
        </w:rPr>
        <w:t>50</w:t>
      </w:r>
      <w:r w:rsidR="00157AA7" w:rsidRPr="0005777B">
        <w:rPr>
          <w:rFonts w:cstheme="minorHAnsi"/>
          <w:spacing w:val="-3"/>
          <w:sz w:val="24"/>
          <w:szCs w:val="24"/>
          <w:lang w:val="en-GB"/>
        </w:rPr>
        <w:t xml:space="preserve"> p</w:t>
      </w:r>
      <w:r w:rsidRPr="0005777B">
        <w:rPr>
          <w:rFonts w:cstheme="minorHAnsi"/>
          <w:spacing w:val="-3"/>
          <w:sz w:val="24"/>
          <w:szCs w:val="24"/>
          <w:lang w:val="en-GB"/>
        </w:rPr>
        <w:t>ercent compared with the beginning of the year</w:t>
      </w:r>
      <w:r w:rsidR="00810A4B" w:rsidRPr="0005777B">
        <w:rPr>
          <w:rFonts w:cstheme="minorHAnsi"/>
          <w:spacing w:val="-3"/>
          <w:sz w:val="24"/>
          <w:szCs w:val="24"/>
          <w:lang w:val="en-GB"/>
        </w:rPr>
        <w:t>.</w:t>
      </w:r>
      <w:r w:rsidR="00157AA7" w:rsidRPr="0005777B">
        <w:rPr>
          <w:rFonts w:eastAsia="Times New Roman" w:cs="Calibri"/>
          <w:sz w:val="24"/>
          <w:szCs w:val="24"/>
          <w:lang w:val="en-GB" w:eastAsia="hr-HR"/>
        </w:rPr>
        <w:t xml:space="preserve"> </w:t>
      </w:r>
      <w:r w:rsidRPr="0005777B">
        <w:rPr>
          <w:rFonts w:eastAsia="Times New Roman" w:cs="Calibri"/>
          <w:sz w:val="24"/>
          <w:szCs w:val="24"/>
          <w:lang w:val="en-GB" w:eastAsia="hr-HR"/>
        </w:rPr>
        <w:t>Gross loans to other customers</w:t>
      </w:r>
      <w:r w:rsidR="00C00062" w:rsidRPr="0005777B">
        <w:rPr>
          <w:rFonts w:eastAsia="Times New Roman" w:cs="Calibri"/>
          <w:sz w:val="24"/>
          <w:szCs w:val="24"/>
          <w:lang w:val="en-GB" w:eastAsia="hr-HR"/>
        </w:rPr>
        <w:t xml:space="preserve"> </w:t>
      </w:r>
      <w:r w:rsidR="006738AC">
        <w:rPr>
          <w:rFonts w:eastAsia="Times New Roman" w:cs="Calibri"/>
          <w:sz w:val="24"/>
          <w:szCs w:val="24"/>
          <w:lang w:val="en-GB" w:eastAsia="hr-HR"/>
        </w:rPr>
        <w:t>increased by 1.70 percent compared with the beginning of the year</w:t>
      </w:r>
      <w:r w:rsidR="00C00062" w:rsidRPr="0005777B">
        <w:rPr>
          <w:rFonts w:eastAsia="Times New Roman" w:cs="Calibri"/>
          <w:sz w:val="24"/>
          <w:szCs w:val="24"/>
          <w:lang w:val="en-GB" w:eastAsia="hr-HR"/>
        </w:rPr>
        <w:t>, whereas gros</w:t>
      </w:r>
      <w:r w:rsidRPr="0005777B">
        <w:rPr>
          <w:rFonts w:eastAsia="Times New Roman" w:cs="Calibri"/>
          <w:sz w:val="24"/>
          <w:szCs w:val="24"/>
          <w:lang w:val="en-GB" w:eastAsia="hr-HR"/>
        </w:rPr>
        <w:t xml:space="preserve">s loans to financial institutions decreased </w:t>
      </w:r>
      <w:r w:rsidR="00C00062" w:rsidRPr="0005777B">
        <w:rPr>
          <w:rFonts w:eastAsia="Times New Roman" w:cs="Calibri"/>
          <w:sz w:val="24"/>
          <w:szCs w:val="24"/>
          <w:lang w:val="en-GB" w:eastAsia="hr-HR"/>
        </w:rPr>
        <w:t>by</w:t>
      </w:r>
      <w:r w:rsidR="00157AA7" w:rsidRPr="0005777B">
        <w:rPr>
          <w:rFonts w:eastAsia="Times New Roman" w:cs="Calibri"/>
          <w:sz w:val="24"/>
          <w:szCs w:val="24"/>
          <w:lang w:val="en-GB" w:eastAsia="hr-HR"/>
        </w:rPr>
        <w:t xml:space="preserve"> </w:t>
      </w:r>
      <w:r w:rsidR="00F15013">
        <w:rPr>
          <w:rFonts w:eastAsia="Times New Roman" w:cs="Calibri"/>
          <w:sz w:val="24"/>
          <w:szCs w:val="24"/>
          <w:lang w:val="en-GB" w:eastAsia="hr-HR"/>
        </w:rPr>
        <w:t>5.19</w:t>
      </w:r>
      <w:r w:rsidR="00EA5E7A" w:rsidRPr="0005777B">
        <w:rPr>
          <w:rFonts w:eastAsia="Times New Roman" w:cs="Calibri"/>
          <w:sz w:val="24"/>
          <w:szCs w:val="24"/>
          <w:lang w:val="en-GB" w:eastAsia="hr-HR"/>
        </w:rPr>
        <w:t xml:space="preserve"> p</w:t>
      </w:r>
      <w:r w:rsidR="00C00062" w:rsidRPr="0005777B">
        <w:rPr>
          <w:rFonts w:eastAsia="Times New Roman" w:cs="Calibri"/>
          <w:sz w:val="24"/>
          <w:szCs w:val="24"/>
          <w:lang w:val="en-GB" w:eastAsia="hr-HR"/>
        </w:rPr>
        <w:t>ercent</w:t>
      </w:r>
      <w:r w:rsidR="00F15013">
        <w:rPr>
          <w:rFonts w:eastAsia="Times New Roman" w:cs="Calibri"/>
          <w:sz w:val="24"/>
          <w:szCs w:val="24"/>
          <w:lang w:val="en-GB" w:eastAsia="hr-HR"/>
        </w:rPr>
        <w:t xml:space="preserve"> as a result of</w:t>
      </w:r>
      <w:r w:rsidR="005D3183">
        <w:rPr>
          <w:rFonts w:eastAsia="Times New Roman" w:cs="Calibri"/>
          <w:sz w:val="24"/>
          <w:szCs w:val="24"/>
          <w:lang w:val="en-GB" w:eastAsia="hr-HR"/>
        </w:rPr>
        <w:t xml:space="preserve"> significant</w:t>
      </w:r>
      <w:r w:rsidR="00F15013">
        <w:rPr>
          <w:rFonts w:eastAsia="Times New Roman" w:cs="Calibri"/>
          <w:sz w:val="24"/>
          <w:szCs w:val="24"/>
          <w:lang w:val="en-GB" w:eastAsia="hr-HR"/>
        </w:rPr>
        <w:t xml:space="preserve"> premature repayments of loans</w:t>
      </w:r>
      <w:r w:rsidR="00C00062" w:rsidRPr="0005777B">
        <w:rPr>
          <w:rFonts w:eastAsia="Times New Roman" w:cs="Calibri"/>
          <w:sz w:val="24"/>
          <w:szCs w:val="24"/>
          <w:lang w:val="en-GB" w:eastAsia="hr-HR"/>
        </w:rPr>
        <w:t>.</w:t>
      </w:r>
    </w:p>
    <w:p w:rsidR="009A0571" w:rsidRPr="0005777B" w:rsidRDefault="009A0571" w:rsidP="009A0571">
      <w:pPr>
        <w:spacing w:after="0" w:line="240" w:lineRule="auto"/>
        <w:jc w:val="both"/>
        <w:rPr>
          <w:rFonts w:eastAsia="Times New Roman" w:cs="Calibri"/>
          <w:sz w:val="24"/>
          <w:szCs w:val="24"/>
          <w:highlight w:val="yellow"/>
          <w:lang w:val="en-GB" w:eastAsia="hr-HR"/>
        </w:rPr>
      </w:pPr>
    </w:p>
    <w:p w:rsidR="00AE785D" w:rsidRPr="0005777B" w:rsidRDefault="00AE785D">
      <w:pPr>
        <w:spacing w:after="0" w:line="240" w:lineRule="auto"/>
        <w:jc w:val="both"/>
        <w:rPr>
          <w:rFonts w:eastAsia="Times New Roman" w:cs="Calibri"/>
          <w:b/>
          <w:i/>
          <w:spacing w:val="-3"/>
          <w:sz w:val="24"/>
          <w:szCs w:val="24"/>
          <w:lang w:val="en-GB" w:eastAsia="hr-HR"/>
        </w:rPr>
      </w:pPr>
    </w:p>
    <w:p w:rsidR="00422588" w:rsidRPr="0005777B" w:rsidRDefault="00267323">
      <w:pPr>
        <w:spacing w:after="0" w:line="240" w:lineRule="auto"/>
        <w:jc w:val="both"/>
        <w:rPr>
          <w:rFonts w:eastAsia="Times New Roman" w:cs="Calibri"/>
          <w:b/>
          <w:i/>
          <w:spacing w:val="-3"/>
          <w:sz w:val="24"/>
          <w:szCs w:val="24"/>
          <w:lang w:val="en-GB" w:eastAsia="hr-HR"/>
        </w:rPr>
      </w:pPr>
      <w:r w:rsidRPr="0005777B">
        <w:rPr>
          <w:rFonts w:eastAsia="Times New Roman" w:cs="Calibri"/>
          <w:b/>
          <w:i/>
          <w:spacing w:val="-3"/>
          <w:sz w:val="24"/>
          <w:szCs w:val="24"/>
          <w:lang w:val="en-GB" w:eastAsia="hr-HR"/>
        </w:rPr>
        <w:t xml:space="preserve">Assets available for sale </w:t>
      </w:r>
      <w:r w:rsidR="007E222A" w:rsidRPr="0005777B">
        <w:rPr>
          <w:rFonts w:eastAsia="Times New Roman" w:cs="Calibri"/>
          <w:b/>
          <w:i/>
          <w:spacing w:val="-3"/>
          <w:sz w:val="24"/>
          <w:szCs w:val="24"/>
          <w:lang w:val="en-GB" w:eastAsia="hr-HR"/>
        </w:rPr>
        <w:t xml:space="preserve"> </w:t>
      </w:r>
    </w:p>
    <w:p w:rsidR="00C05CD0" w:rsidRPr="0005777B" w:rsidRDefault="00C05CD0">
      <w:pPr>
        <w:spacing w:after="0" w:line="240" w:lineRule="auto"/>
        <w:jc w:val="both"/>
        <w:rPr>
          <w:rFonts w:eastAsia="Times New Roman" w:cs="Calibri"/>
          <w:b/>
          <w:i/>
          <w:sz w:val="24"/>
          <w:szCs w:val="24"/>
          <w:lang w:val="en-GB" w:eastAsia="hr-HR"/>
        </w:rPr>
      </w:pPr>
    </w:p>
    <w:p w:rsidR="00810A4B" w:rsidRPr="0005777B" w:rsidRDefault="008A0D99">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Assets available for sale were comprised primarily of liquidity reserve funds, further to which assets available for sale were comprised primarily of debt instruments and, to a minor extent, of investments into investment funds and equity instruments</w:t>
      </w:r>
      <w:r w:rsidR="00810A4B" w:rsidRPr="0005777B">
        <w:rPr>
          <w:rFonts w:cstheme="minorHAnsi"/>
          <w:spacing w:val="-3"/>
          <w:sz w:val="24"/>
          <w:szCs w:val="24"/>
          <w:lang w:val="en-GB"/>
        </w:rPr>
        <w:t>.</w:t>
      </w:r>
      <w:r w:rsidR="001E46A2">
        <w:rPr>
          <w:rFonts w:cstheme="minorHAnsi"/>
          <w:spacing w:val="-3"/>
          <w:sz w:val="24"/>
          <w:szCs w:val="24"/>
          <w:lang w:val="en-GB"/>
        </w:rPr>
        <w:t xml:space="preserve"> </w:t>
      </w:r>
      <w:r w:rsidRPr="0005777B">
        <w:rPr>
          <w:rFonts w:cstheme="minorHAnsi"/>
          <w:spacing w:val="-3"/>
          <w:sz w:val="24"/>
          <w:szCs w:val="24"/>
          <w:lang w:val="en-GB"/>
        </w:rPr>
        <w:t>This item amounted to HRK</w:t>
      </w:r>
      <w:r w:rsidR="00810A4B" w:rsidRPr="0005777B">
        <w:rPr>
          <w:rFonts w:cstheme="minorHAnsi"/>
          <w:spacing w:val="-3"/>
          <w:sz w:val="24"/>
          <w:szCs w:val="24"/>
          <w:lang w:val="en-GB"/>
        </w:rPr>
        <w:t xml:space="preserve"> </w:t>
      </w:r>
      <w:r w:rsidR="001E46A2">
        <w:rPr>
          <w:rFonts w:cstheme="minorHAnsi"/>
          <w:spacing w:val="-3"/>
          <w:sz w:val="24"/>
          <w:szCs w:val="24"/>
          <w:lang w:val="en-GB"/>
        </w:rPr>
        <w:t>3,047.93</w:t>
      </w:r>
      <w:r w:rsidR="009B3E8B" w:rsidRPr="0005777B">
        <w:rPr>
          <w:rFonts w:cstheme="minorHAnsi"/>
          <w:spacing w:val="-3"/>
          <w:sz w:val="24"/>
          <w:szCs w:val="24"/>
          <w:lang w:val="en-GB"/>
        </w:rPr>
        <w:t xml:space="preserve"> </w:t>
      </w:r>
      <w:r w:rsidR="005D56C0" w:rsidRPr="0005777B">
        <w:rPr>
          <w:rFonts w:cstheme="minorHAnsi"/>
          <w:spacing w:val="-3"/>
          <w:sz w:val="24"/>
          <w:szCs w:val="24"/>
          <w:lang w:val="en-GB"/>
        </w:rPr>
        <w:t xml:space="preserve">million, a </w:t>
      </w:r>
      <w:r w:rsidR="001E46A2">
        <w:rPr>
          <w:rFonts w:cstheme="minorHAnsi"/>
          <w:spacing w:val="-3"/>
          <w:sz w:val="24"/>
          <w:szCs w:val="24"/>
          <w:lang w:val="en-GB"/>
        </w:rPr>
        <w:t>decrease</w:t>
      </w:r>
      <w:r w:rsidR="005D56C0" w:rsidRPr="0005777B">
        <w:rPr>
          <w:rFonts w:cstheme="minorHAnsi"/>
          <w:spacing w:val="-3"/>
          <w:sz w:val="24"/>
          <w:szCs w:val="24"/>
          <w:lang w:val="en-GB"/>
        </w:rPr>
        <w:t xml:space="preserve"> of </w:t>
      </w:r>
      <w:r w:rsidR="001E46A2">
        <w:rPr>
          <w:rFonts w:cstheme="minorHAnsi"/>
          <w:spacing w:val="-3"/>
          <w:sz w:val="24"/>
          <w:szCs w:val="24"/>
          <w:lang w:val="en-GB"/>
        </w:rPr>
        <w:t>8</w:t>
      </w:r>
      <w:r w:rsidR="005D56C0" w:rsidRPr="0005777B">
        <w:rPr>
          <w:rFonts w:cstheme="minorHAnsi"/>
          <w:spacing w:val="-3"/>
          <w:sz w:val="24"/>
          <w:szCs w:val="24"/>
          <w:lang w:val="en-GB"/>
        </w:rPr>
        <w:t>.</w:t>
      </w:r>
      <w:r w:rsidR="001E46A2">
        <w:rPr>
          <w:rFonts w:cstheme="minorHAnsi"/>
          <w:spacing w:val="-3"/>
          <w:sz w:val="24"/>
          <w:szCs w:val="24"/>
          <w:lang w:val="en-GB"/>
        </w:rPr>
        <w:t>84</w:t>
      </w:r>
      <w:r w:rsidR="009B3E8B" w:rsidRPr="0005777B">
        <w:rPr>
          <w:rFonts w:cstheme="minorHAnsi"/>
          <w:spacing w:val="-3"/>
          <w:sz w:val="24"/>
          <w:szCs w:val="24"/>
          <w:lang w:val="en-GB"/>
        </w:rPr>
        <w:t xml:space="preserve"> p</w:t>
      </w:r>
      <w:r w:rsidR="005D56C0" w:rsidRPr="0005777B">
        <w:rPr>
          <w:rFonts w:cstheme="minorHAnsi"/>
          <w:spacing w:val="-3"/>
          <w:sz w:val="24"/>
          <w:szCs w:val="24"/>
          <w:lang w:val="en-GB"/>
        </w:rPr>
        <w:t xml:space="preserve">ercent </w:t>
      </w:r>
      <w:r w:rsidR="001E46A2">
        <w:rPr>
          <w:rFonts w:cstheme="minorHAnsi"/>
          <w:spacing w:val="-3"/>
          <w:sz w:val="24"/>
          <w:szCs w:val="24"/>
          <w:lang w:val="en-GB"/>
        </w:rPr>
        <w:t>due to the fact that maturities in the reporting period exceeded the amounts of investment in those financial instruments</w:t>
      </w:r>
      <w:r w:rsidR="00810A4B" w:rsidRPr="0005777B">
        <w:rPr>
          <w:rFonts w:cstheme="minorHAnsi"/>
          <w:spacing w:val="-3"/>
          <w:sz w:val="24"/>
          <w:szCs w:val="24"/>
          <w:lang w:val="en-GB"/>
        </w:rPr>
        <w:t>.</w:t>
      </w:r>
    </w:p>
    <w:p w:rsidR="007B7548" w:rsidRPr="0005777B" w:rsidRDefault="007B7548">
      <w:pPr>
        <w:tabs>
          <w:tab w:val="left" w:pos="-720"/>
        </w:tabs>
        <w:suppressAutoHyphens/>
        <w:spacing w:after="0" w:line="240" w:lineRule="auto"/>
        <w:jc w:val="both"/>
        <w:rPr>
          <w:rFonts w:cstheme="minorHAnsi"/>
          <w:spacing w:val="-3"/>
          <w:sz w:val="24"/>
          <w:szCs w:val="24"/>
          <w:lang w:val="en-GB"/>
        </w:rPr>
      </w:pPr>
    </w:p>
    <w:p w:rsidR="007429C3" w:rsidRPr="0005777B" w:rsidRDefault="00AF7B10">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In the reporting period, </w:t>
      </w:r>
      <w:r w:rsidR="001E46A2">
        <w:rPr>
          <w:rFonts w:cstheme="minorHAnsi"/>
          <w:spacing w:val="-3"/>
          <w:sz w:val="24"/>
          <w:szCs w:val="24"/>
          <w:lang w:val="en-GB"/>
        </w:rPr>
        <w:t xml:space="preserve">the total amount of due bonds and treasury bills stood at HRK 1,153.68 million, whereas the amount of HRK 934.83 million was invested </w:t>
      </w:r>
      <w:r w:rsidR="008A0D99" w:rsidRPr="0005777B">
        <w:rPr>
          <w:rFonts w:cstheme="minorHAnsi"/>
          <w:spacing w:val="-3"/>
          <w:sz w:val="24"/>
          <w:szCs w:val="24"/>
          <w:lang w:val="en-GB"/>
        </w:rPr>
        <w:t>in the following instruments of assets available for sale</w:t>
      </w:r>
      <w:r w:rsidR="00A66E01" w:rsidRPr="0005777B">
        <w:rPr>
          <w:rFonts w:cstheme="minorHAnsi"/>
          <w:spacing w:val="-3"/>
          <w:sz w:val="24"/>
          <w:szCs w:val="24"/>
          <w:lang w:val="en-GB"/>
        </w:rPr>
        <w:t>:</w:t>
      </w:r>
    </w:p>
    <w:p w:rsidR="00A66E01" w:rsidRPr="0005777B" w:rsidRDefault="00A66E01">
      <w:pPr>
        <w:tabs>
          <w:tab w:val="left" w:pos="-720"/>
        </w:tabs>
        <w:suppressAutoHyphens/>
        <w:spacing w:after="0" w:line="240" w:lineRule="auto"/>
        <w:jc w:val="both"/>
        <w:rPr>
          <w:rFonts w:cstheme="minorHAnsi"/>
          <w:spacing w:val="-3"/>
          <w:sz w:val="24"/>
          <w:szCs w:val="24"/>
          <w:lang w:val="en-GB"/>
        </w:rPr>
      </w:pPr>
    </w:p>
    <w:tbl>
      <w:tblPr>
        <w:tblW w:w="8857" w:type="dxa"/>
        <w:tblInd w:w="113" w:type="dxa"/>
        <w:tblLook w:val="04A0" w:firstRow="1" w:lastRow="0" w:firstColumn="1" w:lastColumn="0" w:noHBand="0" w:noVBand="1"/>
      </w:tblPr>
      <w:tblGrid>
        <w:gridCol w:w="6643"/>
        <w:gridCol w:w="2214"/>
      </w:tblGrid>
      <w:tr w:rsidR="00A66E01" w:rsidRPr="0005777B" w:rsidTr="001C6D63">
        <w:trPr>
          <w:trHeight w:val="289"/>
        </w:trPr>
        <w:tc>
          <w:tcPr>
            <w:tcW w:w="6643" w:type="dxa"/>
            <w:tcBorders>
              <w:bottom w:val="single" w:sz="12" w:space="0" w:color="7F7F7F" w:themeColor="text1" w:themeTint="80"/>
            </w:tcBorders>
            <w:shd w:val="clear" w:color="auto" w:fill="auto"/>
            <w:vAlign w:val="center"/>
          </w:tcPr>
          <w:p w:rsidR="00A66E01" w:rsidRPr="0005777B" w:rsidRDefault="00A66E01" w:rsidP="00A66E01">
            <w:pPr>
              <w:spacing w:after="0" w:line="240" w:lineRule="auto"/>
              <w:ind w:firstLineChars="100" w:firstLine="240"/>
              <w:rPr>
                <w:rFonts w:ascii="Calibri" w:eastAsia="Times New Roman" w:hAnsi="Calibri" w:cs="Times New Roman"/>
                <w:b/>
                <w:bCs/>
                <w:sz w:val="24"/>
                <w:szCs w:val="24"/>
                <w:lang w:val="en-GB" w:eastAsia="hr-HR"/>
              </w:rPr>
            </w:pPr>
          </w:p>
        </w:tc>
        <w:tc>
          <w:tcPr>
            <w:tcW w:w="2214" w:type="dxa"/>
            <w:tcBorders>
              <w:bottom w:val="single" w:sz="12" w:space="0" w:color="7F7F7F" w:themeColor="text1" w:themeTint="80"/>
            </w:tcBorders>
            <w:shd w:val="clear" w:color="auto" w:fill="auto"/>
            <w:noWrap/>
            <w:vAlign w:val="bottom"/>
          </w:tcPr>
          <w:p w:rsidR="00A66E01" w:rsidRPr="0005777B" w:rsidRDefault="008A0D99" w:rsidP="008A0D99">
            <w:pPr>
              <w:spacing w:after="0" w:line="240" w:lineRule="auto"/>
              <w:jc w:val="right"/>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HRK million</w:t>
            </w:r>
          </w:p>
        </w:tc>
      </w:tr>
      <w:tr w:rsidR="00A66E01" w:rsidRPr="0005777B" w:rsidTr="001C6D63">
        <w:trPr>
          <w:trHeight w:val="275"/>
        </w:trPr>
        <w:tc>
          <w:tcPr>
            <w:tcW w:w="664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noWrap/>
            <w:vAlign w:val="bottom"/>
            <w:hideMark/>
          </w:tcPr>
          <w:p w:rsidR="00A66E01" w:rsidRPr="0005777B" w:rsidRDefault="00A66E01" w:rsidP="00AF7B10">
            <w:pPr>
              <w:spacing w:after="0" w:line="240" w:lineRule="auto"/>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T</w:t>
            </w:r>
            <w:r w:rsidR="008A0D99" w:rsidRPr="0005777B">
              <w:rPr>
                <w:rFonts w:ascii="Calibri" w:eastAsia="Times New Roman" w:hAnsi="Calibri" w:cs="Times New Roman"/>
                <w:color w:val="000000"/>
                <w:lang w:val="en-GB" w:eastAsia="hr-HR"/>
              </w:rPr>
              <w:t>reasury bills of the Ministry of Finance</w:t>
            </w:r>
          </w:p>
        </w:tc>
        <w:tc>
          <w:tcPr>
            <w:tcW w:w="22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noWrap/>
            <w:vAlign w:val="bottom"/>
            <w:hideMark/>
          </w:tcPr>
          <w:p w:rsidR="00A66E01" w:rsidRPr="0005777B" w:rsidRDefault="001E46A2" w:rsidP="001E46A2">
            <w:pPr>
              <w:spacing w:after="0" w:line="240" w:lineRule="auto"/>
              <w:jc w:val="right"/>
              <w:rPr>
                <w:rFonts w:ascii="Calibri" w:eastAsia="Times New Roman" w:hAnsi="Calibri" w:cs="Times New Roman"/>
                <w:bCs/>
                <w:color w:val="000000"/>
                <w:lang w:val="en-GB" w:eastAsia="hr-HR"/>
              </w:rPr>
            </w:pPr>
            <w:r>
              <w:rPr>
                <w:rFonts w:ascii="Calibri" w:eastAsia="Times New Roman" w:hAnsi="Calibri" w:cs="Times New Roman"/>
                <w:bCs/>
                <w:color w:val="000000"/>
                <w:lang w:val="en-GB" w:eastAsia="hr-HR"/>
              </w:rPr>
              <w:t>836.21</w:t>
            </w:r>
          </w:p>
        </w:tc>
      </w:tr>
      <w:tr w:rsidR="00A66E01" w:rsidRPr="0005777B" w:rsidTr="001C6D63">
        <w:trPr>
          <w:trHeight w:val="275"/>
        </w:trPr>
        <w:tc>
          <w:tcPr>
            <w:tcW w:w="664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noWrap/>
            <w:vAlign w:val="bottom"/>
            <w:hideMark/>
          </w:tcPr>
          <w:p w:rsidR="00A66E01" w:rsidRPr="0005777B" w:rsidRDefault="008A0D99" w:rsidP="008A0D99">
            <w:pPr>
              <w:spacing w:after="0" w:line="240" w:lineRule="auto"/>
              <w:rPr>
                <w:rFonts w:ascii="Calibri" w:eastAsia="Times New Roman" w:hAnsi="Calibri" w:cs="Times New Roman"/>
                <w:color w:val="000000"/>
                <w:lang w:val="en-GB" w:eastAsia="hr-HR"/>
              </w:rPr>
            </w:pPr>
            <w:r w:rsidRPr="0005777B">
              <w:rPr>
                <w:rFonts w:ascii="Calibri" w:eastAsia="Times New Roman" w:hAnsi="Calibri" w:cs="Times New Roman"/>
                <w:color w:val="000000"/>
                <w:lang w:val="en-GB" w:eastAsia="hr-HR"/>
              </w:rPr>
              <w:t xml:space="preserve">Bonds of the </w:t>
            </w:r>
            <w:r w:rsidR="00A66E01" w:rsidRPr="0005777B">
              <w:rPr>
                <w:rFonts w:ascii="Calibri" w:eastAsia="Times New Roman" w:hAnsi="Calibri" w:cs="Times New Roman"/>
                <w:color w:val="000000"/>
                <w:lang w:val="en-GB" w:eastAsia="hr-HR"/>
              </w:rPr>
              <w:t>Republi</w:t>
            </w:r>
            <w:r w:rsidRPr="0005777B">
              <w:rPr>
                <w:rFonts w:ascii="Calibri" w:eastAsia="Times New Roman" w:hAnsi="Calibri" w:cs="Times New Roman"/>
                <w:color w:val="000000"/>
                <w:lang w:val="en-GB" w:eastAsia="hr-HR"/>
              </w:rPr>
              <w:t>c of Croatia</w:t>
            </w:r>
          </w:p>
        </w:tc>
        <w:tc>
          <w:tcPr>
            <w:tcW w:w="22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noWrap/>
            <w:vAlign w:val="bottom"/>
            <w:hideMark/>
          </w:tcPr>
          <w:p w:rsidR="00A66E01" w:rsidRPr="0005777B" w:rsidRDefault="00C31F69" w:rsidP="00AF7B10">
            <w:pPr>
              <w:spacing w:after="0" w:line="240" w:lineRule="auto"/>
              <w:jc w:val="right"/>
              <w:rPr>
                <w:rFonts w:ascii="Calibri" w:eastAsia="Times New Roman" w:hAnsi="Calibri" w:cs="Times New Roman"/>
                <w:bCs/>
                <w:color w:val="000000"/>
                <w:lang w:val="en-GB" w:eastAsia="hr-HR"/>
              </w:rPr>
            </w:pPr>
            <w:r w:rsidRPr="0005777B">
              <w:rPr>
                <w:rFonts w:ascii="Calibri" w:eastAsia="Times New Roman" w:hAnsi="Calibri" w:cs="Times New Roman"/>
                <w:bCs/>
                <w:color w:val="000000"/>
                <w:lang w:val="en-GB" w:eastAsia="hr-HR"/>
              </w:rPr>
              <w:t>79</w:t>
            </w:r>
            <w:r w:rsidR="00AF7B10" w:rsidRPr="0005777B">
              <w:rPr>
                <w:rFonts w:ascii="Calibri" w:eastAsia="Times New Roman" w:hAnsi="Calibri" w:cs="Times New Roman"/>
                <w:bCs/>
                <w:color w:val="000000"/>
                <w:lang w:val="en-GB" w:eastAsia="hr-HR"/>
              </w:rPr>
              <w:t>.</w:t>
            </w:r>
            <w:r w:rsidRPr="0005777B">
              <w:rPr>
                <w:rFonts w:ascii="Calibri" w:eastAsia="Times New Roman" w:hAnsi="Calibri" w:cs="Times New Roman"/>
                <w:bCs/>
                <w:color w:val="000000"/>
                <w:lang w:val="en-GB" w:eastAsia="hr-HR"/>
              </w:rPr>
              <w:t>67</w:t>
            </w:r>
          </w:p>
        </w:tc>
      </w:tr>
      <w:tr w:rsidR="008D373A" w:rsidRPr="0005777B" w:rsidTr="001C6D63">
        <w:trPr>
          <w:trHeight w:val="275"/>
        </w:trPr>
        <w:tc>
          <w:tcPr>
            <w:tcW w:w="664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noWrap/>
            <w:vAlign w:val="bottom"/>
          </w:tcPr>
          <w:p w:rsidR="008D373A" w:rsidRPr="0005777B" w:rsidRDefault="008D373A" w:rsidP="005D3183">
            <w:pPr>
              <w:spacing w:after="0" w:line="240" w:lineRule="auto"/>
              <w:rPr>
                <w:rFonts w:ascii="Calibri" w:eastAsia="Times New Roman" w:hAnsi="Calibri" w:cs="Times New Roman"/>
                <w:color w:val="000000"/>
                <w:lang w:val="en-GB" w:eastAsia="hr-HR"/>
              </w:rPr>
            </w:pPr>
            <w:r>
              <w:rPr>
                <w:rFonts w:ascii="Calibri" w:eastAsia="Times New Roman" w:hAnsi="Calibri" w:cs="Times New Roman"/>
                <w:color w:val="000000"/>
                <w:lang w:val="en-GB" w:eastAsia="hr-HR"/>
              </w:rPr>
              <w:t>Investment funds of the Republic of Croatia</w:t>
            </w:r>
          </w:p>
        </w:tc>
        <w:tc>
          <w:tcPr>
            <w:tcW w:w="22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noWrap/>
            <w:vAlign w:val="bottom"/>
          </w:tcPr>
          <w:p w:rsidR="008D373A" w:rsidRPr="0005777B" w:rsidRDefault="008D373A" w:rsidP="00AF7B10">
            <w:pPr>
              <w:spacing w:after="0" w:line="240" w:lineRule="auto"/>
              <w:jc w:val="right"/>
              <w:rPr>
                <w:rFonts w:ascii="Calibri" w:eastAsia="Times New Roman" w:hAnsi="Calibri" w:cs="Times New Roman"/>
                <w:bCs/>
                <w:color w:val="000000"/>
                <w:lang w:val="en-GB" w:eastAsia="hr-HR"/>
              </w:rPr>
            </w:pPr>
            <w:r>
              <w:rPr>
                <w:rFonts w:ascii="Calibri" w:eastAsia="Times New Roman" w:hAnsi="Calibri" w:cs="Times New Roman"/>
                <w:bCs/>
                <w:color w:val="000000"/>
                <w:lang w:val="en-GB" w:eastAsia="hr-HR"/>
              </w:rPr>
              <w:t>18.95</w:t>
            </w:r>
          </w:p>
        </w:tc>
      </w:tr>
      <w:tr w:rsidR="00A66E01" w:rsidRPr="0005777B" w:rsidTr="001C6D63">
        <w:trPr>
          <w:trHeight w:val="275"/>
        </w:trPr>
        <w:tc>
          <w:tcPr>
            <w:tcW w:w="6643"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noWrap/>
            <w:vAlign w:val="bottom"/>
            <w:hideMark/>
          </w:tcPr>
          <w:p w:rsidR="00A66E01" w:rsidRPr="0005777B" w:rsidRDefault="008A0D99" w:rsidP="008A0D99">
            <w:pPr>
              <w:spacing w:after="0" w:line="240" w:lineRule="auto"/>
              <w:rPr>
                <w:rFonts w:ascii="Calibri" w:eastAsia="Times New Roman" w:hAnsi="Calibri" w:cs="Times New Roman"/>
                <w:b/>
                <w:color w:val="000000"/>
                <w:lang w:val="en-GB" w:eastAsia="hr-HR"/>
              </w:rPr>
            </w:pPr>
            <w:r w:rsidRPr="0005777B">
              <w:rPr>
                <w:rFonts w:ascii="Calibri" w:eastAsia="Times New Roman" w:hAnsi="Calibri" w:cs="Times New Roman"/>
                <w:b/>
                <w:color w:val="000000"/>
                <w:lang w:val="en-GB" w:eastAsia="hr-HR"/>
              </w:rPr>
              <w:t xml:space="preserve">Total </w:t>
            </w:r>
          </w:p>
        </w:tc>
        <w:tc>
          <w:tcPr>
            <w:tcW w:w="2214" w:type="dxa"/>
            <w:tc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tcBorders>
            <w:shd w:val="clear" w:color="auto" w:fill="auto"/>
            <w:noWrap/>
            <w:vAlign w:val="bottom"/>
            <w:hideMark/>
          </w:tcPr>
          <w:p w:rsidR="00A66E01" w:rsidRPr="0005777B" w:rsidRDefault="008D373A" w:rsidP="008D373A">
            <w:pPr>
              <w:spacing w:after="0" w:line="240" w:lineRule="auto"/>
              <w:jc w:val="right"/>
              <w:rPr>
                <w:rFonts w:ascii="Calibri" w:eastAsia="Times New Roman" w:hAnsi="Calibri" w:cs="Times New Roman"/>
                <w:b/>
                <w:bCs/>
                <w:color w:val="000000"/>
                <w:lang w:val="en-GB" w:eastAsia="hr-HR"/>
              </w:rPr>
            </w:pPr>
            <w:r>
              <w:rPr>
                <w:rFonts w:ascii="Calibri" w:eastAsia="Times New Roman" w:hAnsi="Calibri" w:cs="Times New Roman"/>
                <w:b/>
                <w:bCs/>
                <w:color w:val="000000"/>
                <w:lang w:val="en-GB" w:eastAsia="hr-HR"/>
              </w:rPr>
              <w:t>934.83</w:t>
            </w:r>
          </w:p>
        </w:tc>
      </w:tr>
    </w:tbl>
    <w:p w:rsidR="001D613D" w:rsidRDefault="001D613D" w:rsidP="00124861">
      <w:pPr>
        <w:tabs>
          <w:tab w:val="left" w:pos="-720"/>
        </w:tabs>
        <w:suppressAutoHyphens/>
        <w:spacing w:after="0" w:line="240" w:lineRule="auto"/>
        <w:jc w:val="both"/>
        <w:rPr>
          <w:rFonts w:cstheme="minorHAnsi"/>
          <w:spacing w:val="-3"/>
          <w:sz w:val="24"/>
          <w:szCs w:val="24"/>
          <w:lang w:val="en-GB"/>
        </w:rPr>
      </w:pPr>
    </w:p>
    <w:p w:rsidR="00FD1A2A" w:rsidRDefault="00FD1A2A" w:rsidP="00124861">
      <w:pPr>
        <w:tabs>
          <w:tab w:val="left" w:pos="-720"/>
        </w:tabs>
        <w:suppressAutoHyphens/>
        <w:spacing w:after="0" w:line="240" w:lineRule="auto"/>
        <w:jc w:val="both"/>
        <w:rPr>
          <w:rFonts w:cstheme="minorHAnsi"/>
          <w:spacing w:val="-3"/>
          <w:sz w:val="24"/>
          <w:szCs w:val="24"/>
          <w:lang w:val="en-GB"/>
        </w:rPr>
      </w:pPr>
    </w:p>
    <w:p w:rsidR="00FD1A2A" w:rsidRPr="0005777B" w:rsidRDefault="00FD1A2A" w:rsidP="00124861">
      <w:pPr>
        <w:tabs>
          <w:tab w:val="left" w:pos="-720"/>
        </w:tabs>
        <w:suppressAutoHyphens/>
        <w:spacing w:after="0" w:line="240" w:lineRule="auto"/>
        <w:jc w:val="both"/>
        <w:rPr>
          <w:rFonts w:cstheme="minorHAnsi"/>
          <w:spacing w:val="-3"/>
          <w:sz w:val="24"/>
          <w:szCs w:val="24"/>
          <w:lang w:val="en-GB"/>
        </w:rPr>
      </w:pPr>
    </w:p>
    <w:p w:rsidR="001D613D" w:rsidRPr="0005777B" w:rsidRDefault="001D613D" w:rsidP="00124861">
      <w:pPr>
        <w:tabs>
          <w:tab w:val="left" w:pos="-720"/>
        </w:tabs>
        <w:suppressAutoHyphens/>
        <w:spacing w:after="0" w:line="240" w:lineRule="auto"/>
        <w:jc w:val="both"/>
        <w:rPr>
          <w:rFonts w:cstheme="minorHAnsi"/>
          <w:spacing w:val="-3"/>
          <w:sz w:val="24"/>
          <w:szCs w:val="24"/>
          <w:lang w:val="en-GB"/>
        </w:rPr>
      </w:pPr>
    </w:p>
    <w:p w:rsidR="00EE5FF8" w:rsidRDefault="00EE5FF8" w:rsidP="00124861">
      <w:pPr>
        <w:tabs>
          <w:tab w:val="left" w:pos="-720"/>
        </w:tabs>
        <w:suppressAutoHyphens/>
        <w:spacing w:after="0" w:line="240" w:lineRule="auto"/>
        <w:jc w:val="both"/>
        <w:rPr>
          <w:rFonts w:cstheme="minorHAnsi"/>
          <w:spacing w:val="-3"/>
          <w:sz w:val="24"/>
          <w:szCs w:val="24"/>
          <w:lang w:val="en-GB"/>
        </w:rPr>
        <w:sectPr w:rsidR="00EE5FF8" w:rsidSect="00F11426">
          <w:footerReference w:type="default" r:id="rId37"/>
          <w:pgSz w:w="11906" w:h="16838"/>
          <w:pgMar w:top="1417" w:right="1416" w:bottom="1417" w:left="1417" w:header="708" w:footer="708" w:gutter="0"/>
          <w:cols w:space="708"/>
          <w:docGrid w:linePitch="360"/>
        </w:sectPr>
      </w:pPr>
    </w:p>
    <w:p w:rsidR="006F407B" w:rsidRPr="0005777B" w:rsidRDefault="000F5F05" w:rsidP="00810A4B">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 </w:t>
      </w:r>
      <w:r w:rsidR="006F407B">
        <w:rPr>
          <w:rFonts w:cstheme="minorHAnsi"/>
          <w:spacing w:val="-3"/>
          <w:sz w:val="24"/>
          <w:szCs w:val="24"/>
          <w:lang w:val="en-GB"/>
        </w:rPr>
        <w:t xml:space="preserve"> </w:t>
      </w:r>
      <w:r>
        <w:rPr>
          <w:rFonts w:cstheme="minorHAnsi"/>
          <w:noProof/>
          <w:spacing w:val="-3"/>
          <w:sz w:val="24"/>
          <w:szCs w:val="24"/>
          <w:lang w:eastAsia="hr-HR"/>
        </w:rPr>
        <w:drawing>
          <wp:inline distT="0" distB="0" distL="0" distR="0" wp14:anchorId="52BFB298" wp14:editId="43EE20F3">
            <wp:extent cx="2775218" cy="2700000"/>
            <wp:effectExtent l="0" t="0" r="6350" b="57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75218" cy="2700000"/>
                    </a:xfrm>
                    <a:prstGeom prst="rect">
                      <a:avLst/>
                    </a:prstGeom>
                    <a:noFill/>
                  </pic:spPr>
                </pic:pic>
              </a:graphicData>
            </a:graphic>
          </wp:inline>
        </w:drawing>
      </w:r>
      <w:r w:rsidR="006F407B">
        <w:rPr>
          <w:rFonts w:cstheme="minorHAnsi"/>
          <w:spacing w:val="-3"/>
          <w:sz w:val="24"/>
          <w:szCs w:val="24"/>
          <w:lang w:val="en-GB"/>
        </w:rPr>
        <w:t xml:space="preserve">    </w:t>
      </w:r>
      <w:r w:rsidR="00AC53CF">
        <w:rPr>
          <w:rFonts w:cstheme="minorHAnsi"/>
          <w:noProof/>
          <w:spacing w:val="-3"/>
          <w:sz w:val="24"/>
          <w:szCs w:val="24"/>
          <w:lang w:eastAsia="hr-HR"/>
        </w:rPr>
        <w:drawing>
          <wp:inline distT="0" distB="0" distL="0" distR="0" wp14:anchorId="2A0E247F" wp14:editId="025AFAC8">
            <wp:extent cx="2786625" cy="2700000"/>
            <wp:effectExtent l="0" t="0" r="0" b="571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6625" cy="2700000"/>
                    </a:xfrm>
                    <a:prstGeom prst="rect">
                      <a:avLst/>
                    </a:prstGeom>
                    <a:noFill/>
                  </pic:spPr>
                </pic:pic>
              </a:graphicData>
            </a:graphic>
          </wp:inline>
        </w:drawing>
      </w:r>
      <w:r w:rsidR="006F407B">
        <w:rPr>
          <w:rFonts w:cstheme="minorHAnsi"/>
          <w:spacing w:val="-3"/>
          <w:sz w:val="24"/>
          <w:szCs w:val="24"/>
          <w:lang w:val="en-GB"/>
        </w:rPr>
        <w:t xml:space="preserve"> </w:t>
      </w:r>
    </w:p>
    <w:p w:rsidR="00A66E01" w:rsidRPr="0005777B" w:rsidRDefault="00E52BAC" w:rsidP="00F11426">
      <w:pPr>
        <w:tabs>
          <w:tab w:val="left" w:pos="-720"/>
        </w:tabs>
        <w:suppressAutoHyphens/>
        <w:spacing w:after="0" w:line="240" w:lineRule="auto"/>
        <w:ind w:left="-567" w:right="-284"/>
        <w:jc w:val="both"/>
        <w:rPr>
          <w:rFonts w:cstheme="minorHAnsi"/>
          <w:spacing w:val="-3"/>
          <w:sz w:val="24"/>
          <w:szCs w:val="24"/>
          <w:lang w:val="en-GB"/>
        </w:rPr>
      </w:pPr>
      <w:r w:rsidRPr="0005777B">
        <w:rPr>
          <w:rFonts w:cstheme="minorHAnsi"/>
          <w:spacing w:val="-3"/>
          <w:sz w:val="24"/>
          <w:szCs w:val="24"/>
          <w:lang w:val="en-GB"/>
        </w:rPr>
        <w:t xml:space="preserve">             </w:t>
      </w:r>
    </w:p>
    <w:p w:rsidR="00C41BCC" w:rsidRPr="0005777B" w:rsidRDefault="00C41BCC" w:rsidP="001C6D63">
      <w:pPr>
        <w:tabs>
          <w:tab w:val="left" w:pos="-720"/>
        </w:tabs>
        <w:suppressAutoHyphens/>
        <w:spacing w:after="0" w:line="240" w:lineRule="auto"/>
        <w:ind w:right="-284" w:hanging="567"/>
        <w:jc w:val="both"/>
        <w:rPr>
          <w:rFonts w:cstheme="minorHAnsi"/>
          <w:spacing w:val="-3"/>
          <w:sz w:val="24"/>
          <w:szCs w:val="24"/>
          <w:lang w:val="en-GB"/>
        </w:rPr>
      </w:pPr>
    </w:p>
    <w:p w:rsidR="00C41BCC" w:rsidRDefault="00C41BCC" w:rsidP="001C6D63">
      <w:pPr>
        <w:tabs>
          <w:tab w:val="left" w:pos="-720"/>
        </w:tabs>
        <w:suppressAutoHyphens/>
        <w:spacing w:after="0" w:line="240" w:lineRule="auto"/>
        <w:ind w:right="-284" w:hanging="567"/>
        <w:jc w:val="both"/>
        <w:rPr>
          <w:rFonts w:cstheme="minorHAnsi"/>
          <w:spacing w:val="-3"/>
          <w:sz w:val="24"/>
          <w:szCs w:val="24"/>
          <w:lang w:val="en-GB"/>
        </w:rPr>
      </w:pPr>
    </w:p>
    <w:p w:rsidR="007E222A" w:rsidRPr="0005777B" w:rsidRDefault="00A05AED" w:rsidP="00124861">
      <w:pPr>
        <w:tabs>
          <w:tab w:val="left" w:pos="-720"/>
        </w:tabs>
        <w:suppressAutoHyphens/>
        <w:spacing w:after="0" w:line="240" w:lineRule="auto"/>
        <w:jc w:val="both"/>
        <w:rPr>
          <w:rFonts w:eastAsia="Times New Roman" w:cs="Calibri"/>
          <w:b/>
          <w:i/>
          <w:spacing w:val="-3"/>
          <w:sz w:val="24"/>
          <w:szCs w:val="24"/>
          <w:lang w:val="en-GB" w:eastAsia="hr-HR"/>
        </w:rPr>
      </w:pPr>
      <w:r w:rsidRPr="0005777B">
        <w:rPr>
          <w:rFonts w:eastAsia="Times New Roman" w:cs="Calibri"/>
          <w:b/>
          <w:i/>
          <w:spacing w:val="-3"/>
          <w:sz w:val="24"/>
          <w:szCs w:val="24"/>
          <w:lang w:val="en-GB" w:eastAsia="hr-HR"/>
        </w:rPr>
        <w:t xml:space="preserve">Total liabilities  </w:t>
      </w:r>
      <w:r w:rsidR="007E222A" w:rsidRPr="0005777B">
        <w:rPr>
          <w:rFonts w:eastAsia="Times New Roman" w:cs="Calibri"/>
          <w:b/>
          <w:i/>
          <w:spacing w:val="-3"/>
          <w:sz w:val="24"/>
          <w:szCs w:val="24"/>
          <w:lang w:val="en-GB" w:eastAsia="hr-HR"/>
        </w:rPr>
        <w:t xml:space="preserve"> </w:t>
      </w:r>
    </w:p>
    <w:p w:rsidR="00422588" w:rsidRPr="0005777B" w:rsidRDefault="00422588" w:rsidP="00124861">
      <w:pPr>
        <w:tabs>
          <w:tab w:val="left" w:pos="-720"/>
        </w:tabs>
        <w:suppressAutoHyphens/>
        <w:spacing w:after="0" w:line="240" w:lineRule="auto"/>
        <w:jc w:val="both"/>
        <w:rPr>
          <w:rFonts w:eastAsia="Times New Roman" w:cs="Calibri"/>
          <w:b/>
          <w:i/>
          <w:spacing w:val="-3"/>
          <w:sz w:val="24"/>
          <w:szCs w:val="24"/>
          <w:lang w:val="en-GB" w:eastAsia="hr-HR"/>
        </w:rPr>
      </w:pPr>
    </w:p>
    <w:p w:rsidR="00810A4B" w:rsidRPr="0005777B" w:rsidRDefault="00B92956" w:rsidP="00602844">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As at </w:t>
      </w:r>
      <w:r w:rsidR="00582992" w:rsidRPr="0005777B">
        <w:rPr>
          <w:rFonts w:cstheme="minorHAnsi"/>
          <w:spacing w:val="-3"/>
          <w:sz w:val="24"/>
          <w:szCs w:val="24"/>
          <w:lang w:val="en-GB"/>
        </w:rPr>
        <w:t>3</w:t>
      </w:r>
      <w:r w:rsidR="00D10E67">
        <w:rPr>
          <w:rFonts w:cstheme="minorHAnsi"/>
          <w:spacing w:val="-3"/>
          <w:sz w:val="24"/>
          <w:szCs w:val="24"/>
          <w:lang w:val="en-GB"/>
        </w:rPr>
        <w:t>0 June</w:t>
      </w:r>
      <w:r w:rsidRPr="0005777B">
        <w:rPr>
          <w:rFonts w:cstheme="minorHAnsi"/>
          <w:spacing w:val="-3"/>
          <w:sz w:val="24"/>
          <w:szCs w:val="24"/>
          <w:lang w:val="en-GB"/>
        </w:rPr>
        <w:t xml:space="preserve"> </w:t>
      </w:r>
      <w:r w:rsidR="00582992" w:rsidRPr="0005777B">
        <w:rPr>
          <w:rFonts w:cstheme="minorHAnsi"/>
          <w:spacing w:val="-3"/>
          <w:sz w:val="24"/>
          <w:szCs w:val="24"/>
          <w:lang w:val="en-GB"/>
        </w:rPr>
        <w:t>201</w:t>
      </w:r>
      <w:r w:rsidR="00C31F69" w:rsidRPr="0005777B">
        <w:rPr>
          <w:rFonts w:cstheme="minorHAnsi"/>
          <w:spacing w:val="-3"/>
          <w:sz w:val="24"/>
          <w:szCs w:val="24"/>
          <w:lang w:val="en-GB"/>
        </w:rPr>
        <w:t>7</w:t>
      </w:r>
      <w:r w:rsidRPr="0005777B">
        <w:rPr>
          <w:rFonts w:cstheme="minorHAnsi"/>
          <w:spacing w:val="-3"/>
          <w:sz w:val="24"/>
          <w:szCs w:val="24"/>
          <w:lang w:val="en-GB"/>
        </w:rPr>
        <w:t xml:space="preserve">, </w:t>
      </w:r>
      <w:r w:rsidR="00A05AED" w:rsidRPr="0005777B">
        <w:rPr>
          <w:rFonts w:cstheme="minorHAnsi"/>
          <w:spacing w:val="-3"/>
          <w:sz w:val="24"/>
          <w:szCs w:val="24"/>
          <w:lang w:val="en-GB"/>
        </w:rPr>
        <w:t xml:space="preserve">total liabilities amounted to HRK </w:t>
      </w:r>
      <w:r w:rsidR="00D10E67">
        <w:rPr>
          <w:rFonts w:cstheme="minorHAnsi"/>
          <w:spacing w:val="-3"/>
          <w:sz w:val="24"/>
          <w:szCs w:val="24"/>
          <w:lang w:val="en-GB"/>
        </w:rPr>
        <w:t>17,639</w:t>
      </w:r>
      <w:r w:rsidRPr="0005777B">
        <w:rPr>
          <w:rFonts w:cstheme="minorHAnsi"/>
          <w:spacing w:val="-3"/>
          <w:sz w:val="24"/>
          <w:szCs w:val="24"/>
          <w:lang w:val="en-GB"/>
        </w:rPr>
        <w:t>.</w:t>
      </w:r>
      <w:r w:rsidR="00C31F69" w:rsidRPr="0005777B">
        <w:rPr>
          <w:rFonts w:cstheme="minorHAnsi"/>
          <w:spacing w:val="-3"/>
          <w:sz w:val="24"/>
          <w:szCs w:val="24"/>
          <w:lang w:val="en-GB"/>
        </w:rPr>
        <w:t>54</w:t>
      </w:r>
      <w:r w:rsidRPr="0005777B">
        <w:rPr>
          <w:rFonts w:cstheme="minorHAnsi"/>
          <w:spacing w:val="-3"/>
          <w:sz w:val="24"/>
          <w:szCs w:val="24"/>
          <w:lang w:val="en-GB"/>
        </w:rPr>
        <w:t xml:space="preserve"> million, which represents </w:t>
      </w:r>
      <w:r w:rsidR="00810A4B" w:rsidRPr="0005777B">
        <w:rPr>
          <w:rFonts w:cstheme="minorHAnsi"/>
          <w:spacing w:val="-3"/>
          <w:sz w:val="24"/>
          <w:szCs w:val="24"/>
          <w:lang w:val="en-GB"/>
        </w:rPr>
        <w:t>6</w:t>
      </w:r>
      <w:r w:rsidR="00D10E67">
        <w:rPr>
          <w:rFonts w:cstheme="minorHAnsi"/>
          <w:spacing w:val="-3"/>
          <w:sz w:val="24"/>
          <w:szCs w:val="24"/>
          <w:lang w:val="en-GB"/>
        </w:rPr>
        <w:t>3</w:t>
      </w:r>
      <w:r w:rsidRPr="0005777B">
        <w:rPr>
          <w:rFonts w:cstheme="minorHAnsi"/>
          <w:spacing w:val="-3"/>
          <w:sz w:val="24"/>
          <w:szCs w:val="24"/>
          <w:lang w:val="en-GB"/>
        </w:rPr>
        <w:t>.</w:t>
      </w:r>
      <w:r w:rsidR="00D10E67">
        <w:rPr>
          <w:rFonts w:cstheme="minorHAnsi"/>
          <w:spacing w:val="-3"/>
          <w:sz w:val="24"/>
          <w:szCs w:val="24"/>
          <w:lang w:val="en-GB"/>
        </w:rPr>
        <w:t>44</w:t>
      </w:r>
      <w:r w:rsidR="00C31F69" w:rsidRPr="0005777B">
        <w:rPr>
          <w:rFonts w:cstheme="minorHAnsi"/>
          <w:spacing w:val="-3"/>
          <w:sz w:val="24"/>
          <w:szCs w:val="24"/>
          <w:lang w:val="en-GB"/>
        </w:rPr>
        <w:t xml:space="preserve"> p</w:t>
      </w:r>
      <w:r w:rsidRPr="0005777B">
        <w:rPr>
          <w:rFonts w:cstheme="minorHAnsi"/>
          <w:spacing w:val="-3"/>
          <w:sz w:val="24"/>
          <w:szCs w:val="24"/>
          <w:lang w:val="en-GB"/>
        </w:rPr>
        <w:t>ercent of total liabilities and total equity. The major part of total liabilities consists of HBOR</w:t>
      </w:r>
      <w:r w:rsidR="009E6038" w:rsidRPr="0005777B">
        <w:rPr>
          <w:rFonts w:cstheme="minorHAnsi"/>
          <w:spacing w:val="-3"/>
          <w:sz w:val="24"/>
          <w:szCs w:val="24"/>
          <w:lang w:val="en-GB"/>
        </w:rPr>
        <w:t>’s</w:t>
      </w:r>
      <w:r w:rsidRPr="0005777B">
        <w:rPr>
          <w:rFonts w:cstheme="minorHAnsi"/>
          <w:spacing w:val="-3"/>
          <w:sz w:val="24"/>
          <w:szCs w:val="24"/>
          <w:lang w:val="en-GB"/>
        </w:rPr>
        <w:t xml:space="preserve"> </w:t>
      </w:r>
      <w:r w:rsidR="009E6038" w:rsidRPr="0005777B">
        <w:rPr>
          <w:rFonts w:cstheme="minorHAnsi"/>
          <w:spacing w:val="-3"/>
          <w:sz w:val="24"/>
          <w:szCs w:val="24"/>
          <w:lang w:val="en-GB"/>
        </w:rPr>
        <w:t xml:space="preserve">foreign </w:t>
      </w:r>
      <w:r w:rsidRPr="0005777B">
        <w:rPr>
          <w:rFonts w:cstheme="minorHAnsi"/>
          <w:spacing w:val="-3"/>
          <w:sz w:val="24"/>
          <w:szCs w:val="24"/>
          <w:lang w:val="en-GB"/>
        </w:rPr>
        <w:t>borrowings and bonds payable in the total amount of HRK</w:t>
      </w:r>
      <w:r w:rsidR="00810A4B" w:rsidRPr="0005777B">
        <w:rPr>
          <w:rFonts w:cstheme="minorHAnsi"/>
          <w:spacing w:val="-3"/>
          <w:sz w:val="24"/>
          <w:szCs w:val="24"/>
          <w:lang w:val="en-GB"/>
        </w:rPr>
        <w:t xml:space="preserve"> </w:t>
      </w:r>
      <w:r w:rsidR="00D10E67">
        <w:rPr>
          <w:rFonts w:cstheme="minorHAnsi"/>
          <w:spacing w:val="-3"/>
          <w:sz w:val="24"/>
          <w:szCs w:val="24"/>
          <w:lang w:val="en-GB"/>
        </w:rPr>
        <w:t>16,533.34</w:t>
      </w:r>
      <w:r w:rsidR="00810A4B" w:rsidRPr="0005777B">
        <w:rPr>
          <w:rFonts w:cstheme="minorHAnsi"/>
          <w:spacing w:val="-3"/>
          <w:sz w:val="24"/>
          <w:szCs w:val="24"/>
          <w:lang w:val="en-GB"/>
        </w:rPr>
        <w:t xml:space="preserve"> </w:t>
      </w:r>
      <w:r w:rsidR="009E6038" w:rsidRPr="0005777B">
        <w:rPr>
          <w:rFonts w:cstheme="minorHAnsi"/>
          <w:spacing w:val="-3"/>
          <w:sz w:val="24"/>
          <w:szCs w:val="24"/>
          <w:lang w:val="en-GB"/>
        </w:rPr>
        <w:t>million</w:t>
      </w:r>
      <w:r w:rsidR="00810A4B" w:rsidRPr="0005777B">
        <w:rPr>
          <w:rFonts w:cstheme="minorHAnsi"/>
          <w:spacing w:val="-3"/>
          <w:sz w:val="24"/>
          <w:szCs w:val="24"/>
          <w:lang w:val="en-GB"/>
        </w:rPr>
        <w:t xml:space="preserve">. </w:t>
      </w:r>
    </w:p>
    <w:p w:rsidR="00C6286A" w:rsidRPr="0005777B" w:rsidRDefault="00C6286A" w:rsidP="00602844">
      <w:pPr>
        <w:tabs>
          <w:tab w:val="left" w:pos="-720"/>
          <w:tab w:val="left" w:pos="426"/>
        </w:tabs>
        <w:suppressAutoHyphens/>
        <w:spacing w:after="0" w:line="240" w:lineRule="auto"/>
        <w:jc w:val="both"/>
        <w:rPr>
          <w:rFonts w:eastAsia="Times New Roman" w:cs="Calibri"/>
          <w:spacing w:val="-3"/>
          <w:sz w:val="24"/>
          <w:szCs w:val="24"/>
          <w:lang w:val="en-GB" w:eastAsia="hr-HR"/>
        </w:rPr>
      </w:pPr>
    </w:p>
    <w:p w:rsidR="00FC3D1B" w:rsidRDefault="009E6038" w:rsidP="00FF28FF">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Borrowings and bonds payable increased compared with the beginning of the year by </w:t>
      </w:r>
      <w:r w:rsidR="00D10E67">
        <w:rPr>
          <w:rFonts w:cstheme="minorHAnsi"/>
          <w:spacing w:val="-3"/>
          <w:sz w:val="24"/>
          <w:szCs w:val="24"/>
          <w:lang w:val="en-GB"/>
        </w:rPr>
        <w:t>0.22</w:t>
      </w:r>
      <w:r w:rsidR="00C31F69" w:rsidRPr="0005777B">
        <w:rPr>
          <w:rFonts w:cstheme="minorHAnsi"/>
          <w:spacing w:val="-3"/>
          <w:sz w:val="24"/>
          <w:szCs w:val="24"/>
          <w:lang w:val="en-GB"/>
        </w:rPr>
        <w:t xml:space="preserve"> p</w:t>
      </w:r>
      <w:r w:rsidRPr="0005777B">
        <w:rPr>
          <w:rFonts w:cstheme="minorHAnsi"/>
          <w:spacing w:val="-3"/>
          <w:sz w:val="24"/>
          <w:szCs w:val="24"/>
          <w:lang w:val="en-GB"/>
        </w:rPr>
        <w:t>ercent</w:t>
      </w:r>
      <w:r w:rsidR="00D10E67">
        <w:rPr>
          <w:rFonts w:cstheme="minorHAnsi"/>
          <w:spacing w:val="-3"/>
          <w:sz w:val="24"/>
          <w:szCs w:val="24"/>
          <w:lang w:val="en-GB"/>
        </w:rPr>
        <w:t>, i.</w:t>
      </w:r>
      <w:r w:rsidR="00D10E67" w:rsidRPr="00FC3D1B">
        <w:rPr>
          <w:rFonts w:cstheme="minorHAnsi"/>
          <w:spacing w:val="-3"/>
          <w:sz w:val="24"/>
          <w:szCs w:val="24"/>
          <w:lang w:val="en-GB"/>
        </w:rPr>
        <w:t>e. by HRK 36.03 million net, and relate to the following changes</w:t>
      </w:r>
      <w:r w:rsidR="00FC3D1B" w:rsidRPr="00FC3D1B">
        <w:rPr>
          <w:rFonts w:cstheme="minorHAnsi"/>
          <w:spacing w:val="-3"/>
          <w:sz w:val="24"/>
          <w:szCs w:val="24"/>
          <w:lang w:val="en-GB"/>
        </w:rPr>
        <w:t>:</w:t>
      </w:r>
    </w:p>
    <w:p w:rsidR="008617C1" w:rsidRDefault="008617C1" w:rsidP="00FF28FF">
      <w:pPr>
        <w:tabs>
          <w:tab w:val="left" w:pos="-720"/>
        </w:tabs>
        <w:suppressAutoHyphens/>
        <w:spacing w:after="0" w:line="240" w:lineRule="auto"/>
        <w:jc w:val="both"/>
        <w:rPr>
          <w:rFonts w:cstheme="minorHAnsi"/>
          <w:spacing w:val="-3"/>
          <w:sz w:val="24"/>
          <w:szCs w:val="24"/>
          <w:lang w:val="en-G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7B25DC" w:rsidTr="00742BE3">
        <w:tc>
          <w:tcPr>
            <w:tcW w:w="6379" w:type="dxa"/>
          </w:tcPr>
          <w:p w:rsidR="007B25DC" w:rsidRDefault="007B25DC" w:rsidP="00186994">
            <w:pPr>
              <w:tabs>
                <w:tab w:val="left" w:pos="-720"/>
              </w:tabs>
              <w:suppressAutoHyphens/>
              <w:rPr>
                <w:rFonts w:cstheme="minorHAnsi"/>
                <w:spacing w:val="-3"/>
                <w:sz w:val="24"/>
                <w:szCs w:val="24"/>
              </w:rPr>
            </w:pPr>
          </w:p>
        </w:tc>
        <w:tc>
          <w:tcPr>
            <w:tcW w:w="2684" w:type="dxa"/>
          </w:tcPr>
          <w:p w:rsidR="007B25DC" w:rsidRPr="007B25DC" w:rsidRDefault="007B25DC" w:rsidP="007B25DC">
            <w:pPr>
              <w:tabs>
                <w:tab w:val="left" w:pos="-720"/>
              </w:tabs>
              <w:suppressAutoHyphens/>
              <w:jc w:val="right"/>
              <w:rPr>
                <w:rFonts w:cstheme="minorHAnsi"/>
                <w:spacing w:val="-3"/>
                <w:sz w:val="24"/>
                <w:szCs w:val="24"/>
              </w:rPr>
            </w:pPr>
            <w:r>
              <w:rPr>
                <w:rFonts w:cstheme="minorHAnsi"/>
                <w:spacing w:val="-3"/>
                <w:sz w:val="24"/>
                <w:szCs w:val="24"/>
              </w:rPr>
              <w:t>(</w:t>
            </w:r>
            <w:r w:rsidRPr="001111DC">
              <w:rPr>
                <w:rFonts w:cstheme="minorHAnsi"/>
                <w:spacing w:val="-3"/>
                <w:sz w:val="24"/>
                <w:szCs w:val="24"/>
              </w:rPr>
              <w:t>HRK million</w:t>
            </w:r>
            <w:r>
              <w:rPr>
                <w:rFonts w:cstheme="minorHAnsi"/>
                <w:spacing w:val="-3"/>
                <w:sz w:val="24"/>
                <w:szCs w:val="24"/>
              </w:rPr>
              <w:t>)</w:t>
            </w:r>
          </w:p>
        </w:tc>
      </w:tr>
      <w:tr w:rsidR="008617C1" w:rsidTr="00742BE3">
        <w:tc>
          <w:tcPr>
            <w:tcW w:w="6379" w:type="dxa"/>
          </w:tcPr>
          <w:p w:rsidR="008617C1" w:rsidRDefault="008617C1" w:rsidP="00186994">
            <w:pPr>
              <w:tabs>
                <w:tab w:val="left" w:pos="-720"/>
              </w:tabs>
              <w:suppressAutoHyphens/>
              <w:rPr>
                <w:rFonts w:cstheme="minorHAnsi"/>
                <w:spacing w:val="-3"/>
                <w:sz w:val="24"/>
                <w:szCs w:val="24"/>
              </w:rPr>
            </w:pPr>
            <w:r>
              <w:rPr>
                <w:rFonts w:cstheme="minorHAnsi"/>
                <w:spacing w:val="-3"/>
                <w:sz w:val="24"/>
                <w:szCs w:val="24"/>
              </w:rPr>
              <w:t xml:space="preserve">- </w:t>
            </w:r>
            <w:r w:rsidR="007939FF" w:rsidRPr="00FE5B03">
              <w:rPr>
                <w:rFonts w:cstheme="minorHAnsi"/>
                <w:spacing w:val="-3"/>
                <w:sz w:val="24"/>
                <w:szCs w:val="24"/>
              </w:rPr>
              <w:t>drawdowns of borrowed funds previously agreed with special financial institutions</w:t>
            </w:r>
            <w:r w:rsidR="007939FF">
              <w:rPr>
                <w:rFonts w:cstheme="minorHAnsi"/>
                <w:spacing w:val="-3"/>
                <w:sz w:val="24"/>
                <w:szCs w:val="24"/>
                <w:lang w:val="en-GB"/>
              </w:rPr>
              <w:t xml:space="preserve"> </w:t>
            </w:r>
            <w:r w:rsidR="007939FF" w:rsidRPr="007939FF">
              <w:rPr>
                <w:rFonts w:cstheme="minorHAnsi"/>
                <w:spacing w:val="-3"/>
                <w:sz w:val="24"/>
                <w:szCs w:val="24"/>
              </w:rPr>
              <w:t xml:space="preserve"> </w:t>
            </w:r>
          </w:p>
        </w:tc>
        <w:tc>
          <w:tcPr>
            <w:tcW w:w="2684" w:type="dxa"/>
          </w:tcPr>
          <w:p w:rsidR="006761BF" w:rsidRDefault="006761BF" w:rsidP="00742BE3">
            <w:pPr>
              <w:tabs>
                <w:tab w:val="left" w:pos="-720"/>
              </w:tabs>
              <w:suppressAutoHyphens/>
              <w:jc w:val="right"/>
              <w:rPr>
                <w:rFonts w:cstheme="minorHAnsi"/>
                <w:spacing w:val="-3"/>
                <w:sz w:val="24"/>
                <w:szCs w:val="24"/>
              </w:rPr>
            </w:pPr>
          </w:p>
          <w:p w:rsidR="008617C1" w:rsidRDefault="007939FF" w:rsidP="00742BE3">
            <w:pPr>
              <w:tabs>
                <w:tab w:val="left" w:pos="-720"/>
              </w:tabs>
              <w:suppressAutoHyphens/>
              <w:jc w:val="right"/>
              <w:rPr>
                <w:rFonts w:cstheme="minorHAnsi"/>
                <w:spacing w:val="-3"/>
                <w:sz w:val="24"/>
                <w:szCs w:val="24"/>
              </w:rPr>
            </w:pPr>
            <w:r w:rsidRPr="00FE5B03">
              <w:rPr>
                <w:rFonts w:cstheme="minorHAnsi"/>
                <w:spacing w:val="-3"/>
                <w:sz w:val="24"/>
                <w:szCs w:val="24"/>
              </w:rPr>
              <w:t>3,154.49</w:t>
            </w:r>
          </w:p>
        </w:tc>
      </w:tr>
      <w:tr w:rsidR="008617C1" w:rsidTr="00742BE3">
        <w:tc>
          <w:tcPr>
            <w:tcW w:w="6379" w:type="dxa"/>
          </w:tcPr>
          <w:p w:rsidR="008617C1" w:rsidRDefault="008617C1" w:rsidP="00FE5B03">
            <w:pPr>
              <w:tabs>
                <w:tab w:val="left" w:pos="-720"/>
              </w:tabs>
              <w:suppressAutoHyphens/>
              <w:rPr>
                <w:rFonts w:cstheme="minorHAnsi"/>
                <w:spacing w:val="-3"/>
                <w:sz w:val="24"/>
                <w:szCs w:val="24"/>
              </w:rPr>
            </w:pPr>
            <w:r>
              <w:rPr>
                <w:rFonts w:cstheme="minorHAnsi"/>
                <w:spacing w:val="-3"/>
                <w:sz w:val="24"/>
                <w:szCs w:val="24"/>
              </w:rPr>
              <w:t xml:space="preserve">- </w:t>
            </w:r>
            <w:r w:rsidR="007939FF" w:rsidRPr="00FE5B03">
              <w:rPr>
                <w:rFonts w:cstheme="minorHAnsi"/>
                <w:spacing w:val="-3"/>
                <w:sz w:val="24"/>
                <w:szCs w:val="24"/>
              </w:rPr>
              <w:t>repayments of borrowings</w:t>
            </w:r>
          </w:p>
        </w:tc>
        <w:tc>
          <w:tcPr>
            <w:tcW w:w="2684" w:type="dxa"/>
          </w:tcPr>
          <w:p w:rsidR="008617C1" w:rsidRDefault="007939FF" w:rsidP="00742BE3">
            <w:pPr>
              <w:tabs>
                <w:tab w:val="left" w:pos="-720"/>
              </w:tabs>
              <w:suppressAutoHyphens/>
              <w:jc w:val="right"/>
              <w:rPr>
                <w:rFonts w:cstheme="minorHAnsi"/>
                <w:spacing w:val="-3"/>
                <w:sz w:val="24"/>
                <w:szCs w:val="24"/>
              </w:rPr>
            </w:pPr>
            <w:r w:rsidRPr="007939FF">
              <w:rPr>
                <w:rFonts w:cstheme="minorHAnsi"/>
                <w:spacing w:val="-3"/>
                <w:sz w:val="24"/>
                <w:szCs w:val="24"/>
              </w:rPr>
              <w:t>(2,675.22)</w:t>
            </w:r>
          </w:p>
        </w:tc>
      </w:tr>
      <w:tr w:rsidR="008617C1" w:rsidTr="00742BE3">
        <w:tc>
          <w:tcPr>
            <w:tcW w:w="6379" w:type="dxa"/>
            <w:tcBorders>
              <w:bottom w:val="single" w:sz="4" w:space="0" w:color="auto"/>
            </w:tcBorders>
          </w:tcPr>
          <w:p w:rsidR="008617C1" w:rsidRDefault="008617C1" w:rsidP="00FE5B03">
            <w:pPr>
              <w:tabs>
                <w:tab w:val="left" w:pos="-720"/>
              </w:tabs>
              <w:suppressAutoHyphens/>
              <w:rPr>
                <w:rFonts w:cstheme="minorHAnsi"/>
                <w:spacing w:val="-3"/>
                <w:sz w:val="24"/>
                <w:szCs w:val="24"/>
              </w:rPr>
            </w:pPr>
            <w:r>
              <w:rPr>
                <w:rFonts w:cstheme="minorHAnsi"/>
                <w:spacing w:val="-3"/>
                <w:sz w:val="24"/>
                <w:szCs w:val="24"/>
              </w:rPr>
              <w:t xml:space="preserve">- </w:t>
            </w:r>
            <w:r w:rsidR="007939FF" w:rsidRPr="00FE5B03">
              <w:rPr>
                <w:rFonts w:cstheme="minorHAnsi"/>
                <w:spacing w:val="-3"/>
                <w:sz w:val="24"/>
                <w:szCs w:val="24"/>
              </w:rPr>
              <w:t>other calculations*</w:t>
            </w:r>
          </w:p>
        </w:tc>
        <w:tc>
          <w:tcPr>
            <w:tcW w:w="2684" w:type="dxa"/>
            <w:tcBorders>
              <w:bottom w:val="single" w:sz="4" w:space="0" w:color="auto"/>
            </w:tcBorders>
          </w:tcPr>
          <w:p w:rsidR="008617C1" w:rsidRDefault="007939FF" w:rsidP="00742BE3">
            <w:pPr>
              <w:tabs>
                <w:tab w:val="left" w:pos="-720"/>
              </w:tabs>
              <w:suppressAutoHyphens/>
              <w:jc w:val="right"/>
              <w:rPr>
                <w:rFonts w:cstheme="minorHAnsi"/>
                <w:spacing w:val="-3"/>
                <w:sz w:val="24"/>
                <w:szCs w:val="24"/>
              </w:rPr>
            </w:pPr>
            <w:r w:rsidRPr="007939FF">
              <w:rPr>
                <w:rFonts w:cstheme="minorHAnsi"/>
                <w:spacing w:val="-3"/>
                <w:sz w:val="24"/>
                <w:szCs w:val="24"/>
              </w:rPr>
              <w:t>(443.24)</w:t>
            </w:r>
          </w:p>
        </w:tc>
      </w:tr>
      <w:tr w:rsidR="008617C1" w:rsidTr="00742BE3">
        <w:tc>
          <w:tcPr>
            <w:tcW w:w="6379" w:type="dxa"/>
            <w:tcBorders>
              <w:top w:val="single" w:sz="4" w:space="0" w:color="auto"/>
            </w:tcBorders>
          </w:tcPr>
          <w:p w:rsidR="008617C1" w:rsidRPr="00186994" w:rsidRDefault="007939FF" w:rsidP="00FE5B03">
            <w:pPr>
              <w:tabs>
                <w:tab w:val="left" w:pos="-720"/>
              </w:tabs>
              <w:suppressAutoHyphens/>
              <w:rPr>
                <w:rFonts w:cstheme="minorHAnsi"/>
                <w:b/>
                <w:spacing w:val="-3"/>
                <w:sz w:val="24"/>
                <w:szCs w:val="24"/>
              </w:rPr>
            </w:pPr>
            <w:r w:rsidRPr="00FE5B03">
              <w:rPr>
                <w:rFonts w:cstheme="minorHAnsi"/>
                <w:b/>
                <w:spacing w:val="-3"/>
                <w:sz w:val="24"/>
                <w:szCs w:val="24"/>
              </w:rPr>
              <w:t>Total changes</w:t>
            </w:r>
          </w:p>
        </w:tc>
        <w:tc>
          <w:tcPr>
            <w:tcW w:w="2684" w:type="dxa"/>
            <w:tcBorders>
              <w:top w:val="single" w:sz="4" w:space="0" w:color="auto"/>
            </w:tcBorders>
          </w:tcPr>
          <w:p w:rsidR="008617C1" w:rsidRPr="00742BE3" w:rsidRDefault="007939FF" w:rsidP="00742BE3">
            <w:pPr>
              <w:tabs>
                <w:tab w:val="left" w:pos="-720"/>
              </w:tabs>
              <w:suppressAutoHyphens/>
              <w:jc w:val="right"/>
              <w:rPr>
                <w:rFonts w:cstheme="minorHAnsi"/>
                <w:b/>
                <w:spacing w:val="-3"/>
                <w:sz w:val="24"/>
                <w:szCs w:val="24"/>
              </w:rPr>
            </w:pPr>
            <w:r w:rsidRPr="007939FF">
              <w:rPr>
                <w:rFonts w:cstheme="minorHAnsi"/>
                <w:b/>
                <w:spacing w:val="-3"/>
                <w:sz w:val="24"/>
                <w:szCs w:val="24"/>
              </w:rPr>
              <w:t>36.03</w:t>
            </w:r>
          </w:p>
        </w:tc>
      </w:tr>
      <w:tr w:rsidR="008617C1" w:rsidTr="00742BE3">
        <w:tc>
          <w:tcPr>
            <w:tcW w:w="6379" w:type="dxa"/>
            <w:tcBorders>
              <w:top w:val="single" w:sz="4" w:space="0" w:color="auto"/>
            </w:tcBorders>
          </w:tcPr>
          <w:p w:rsidR="008617C1" w:rsidRPr="00B2659C" w:rsidRDefault="008617C1" w:rsidP="00742BE3">
            <w:pPr>
              <w:tabs>
                <w:tab w:val="left" w:pos="-720"/>
              </w:tabs>
              <w:suppressAutoHyphens/>
              <w:jc w:val="both"/>
              <w:rPr>
                <w:rFonts w:cstheme="minorHAnsi"/>
                <w:b/>
                <w:spacing w:val="-3"/>
                <w:sz w:val="24"/>
                <w:szCs w:val="24"/>
              </w:rPr>
            </w:pPr>
          </w:p>
        </w:tc>
        <w:tc>
          <w:tcPr>
            <w:tcW w:w="2684" w:type="dxa"/>
            <w:tcBorders>
              <w:top w:val="single" w:sz="4" w:space="0" w:color="auto"/>
            </w:tcBorders>
          </w:tcPr>
          <w:p w:rsidR="008617C1" w:rsidRPr="00B2659C" w:rsidRDefault="008617C1" w:rsidP="00742BE3">
            <w:pPr>
              <w:tabs>
                <w:tab w:val="left" w:pos="-720"/>
              </w:tabs>
              <w:suppressAutoHyphens/>
              <w:jc w:val="right"/>
              <w:rPr>
                <w:rFonts w:cstheme="minorHAnsi"/>
                <w:b/>
                <w:spacing w:val="-3"/>
                <w:sz w:val="24"/>
                <w:szCs w:val="24"/>
              </w:rPr>
            </w:pPr>
          </w:p>
        </w:tc>
      </w:tr>
      <w:tr w:rsidR="008617C1" w:rsidRPr="00B2659C" w:rsidTr="00742BE3">
        <w:tc>
          <w:tcPr>
            <w:tcW w:w="9063" w:type="dxa"/>
            <w:gridSpan w:val="2"/>
          </w:tcPr>
          <w:p w:rsidR="008617C1" w:rsidRPr="00742BE3" w:rsidRDefault="007939FF" w:rsidP="00742BE3">
            <w:pPr>
              <w:tabs>
                <w:tab w:val="left" w:pos="-720"/>
              </w:tabs>
              <w:suppressAutoHyphens/>
              <w:jc w:val="both"/>
              <w:rPr>
                <w:rFonts w:cstheme="minorHAnsi"/>
                <w:i/>
                <w:spacing w:val="-3"/>
                <w:sz w:val="24"/>
                <w:szCs w:val="24"/>
              </w:rPr>
            </w:pPr>
            <w:r w:rsidRPr="007939FF">
              <w:rPr>
                <w:rFonts w:cstheme="minorHAnsi"/>
                <w:i/>
                <w:spacing w:val="-3"/>
                <w:sz w:val="24"/>
                <w:szCs w:val="24"/>
              </w:rPr>
              <w:t xml:space="preserve">*Other calculations relate to foreign-exchange gains and losses, changes in discount, changes in the amount of interest not due, and deferred fees.     </w:t>
            </w:r>
          </w:p>
        </w:tc>
      </w:tr>
    </w:tbl>
    <w:p w:rsidR="008617C1" w:rsidRDefault="008617C1" w:rsidP="00FF28FF">
      <w:pPr>
        <w:tabs>
          <w:tab w:val="left" w:pos="-720"/>
        </w:tabs>
        <w:suppressAutoHyphens/>
        <w:spacing w:after="0" w:line="240" w:lineRule="auto"/>
        <w:jc w:val="both"/>
        <w:rPr>
          <w:rFonts w:cstheme="minorHAnsi"/>
          <w:spacing w:val="-3"/>
          <w:sz w:val="24"/>
          <w:szCs w:val="24"/>
          <w:lang w:val="en-GB"/>
        </w:rPr>
      </w:pPr>
    </w:p>
    <w:p w:rsidR="001637D9" w:rsidRDefault="002D6BE0" w:rsidP="005D453B">
      <w:pPr>
        <w:tabs>
          <w:tab w:val="left" w:pos="0"/>
        </w:tabs>
        <w:spacing w:after="0" w:line="240" w:lineRule="auto"/>
        <w:jc w:val="both"/>
        <w:rPr>
          <w:rFonts w:ascii="Calibri" w:eastAsia="Times New Roman" w:hAnsi="Calibri" w:cs="Calibri"/>
          <w:sz w:val="24"/>
          <w:szCs w:val="24"/>
          <w:lang w:val="en-GB" w:eastAsia="hr-HR"/>
        </w:rPr>
      </w:pPr>
      <w:r>
        <w:rPr>
          <w:rFonts w:ascii="Calibri" w:eastAsia="Times New Roman" w:hAnsi="Calibri" w:cs="Calibri"/>
          <w:sz w:val="24"/>
          <w:szCs w:val="24"/>
          <w:lang w:val="en-GB" w:eastAsia="hr-HR"/>
        </w:rPr>
        <w:t>O</w:t>
      </w:r>
      <w:r w:rsidR="009E6038" w:rsidRPr="0005777B">
        <w:rPr>
          <w:rFonts w:ascii="Calibri" w:eastAsia="Times New Roman" w:hAnsi="Calibri" w:cs="Calibri"/>
          <w:sz w:val="24"/>
          <w:szCs w:val="24"/>
          <w:lang w:val="en-GB" w:eastAsia="hr-HR"/>
        </w:rPr>
        <w:t xml:space="preserve">n </w:t>
      </w:r>
      <w:r w:rsidR="00847298" w:rsidRPr="0005777B">
        <w:rPr>
          <w:rFonts w:ascii="Calibri" w:eastAsia="Times New Roman" w:hAnsi="Calibri" w:cs="Calibri"/>
          <w:sz w:val="24"/>
          <w:szCs w:val="24"/>
          <w:lang w:val="en-GB" w:eastAsia="hr-HR"/>
        </w:rPr>
        <w:t>24</w:t>
      </w:r>
      <w:r w:rsidR="009E6038" w:rsidRPr="0005777B">
        <w:rPr>
          <w:rFonts w:ascii="Calibri" w:eastAsia="Times New Roman" w:hAnsi="Calibri" w:cs="Calibri"/>
          <w:sz w:val="24"/>
          <w:szCs w:val="24"/>
          <w:lang w:val="en-GB" w:eastAsia="hr-HR"/>
        </w:rPr>
        <w:t xml:space="preserve"> March </w:t>
      </w:r>
      <w:r w:rsidR="001637D9" w:rsidRPr="0005777B">
        <w:rPr>
          <w:rFonts w:ascii="Calibri" w:eastAsia="Times New Roman" w:hAnsi="Calibri" w:cs="Calibri"/>
          <w:sz w:val="24"/>
          <w:szCs w:val="24"/>
          <w:lang w:val="en-GB" w:eastAsia="hr-HR"/>
        </w:rPr>
        <w:t>201</w:t>
      </w:r>
      <w:r w:rsidR="00847298" w:rsidRPr="0005777B">
        <w:rPr>
          <w:rFonts w:ascii="Calibri" w:eastAsia="Times New Roman" w:hAnsi="Calibri" w:cs="Calibri"/>
          <w:sz w:val="24"/>
          <w:szCs w:val="24"/>
          <w:lang w:val="en-GB" w:eastAsia="hr-HR"/>
        </w:rPr>
        <w:t>7</w:t>
      </w:r>
      <w:r w:rsidR="009E6038" w:rsidRPr="0005777B">
        <w:rPr>
          <w:rFonts w:ascii="Calibri" w:eastAsia="Times New Roman" w:hAnsi="Calibri" w:cs="Calibri"/>
          <w:sz w:val="24"/>
          <w:szCs w:val="24"/>
          <w:lang w:val="en-GB" w:eastAsia="hr-HR"/>
        </w:rPr>
        <w:t>, HBOR entered into a</w:t>
      </w:r>
      <w:r w:rsidR="006B6E24" w:rsidRPr="0005777B">
        <w:rPr>
          <w:rFonts w:ascii="Calibri" w:eastAsia="Times New Roman" w:hAnsi="Calibri" w:cs="Calibri"/>
          <w:sz w:val="24"/>
          <w:szCs w:val="24"/>
          <w:lang w:val="en-GB" w:eastAsia="hr-HR"/>
        </w:rPr>
        <w:t xml:space="preserve"> EUR 44.00 million Finance Contract with the </w:t>
      </w:r>
      <w:r w:rsidR="001637D9" w:rsidRPr="0005777B">
        <w:rPr>
          <w:rFonts w:ascii="Calibri" w:eastAsia="Times New Roman" w:hAnsi="Calibri" w:cs="Calibri"/>
          <w:sz w:val="24"/>
          <w:szCs w:val="24"/>
          <w:lang w:val="en-GB" w:eastAsia="hr-HR"/>
        </w:rPr>
        <w:t>Europ</w:t>
      </w:r>
      <w:r w:rsidR="006B6E24" w:rsidRPr="0005777B">
        <w:rPr>
          <w:rFonts w:ascii="Calibri" w:eastAsia="Times New Roman" w:hAnsi="Calibri" w:cs="Calibri"/>
          <w:sz w:val="24"/>
          <w:szCs w:val="24"/>
          <w:lang w:val="en-GB" w:eastAsia="hr-HR"/>
        </w:rPr>
        <w:t>ean Investment Bank for the financing of a development</w:t>
      </w:r>
      <w:r w:rsidR="00E80CC0" w:rsidRPr="0005777B">
        <w:rPr>
          <w:rFonts w:ascii="Calibri" w:eastAsia="Times New Roman" w:hAnsi="Calibri" w:cs="Calibri"/>
          <w:sz w:val="24"/>
          <w:szCs w:val="24"/>
          <w:lang w:val="en-GB" w:eastAsia="hr-HR"/>
        </w:rPr>
        <w:t xml:space="preserve"> project in </w:t>
      </w:r>
      <w:r w:rsidR="006B6E24" w:rsidRPr="0005777B">
        <w:rPr>
          <w:rFonts w:ascii="Calibri" w:eastAsia="Times New Roman" w:hAnsi="Calibri" w:cs="Calibri"/>
          <w:sz w:val="24"/>
          <w:szCs w:val="24"/>
          <w:lang w:val="en-GB" w:eastAsia="hr-HR"/>
        </w:rPr>
        <w:t>tourism</w:t>
      </w:r>
      <w:r w:rsidR="001637D9" w:rsidRPr="0005777B">
        <w:rPr>
          <w:rFonts w:ascii="Calibri" w:eastAsia="Times New Roman" w:hAnsi="Calibri" w:cs="Calibri"/>
          <w:sz w:val="24"/>
          <w:szCs w:val="24"/>
          <w:lang w:val="en-GB" w:eastAsia="hr-HR"/>
        </w:rPr>
        <w:t xml:space="preserve">. </w:t>
      </w:r>
    </w:p>
    <w:p w:rsidR="002D6BE0" w:rsidRDefault="002D6BE0" w:rsidP="005D453B">
      <w:pPr>
        <w:tabs>
          <w:tab w:val="left" w:pos="0"/>
        </w:tabs>
        <w:spacing w:after="0" w:line="240" w:lineRule="auto"/>
        <w:jc w:val="both"/>
        <w:rPr>
          <w:rFonts w:ascii="Calibri" w:eastAsia="Times New Roman" w:hAnsi="Calibri" w:cs="Calibri"/>
          <w:sz w:val="24"/>
          <w:szCs w:val="24"/>
          <w:lang w:val="en-GB" w:eastAsia="hr-HR"/>
        </w:rPr>
      </w:pPr>
    </w:p>
    <w:p w:rsidR="00B73C94" w:rsidRDefault="002D6BE0" w:rsidP="005D453B">
      <w:pPr>
        <w:tabs>
          <w:tab w:val="left" w:pos="0"/>
        </w:tabs>
        <w:spacing w:after="0" w:line="240" w:lineRule="auto"/>
        <w:jc w:val="both"/>
        <w:rPr>
          <w:rFonts w:ascii="Calibri" w:eastAsia="Times New Roman" w:hAnsi="Calibri" w:cs="Calibri"/>
          <w:sz w:val="24"/>
          <w:szCs w:val="24"/>
          <w:lang w:val="en-GB" w:eastAsia="hr-HR"/>
        </w:rPr>
      </w:pPr>
      <w:r>
        <w:rPr>
          <w:rFonts w:ascii="Calibri" w:eastAsia="Times New Roman" w:hAnsi="Calibri" w:cs="Calibri"/>
          <w:sz w:val="24"/>
          <w:szCs w:val="24"/>
          <w:lang w:val="en-GB" w:eastAsia="hr-HR"/>
        </w:rPr>
        <w:t>Of the total amount</w:t>
      </w:r>
      <w:r w:rsidR="006D45B6">
        <w:rPr>
          <w:rFonts w:ascii="Calibri" w:eastAsia="Times New Roman" w:hAnsi="Calibri" w:cs="Calibri"/>
          <w:sz w:val="24"/>
          <w:szCs w:val="24"/>
          <w:lang w:val="en-GB" w:eastAsia="hr-HR"/>
        </w:rPr>
        <w:t xml:space="preserve"> of repaid borrowings</w:t>
      </w:r>
      <w:r>
        <w:rPr>
          <w:rFonts w:ascii="Calibri" w:eastAsia="Times New Roman" w:hAnsi="Calibri" w:cs="Calibri"/>
          <w:sz w:val="24"/>
          <w:szCs w:val="24"/>
          <w:lang w:val="en-GB" w:eastAsia="hr-HR"/>
        </w:rPr>
        <w:t>,</w:t>
      </w:r>
      <w:r w:rsidR="006D45B6">
        <w:rPr>
          <w:rFonts w:ascii="Calibri" w:eastAsia="Times New Roman" w:hAnsi="Calibri" w:cs="Calibri"/>
          <w:sz w:val="24"/>
          <w:szCs w:val="24"/>
          <w:lang w:val="en-GB" w:eastAsia="hr-HR"/>
        </w:rPr>
        <w:t xml:space="preserve"> the most significant amount relates to a one-off </w:t>
      </w:r>
      <w:r w:rsidR="00932CBB">
        <w:rPr>
          <w:rFonts w:ascii="Calibri" w:eastAsia="Times New Roman" w:hAnsi="Calibri" w:cs="Calibri"/>
          <w:sz w:val="24"/>
          <w:szCs w:val="24"/>
          <w:lang w:val="en-GB" w:eastAsia="hr-HR"/>
        </w:rPr>
        <w:t>payment under</w:t>
      </w:r>
      <w:r w:rsidR="00932CBB" w:rsidRPr="00932CBB">
        <w:t xml:space="preserve"> </w:t>
      </w:r>
      <w:r w:rsidR="00932CBB" w:rsidRPr="00932CBB">
        <w:rPr>
          <w:rFonts w:ascii="Calibri" w:eastAsia="Times New Roman" w:hAnsi="Calibri" w:cs="Calibri"/>
          <w:sz w:val="24"/>
          <w:szCs w:val="24"/>
          <w:lang w:val="en-GB" w:eastAsia="hr-HR"/>
        </w:rPr>
        <w:t>the long-term bonds in the amount of HRK 1,852.05 million together with interest of HRK 92.60 million made by HBOR on 13 June 2017</w:t>
      </w:r>
      <w:r w:rsidR="00932CBB">
        <w:rPr>
          <w:rFonts w:ascii="Calibri" w:eastAsia="Times New Roman" w:hAnsi="Calibri" w:cs="Calibri"/>
          <w:sz w:val="24"/>
          <w:szCs w:val="24"/>
          <w:lang w:val="en-GB" w:eastAsia="hr-HR"/>
        </w:rPr>
        <w:t xml:space="preserve">. The Bonds had been issued on 14 June 2007 on the basis of the agreement between </w:t>
      </w:r>
      <w:r w:rsidR="00932CBB" w:rsidRPr="00932CBB">
        <w:rPr>
          <w:rFonts w:ascii="Calibri" w:eastAsia="Times New Roman" w:hAnsi="Calibri" w:cs="Calibri"/>
          <w:sz w:val="24"/>
          <w:szCs w:val="24"/>
          <w:lang w:val="en-GB" w:eastAsia="hr-HR"/>
        </w:rPr>
        <w:t xml:space="preserve">HBOR </w:t>
      </w:r>
      <w:r w:rsidR="00932CBB">
        <w:rPr>
          <w:rFonts w:ascii="Calibri" w:eastAsia="Times New Roman" w:hAnsi="Calibri" w:cs="Calibri"/>
          <w:sz w:val="24"/>
          <w:szCs w:val="24"/>
          <w:lang w:val="en-GB" w:eastAsia="hr-HR"/>
        </w:rPr>
        <w:t>and UBS Investment Bank and Deutsche Bank AG London (</w:t>
      </w:r>
      <w:r w:rsidR="00932CBB" w:rsidRPr="00932CBB">
        <w:rPr>
          <w:rFonts w:ascii="Calibri" w:eastAsia="Times New Roman" w:hAnsi="Calibri" w:cs="Calibri"/>
          <w:sz w:val="24"/>
          <w:szCs w:val="24"/>
          <w:lang w:val="en-GB" w:eastAsia="hr-HR"/>
        </w:rPr>
        <w:t>as joint lead managers</w:t>
      </w:r>
      <w:r w:rsidR="00932CBB">
        <w:rPr>
          <w:rFonts w:ascii="Calibri" w:eastAsia="Times New Roman" w:hAnsi="Calibri" w:cs="Calibri"/>
          <w:sz w:val="24"/>
          <w:szCs w:val="24"/>
          <w:lang w:val="en-GB" w:eastAsia="hr-HR"/>
        </w:rPr>
        <w:t xml:space="preserve">) in the amount of </w:t>
      </w:r>
      <w:r w:rsidR="00932CBB" w:rsidRPr="00932CBB">
        <w:rPr>
          <w:rFonts w:ascii="Calibri" w:eastAsia="Times New Roman" w:hAnsi="Calibri" w:cs="Calibri"/>
          <w:sz w:val="24"/>
          <w:szCs w:val="24"/>
          <w:lang w:val="en-GB" w:eastAsia="hr-HR"/>
        </w:rPr>
        <w:t>EUR 250</w:t>
      </w:r>
      <w:r w:rsidR="00932CBB">
        <w:rPr>
          <w:rFonts w:ascii="Calibri" w:eastAsia="Times New Roman" w:hAnsi="Calibri" w:cs="Calibri"/>
          <w:sz w:val="24"/>
          <w:szCs w:val="24"/>
          <w:lang w:val="en-GB" w:eastAsia="hr-HR"/>
        </w:rPr>
        <w:t>.</w:t>
      </w:r>
      <w:r w:rsidR="00932CBB" w:rsidRPr="00932CBB">
        <w:rPr>
          <w:rFonts w:ascii="Calibri" w:eastAsia="Times New Roman" w:hAnsi="Calibri" w:cs="Calibri"/>
          <w:sz w:val="24"/>
          <w:szCs w:val="24"/>
          <w:lang w:val="en-GB" w:eastAsia="hr-HR"/>
        </w:rPr>
        <w:t xml:space="preserve">00 </w:t>
      </w:r>
      <w:r w:rsidR="00932CBB">
        <w:rPr>
          <w:rFonts w:ascii="Calibri" w:eastAsia="Times New Roman" w:hAnsi="Calibri" w:cs="Calibri"/>
          <w:sz w:val="24"/>
          <w:szCs w:val="24"/>
          <w:lang w:val="en-GB" w:eastAsia="hr-HR"/>
        </w:rPr>
        <w:t xml:space="preserve">million </w:t>
      </w:r>
      <w:r w:rsidR="00932CBB" w:rsidRPr="00932CBB">
        <w:rPr>
          <w:rFonts w:ascii="Calibri" w:eastAsia="Times New Roman" w:hAnsi="Calibri" w:cs="Calibri"/>
          <w:sz w:val="24"/>
          <w:szCs w:val="24"/>
          <w:lang w:val="en-GB" w:eastAsia="hr-HR"/>
        </w:rPr>
        <w:t>with maturity period of 10 years and fixed interest rate of 5.0</w:t>
      </w:r>
      <w:r w:rsidR="006401B2">
        <w:rPr>
          <w:rFonts w:ascii="Calibri" w:eastAsia="Times New Roman" w:hAnsi="Calibri" w:cs="Calibri"/>
          <w:sz w:val="24"/>
          <w:szCs w:val="24"/>
          <w:lang w:val="en-GB" w:eastAsia="hr-HR"/>
        </w:rPr>
        <w:t>0</w:t>
      </w:r>
      <w:r w:rsidR="00932CBB" w:rsidRPr="00932CBB">
        <w:rPr>
          <w:rFonts w:ascii="Calibri" w:eastAsia="Times New Roman" w:hAnsi="Calibri" w:cs="Calibri"/>
          <w:sz w:val="24"/>
          <w:szCs w:val="24"/>
          <w:lang w:val="en-GB" w:eastAsia="hr-HR"/>
        </w:rPr>
        <w:t>%.</w:t>
      </w:r>
    </w:p>
    <w:p w:rsidR="00B73C94" w:rsidRDefault="00B73C94" w:rsidP="005D453B">
      <w:pPr>
        <w:tabs>
          <w:tab w:val="left" w:pos="0"/>
        </w:tabs>
        <w:spacing w:after="0" w:line="240" w:lineRule="auto"/>
        <w:jc w:val="both"/>
        <w:rPr>
          <w:rFonts w:ascii="Calibri" w:eastAsia="Times New Roman" w:hAnsi="Calibri" w:cs="Calibri"/>
          <w:sz w:val="24"/>
          <w:szCs w:val="24"/>
          <w:lang w:val="en-GB" w:eastAsia="hr-HR"/>
        </w:rPr>
      </w:pPr>
    </w:p>
    <w:p w:rsidR="00EE5FF8" w:rsidRDefault="00EE5FF8" w:rsidP="005D453B">
      <w:pPr>
        <w:tabs>
          <w:tab w:val="left" w:pos="0"/>
        </w:tabs>
        <w:spacing w:after="0" w:line="240" w:lineRule="auto"/>
        <w:jc w:val="both"/>
        <w:rPr>
          <w:rFonts w:ascii="Calibri" w:eastAsia="Times New Roman" w:hAnsi="Calibri" w:cs="Calibri"/>
          <w:sz w:val="24"/>
          <w:szCs w:val="24"/>
          <w:lang w:val="en-GB" w:eastAsia="hr-HR"/>
        </w:rPr>
        <w:sectPr w:rsidR="00EE5FF8" w:rsidSect="00F11426">
          <w:footerReference w:type="default" r:id="rId40"/>
          <w:pgSz w:w="11906" w:h="16838"/>
          <w:pgMar w:top="1417" w:right="1416" w:bottom="1417" w:left="1417" w:header="708" w:footer="708" w:gutter="0"/>
          <w:cols w:space="708"/>
          <w:docGrid w:linePitch="360"/>
        </w:sectPr>
      </w:pPr>
    </w:p>
    <w:p w:rsidR="00E86735" w:rsidRPr="0005777B" w:rsidRDefault="00E86735" w:rsidP="002E269E">
      <w:pPr>
        <w:tabs>
          <w:tab w:val="left" w:pos="-720"/>
        </w:tabs>
        <w:suppressAutoHyphens/>
        <w:spacing w:after="0" w:line="240" w:lineRule="auto"/>
        <w:jc w:val="both"/>
        <w:rPr>
          <w:rFonts w:eastAsia="Times New Roman" w:cs="Calibri"/>
          <w:b/>
          <w:i/>
          <w:spacing w:val="-3"/>
          <w:sz w:val="24"/>
          <w:szCs w:val="24"/>
          <w:lang w:val="en-GB" w:eastAsia="hr-HR"/>
        </w:rPr>
      </w:pPr>
    </w:p>
    <w:p w:rsidR="00806006" w:rsidRPr="00FE5B03" w:rsidRDefault="00806006" w:rsidP="002E269E">
      <w:pPr>
        <w:tabs>
          <w:tab w:val="left" w:pos="-720"/>
        </w:tabs>
        <w:suppressAutoHyphens/>
        <w:spacing w:after="0" w:line="240" w:lineRule="auto"/>
        <w:jc w:val="both"/>
        <w:rPr>
          <w:rFonts w:eastAsia="Times New Roman" w:cs="Calibri"/>
          <w:spacing w:val="-3"/>
          <w:sz w:val="24"/>
          <w:szCs w:val="24"/>
          <w:lang w:val="en-GB" w:eastAsia="hr-HR"/>
        </w:rPr>
      </w:pPr>
      <w:r>
        <w:rPr>
          <w:rFonts w:eastAsia="Times New Roman" w:cs="Calibri"/>
          <w:spacing w:val="-3"/>
          <w:sz w:val="24"/>
          <w:szCs w:val="24"/>
          <w:lang w:val="en-GB" w:eastAsia="hr-HR"/>
        </w:rPr>
        <w:t>Liabilities upon deposits increased</w:t>
      </w:r>
      <w:r w:rsidR="00AB5C0A">
        <w:rPr>
          <w:rFonts w:eastAsia="Times New Roman" w:cs="Calibri"/>
          <w:spacing w:val="-3"/>
          <w:sz w:val="24"/>
          <w:szCs w:val="24"/>
          <w:lang w:val="en-GB" w:eastAsia="hr-HR"/>
        </w:rPr>
        <w:t xml:space="preserve"> by</w:t>
      </w:r>
      <w:r>
        <w:rPr>
          <w:rFonts w:eastAsia="Times New Roman" w:cs="Calibri"/>
          <w:spacing w:val="-3"/>
          <w:sz w:val="24"/>
          <w:szCs w:val="24"/>
          <w:lang w:val="en-GB" w:eastAsia="hr-HR"/>
        </w:rPr>
        <w:t xml:space="preserve"> </w:t>
      </w:r>
      <w:r w:rsidRPr="00806006">
        <w:rPr>
          <w:rFonts w:eastAsia="Times New Roman" w:cs="Calibri"/>
          <w:spacing w:val="-3"/>
          <w:sz w:val="24"/>
          <w:szCs w:val="24"/>
          <w:lang w:val="en-GB" w:eastAsia="hr-HR"/>
        </w:rPr>
        <w:t>236</w:t>
      </w:r>
      <w:r>
        <w:rPr>
          <w:rFonts w:eastAsia="Times New Roman" w:cs="Calibri"/>
          <w:spacing w:val="-3"/>
          <w:sz w:val="24"/>
          <w:szCs w:val="24"/>
          <w:lang w:val="en-GB" w:eastAsia="hr-HR"/>
        </w:rPr>
        <w:t>.</w:t>
      </w:r>
      <w:r w:rsidRPr="00806006">
        <w:rPr>
          <w:rFonts w:eastAsia="Times New Roman" w:cs="Calibri"/>
          <w:spacing w:val="-3"/>
          <w:sz w:val="24"/>
          <w:szCs w:val="24"/>
          <w:lang w:val="en-GB" w:eastAsia="hr-HR"/>
        </w:rPr>
        <w:t>73 p</w:t>
      </w:r>
      <w:r>
        <w:rPr>
          <w:rFonts w:eastAsia="Times New Roman" w:cs="Calibri"/>
          <w:spacing w:val="-3"/>
          <w:sz w:val="24"/>
          <w:szCs w:val="24"/>
          <w:lang w:val="en-GB" w:eastAsia="hr-HR"/>
        </w:rPr>
        <w:t>ercent compared with the beginning of the year, and the</w:t>
      </w:r>
      <w:r w:rsidR="00AB5C0A">
        <w:rPr>
          <w:rFonts w:eastAsia="Times New Roman" w:cs="Calibri"/>
          <w:spacing w:val="-3"/>
          <w:sz w:val="24"/>
          <w:szCs w:val="24"/>
          <w:lang w:val="en-GB" w:eastAsia="hr-HR"/>
        </w:rPr>
        <w:t xml:space="preserve"> increase was </w:t>
      </w:r>
      <w:r w:rsidR="00AB5C0A" w:rsidRPr="00AB5C0A">
        <w:rPr>
          <w:rFonts w:eastAsia="Times New Roman" w:cs="Calibri"/>
          <w:spacing w:val="-3"/>
          <w:sz w:val="24"/>
          <w:szCs w:val="24"/>
          <w:lang w:val="en-GB" w:eastAsia="hr-HR"/>
        </w:rPr>
        <w:t xml:space="preserve">most significantly affected by </w:t>
      </w:r>
      <w:r w:rsidR="00AB5C0A">
        <w:rPr>
          <w:rFonts w:eastAsia="Times New Roman" w:cs="Calibri"/>
          <w:spacing w:val="-3"/>
          <w:sz w:val="24"/>
          <w:szCs w:val="24"/>
          <w:lang w:val="en-GB" w:eastAsia="hr-HR"/>
        </w:rPr>
        <w:t>the unused funds under the activities performed</w:t>
      </w:r>
      <w:r w:rsidR="00540749">
        <w:rPr>
          <w:rFonts w:eastAsia="Times New Roman" w:cs="Calibri"/>
          <w:spacing w:val="-3"/>
          <w:sz w:val="24"/>
          <w:szCs w:val="24"/>
          <w:lang w:val="en-GB" w:eastAsia="hr-HR"/>
        </w:rPr>
        <w:t xml:space="preserve"> by </w:t>
      </w:r>
      <w:r w:rsidRPr="00806006">
        <w:rPr>
          <w:rFonts w:eastAsia="Times New Roman" w:cs="Calibri"/>
          <w:spacing w:val="-3"/>
          <w:sz w:val="24"/>
          <w:szCs w:val="24"/>
          <w:lang w:val="en-GB" w:eastAsia="hr-HR"/>
        </w:rPr>
        <w:t>HBOR</w:t>
      </w:r>
      <w:r w:rsidR="00AB5C0A">
        <w:rPr>
          <w:rFonts w:eastAsia="Times New Roman" w:cs="Calibri"/>
          <w:spacing w:val="-3"/>
          <w:sz w:val="24"/>
          <w:szCs w:val="24"/>
          <w:lang w:val="en-GB" w:eastAsia="hr-HR"/>
        </w:rPr>
        <w:t xml:space="preserve"> for and on behalf of third parties and by the deposit received.</w:t>
      </w:r>
    </w:p>
    <w:p w:rsidR="00806006" w:rsidRDefault="00806006" w:rsidP="002E269E">
      <w:pPr>
        <w:tabs>
          <w:tab w:val="left" w:pos="-720"/>
        </w:tabs>
        <w:suppressAutoHyphens/>
        <w:spacing w:after="0" w:line="240" w:lineRule="auto"/>
        <w:jc w:val="both"/>
        <w:rPr>
          <w:rFonts w:eastAsia="Times New Roman" w:cs="Calibri"/>
          <w:b/>
          <w:i/>
          <w:spacing w:val="-3"/>
          <w:sz w:val="24"/>
          <w:szCs w:val="24"/>
          <w:lang w:val="en-GB" w:eastAsia="hr-HR"/>
        </w:rPr>
      </w:pPr>
    </w:p>
    <w:p w:rsidR="00FD1A2A" w:rsidRDefault="00FD1A2A" w:rsidP="002E269E">
      <w:pPr>
        <w:tabs>
          <w:tab w:val="left" w:pos="-720"/>
        </w:tabs>
        <w:suppressAutoHyphens/>
        <w:spacing w:after="0" w:line="240" w:lineRule="auto"/>
        <w:jc w:val="both"/>
        <w:rPr>
          <w:rFonts w:eastAsia="Times New Roman" w:cs="Calibri"/>
          <w:b/>
          <w:i/>
          <w:spacing w:val="-3"/>
          <w:sz w:val="24"/>
          <w:szCs w:val="24"/>
          <w:lang w:val="en-GB" w:eastAsia="hr-HR"/>
        </w:rPr>
      </w:pPr>
    </w:p>
    <w:p w:rsidR="007E222A" w:rsidRPr="0005777B" w:rsidRDefault="00A05AED" w:rsidP="002E269E">
      <w:pPr>
        <w:tabs>
          <w:tab w:val="left" w:pos="-720"/>
        </w:tabs>
        <w:suppressAutoHyphens/>
        <w:spacing w:after="0" w:line="240" w:lineRule="auto"/>
        <w:jc w:val="both"/>
        <w:rPr>
          <w:rFonts w:eastAsia="Times New Roman" w:cs="Calibri"/>
          <w:b/>
          <w:i/>
          <w:spacing w:val="-3"/>
          <w:sz w:val="24"/>
          <w:szCs w:val="24"/>
          <w:lang w:val="en-GB" w:eastAsia="hr-HR"/>
        </w:rPr>
      </w:pPr>
      <w:r w:rsidRPr="0005777B">
        <w:rPr>
          <w:rFonts w:eastAsia="Times New Roman" w:cs="Calibri"/>
          <w:b/>
          <w:i/>
          <w:spacing w:val="-3"/>
          <w:sz w:val="24"/>
          <w:szCs w:val="24"/>
          <w:lang w:val="en-GB" w:eastAsia="hr-HR"/>
        </w:rPr>
        <w:t xml:space="preserve">Total equity </w:t>
      </w:r>
      <w:r w:rsidR="007E222A" w:rsidRPr="0005777B">
        <w:rPr>
          <w:rFonts w:eastAsia="Times New Roman" w:cs="Calibri"/>
          <w:b/>
          <w:i/>
          <w:spacing w:val="-3"/>
          <w:sz w:val="24"/>
          <w:szCs w:val="24"/>
          <w:lang w:val="en-GB" w:eastAsia="hr-HR"/>
        </w:rPr>
        <w:t xml:space="preserve"> </w:t>
      </w:r>
    </w:p>
    <w:p w:rsidR="00422588" w:rsidRPr="0005777B" w:rsidRDefault="00422588" w:rsidP="002E269E">
      <w:pPr>
        <w:tabs>
          <w:tab w:val="left" w:pos="-720"/>
        </w:tabs>
        <w:suppressAutoHyphens/>
        <w:spacing w:after="0" w:line="240" w:lineRule="auto"/>
        <w:jc w:val="both"/>
        <w:rPr>
          <w:rFonts w:eastAsia="Times New Roman" w:cs="Calibri"/>
          <w:b/>
          <w:i/>
          <w:spacing w:val="-3"/>
          <w:sz w:val="24"/>
          <w:szCs w:val="24"/>
          <w:lang w:val="en-GB" w:eastAsia="hr-HR"/>
        </w:rPr>
      </w:pPr>
    </w:p>
    <w:p w:rsidR="00514881" w:rsidRPr="0005777B" w:rsidRDefault="00A05AED" w:rsidP="00514881">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equity amounted to HRK </w:t>
      </w:r>
      <w:r w:rsidR="00E86735" w:rsidRPr="0005777B">
        <w:rPr>
          <w:rFonts w:eastAsia="Times New Roman" w:cs="Calibri"/>
          <w:spacing w:val="-3"/>
          <w:sz w:val="24"/>
          <w:szCs w:val="24"/>
          <w:lang w:val="en-GB" w:eastAsia="hr-HR"/>
        </w:rPr>
        <w:t>10</w:t>
      </w:r>
      <w:r w:rsidR="00E80CC0" w:rsidRPr="0005777B">
        <w:rPr>
          <w:rFonts w:eastAsia="Times New Roman" w:cs="Calibri"/>
          <w:spacing w:val="-3"/>
          <w:sz w:val="24"/>
          <w:szCs w:val="24"/>
          <w:lang w:val="en-GB" w:eastAsia="hr-HR"/>
        </w:rPr>
        <w:t>,</w:t>
      </w:r>
      <w:r w:rsidR="00B73C94">
        <w:rPr>
          <w:rFonts w:eastAsia="Times New Roman" w:cs="Calibri"/>
          <w:spacing w:val="-3"/>
          <w:sz w:val="24"/>
          <w:szCs w:val="24"/>
          <w:lang w:val="en-GB" w:eastAsia="hr-HR"/>
        </w:rPr>
        <w:t>166</w:t>
      </w:r>
      <w:r w:rsidR="00E80CC0" w:rsidRPr="0005777B">
        <w:rPr>
          <w:rFonts w:eastAsia="Times New Roman" w:cs="Calibri"/>
          <w:spacing w:val="-3"/>
          <w:sz w:val="24"/>
          <w:szCs w:val="24"/>
          <w:lang w:val="en-GB" w:eastAsia="hr-HR"/>
        </w:rPr>
        <w:t>.</w:t>
      </w:r>
      <w:r w:rsidR="00B73C94">
        <w:rPr>
          <w:rFonts w:eastAsia="Times New Roman" w:cs="Calibri"/>
          <w:spacing w:val="-3"/>
          <w:sz w:val="24"/>
          <w:szCs w:val="24"/>
          <w:lang w:val="en-GB" w:eastAsia="hr-HR"/>
        </w:rPr>
        <w:t>4</w:t>
      </w:r>
      <w:r w:rsidR="00E86735" w:rsidRPr="0005777B">
        <w:rPr>
          <w:rFonts w:eastAsia="Times New Roman" w:cs="Calibri"/>
          <w:spacing w:val="-3"/>
          <w:sz w:val="24"/>
          <w:szCs w:val="24"/>
          <w:lang w:val="en-GB" w:eastAsia="hr-HR"/>
        </w:rPr>
        <w:t>3</w:t>
      </w:r>
      <w:r w:rsidR="00514881" w:rsidRPr="0005777B">
        <w:rPr>
          <w:rFonts w:eastAsia="Times New Roman" w:cs="Calibri"/>
          <w:spacing w:val="-3"/>
          <w:sz w:val="24"/>
          <w:szCs w:val="24"/>
          <w:lang w:val="en-GB" w:eastAsia="hr-HR"/>
        </w:rPr>
        <w:t xml:space="preserve"> </w:t>
      </w:r>
      <w:r w:rsidR="00E80CC0" w:rsidRPr="0005777B">
        <w:rPr>
          <w:rFonts w:eastAsia="Times New Roman" w:cs="Calibri"/>
          <w:spacing w:val="-3"/>
          <w:sz w:val="24"/>
          <w:szCs w:val="24"/>
          <w:lang w:val="en-GB" w:eastAsia="hr-HR"/>
        </w:rPr>
        <w:t xml:space="preserve">million representing </w:t>
      </w:r>
      <w:r w:rsidR="00514881" w:rsidRPr="0005777B">
        <w:rPr>
          <w:rFonts w:eastAsia="Times New Roman" w:cs="Calibri"/>
          <w:spacing w:val="-3"/>
          <w:sz w:val="24"/>
          <w:szCs w:val="24"/>
          <w:lang w:val="en-GB" w:eastAsia="hr-HR"/>
        </w:rPr>
        <w:t>3</w:t>
      </w:r>
      <w:r w:rsidR="00B73C94">
        <w:rPr>
          <w:rFonts w:eastAsia="Times New Roman" w:cs="Calibri"/>
          <w:spacing w:val="-3"/>
          <w:sz w:val="24"/>
          <w:szCs w:val="24"/>
          <w:lang w:val="en-GB" w:eastAsia="hr-HR"/>
        </w:rPr>
        <w:t>6</w:t>
      </w:r>
      <w:r w:rsidR="00E80CC0" w:rsidRPr="0005777B">
        <w:rPr>
          <w:rFonts w:eastAsia="Times New Roman" w:cs="Calibri"/>
          <w:spacing w:val="-3"/>
          <w:sz w:val="24"/>
          <w:szCs w:val="24"/>
          <w:lang w:val="en-GB" w:eastAsia="hr-HR"/>
        </w:rPr>
        <w:t>.</w:t>
      </w:r>
      <w:r w:rsidR="00B73C94">
        <w:rPr>
          <w:rFonts w:eastAsia="Times New Roman" w:cs="Calibri"/>
          <w:spacing w:val="-3"/>
          <w:sz w:val="24"/>
          <w:szCs w:val="24"/>
          <w:lang w:val="en-GB" w:eastAsia="hr-HR"/>
        </w:rPr>
        <w:t>56</w:t>
      </w:r>
      <w:r w:rsidR="00E86735" w:rsidRPr="0005777B">
        <w:rPr>
          <w:rFonts w:eastAsia="Times New Roman" w:cs="Calibri"/>
          <w:spacing w:val="-3"/>
          <w:sz w:val="24"/>
          <w:szCs w:val="24"/>
          <w:lang w:val="en-GB" w:eastAsia="hr-HR"/>
        </w:rPr>
        <w:t xml:space="preserve"> </w:t>
      </w:r>
      <w:r w:rsidRPr="0005777B">
        <w:rPr>
          <w:rFonts w:eastAsia="Times New Roman" w:cs="Calibri"/>
          <w:spacing w:val="-3"/>
          <w:sz w:val="24"/>
          <w:szCs w:val="24"/>
          <w:lang w:val="en-GB" w:eastAsia="hr-HR"/>
        </w:rPr>
        <w:t>percent of total liabilities and total equit</w:t>
      </w:r>
      <w:r w:rsidR="00E80CC0" w:rsidRPr="0005777B">
        <w:rPr>
          <w:rFonts w:eastAsia="Times New Roman" w:cs="Calibri"/>
          <w:spacing w:val="-3"/>
          <w:sz w:val="24"/>
          <w:szCs w:val="24"/>
          <w:lang w:val="en-GB" w:eastAsia="hr-HR"/>
        </w:rPr>
        <w:t>y</w:t>
      </w:r>
      <w:r w:rsidR="00514881" w:rsidRPr="0005777B">
        <w:rPr>
          <w:rFonts w:eastAsia="Times New Roman" w:cs="Calibri"/>
          <w:spacing w:val="-3"/>
          <w:sz w:val="24"/>
          <w:szCs w:val="24"/>
          <w:lang w:val="en-GB" w:eastAsia="hr-HR"/>
        </w:rPr>
        <w:t>.</w:t>
      </w:r>
    </w:p>
    <w:p w:rsidR="00E80CC0" w:rsidRPr="0005777B" w:rsidRDefault="00E80CC0" w:rsidP="00E80CC0">
      <w:pPr>
        <w:tabs>
          <w:tab w:val="left" w:pos="-720"/>
        </w:tabs>
        <w:suppressAutoHyphens/>
        <w:spacing w:after="0" w:line="240" w:lineRule="auto"/>
        <w:jc w:val="both"/>
        <w:rPr>
          <w:rFonts w:cstheme="minorHAnsi"/>
          <w:spacing w:val="-3"/>
          <w:sz w:val="24"/>
          <w:szCs w:val="24"/>
          <w:lang w:val="en-GB"/>
        </w:rPr>
      </w:pPr>
      <w:r w:rsidRPr="0005777B">
        <w:rPr>
          <w:rFonts w:cstheme="minorHAnsi"/>
          <w:spacing w:val="-3"/>
          <w:sz w:val="24"/>
          <w:szCs w:val="24"/>
          <w:lang w:val="en-GB"/>
        </w:rPr>
        <w:t xml:space="preserve">Total equity of HBOR is comprised of the capital and the guarantee fund. HBOR’s capital is comprised of founder’s capital contributed from the budget of the Republic of Croatia, retained earnings from the profits generated in the previous years, other reserves and profits for the current year. </w:t>
      </w:r>
    </w:p>
    <w:p w:rsidR="00E80CC0" w:rsidRPr="0005777B" w:rsidRDefault="00E80CC0" w:rsidP="00E80CC0">
      <w:pPr>
        <w:tabs>
          <w:tab w:val="left" w:pos="-720"/>
        </w:tabs>
        <w:suppressAutoHyphens/>
        <w:spacing w:after="0" w:line="240" w:lineRule="auto"/>
        <w:jc w:val="both"/>
        <w:rPr>
          <w:rFonts w:cstheme="minorHAnsi"/>
          <w:spacing w:val="-3"/>
          <w:sz w:val="24"/>
          <w:szCs w:val="24"/>
          <w:lang w:val="en-GB"/>
        </w:rPr>
      </w:pPr>
    </w:p>
    <w:p w:rsidR="00E80CC0" w:rsidRDefault="00B73C94" w:rsidP="00E80CC0">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By the end of the reporting period, t</w:t>
      </w:r>
      <w:r w:rsidR="00E80CC0" w:rsidRPr="0005777B">
        <w:rPr>
          <w:rFonts w:cstheme="minorHAnsi"/>
          <w:spacing w:val="-3"/>
          <w:sz w:val="24"/>
          <w:szCs w:val="24"/>
          <w:lang w:val="en-GB"/>
        </w:rPr>
        <w:t>he total amount of capital contributed from the budget of the Republic of Croatia amounted to HRK 6,533.00 million, and the remaining amount to be contributed to the founder’s capital up to the total amount of HRK 7,000.00 million set by the HBOR Act is HRK 467.00 million.</w:t>
      </w:r>
    </w:p>
    <w:p w:rsidR="00B73C94" w:rsidRDefault="00B73C94" w:rsidP="00E80CC0">
      <w:pPr>
        <w:tabs>
          <w:tab w:val="left" w:pos="-720"/>
        </w:tabs>
        <w:suppressAutoHyphens/>
        <w:spacing w:after="0" w:line="240" w:lineRule="auto"/>
        <w:jc w:val="both"/>
        <w:rPr>
          <w:rFonts w:cstheme="minorHAnsi"/>
          <w:spacing w:val="-3"/>
          <w:sz w:val="24"/>
          <w:szCs w:val="24"/>
          <w:lang w:val="en-GB"/>
        </w:rPr>
      </w:pPr>
    </w:p>
    <w:p w:rsidR="00B73C94" w:rsidRPr="0005777B" w:rsidRDefault="00B73C94" w:rsidP="00E80CC0">
      <w:pPr>
        <w:tabs>
          <w:tab w:val="left" w:pos="-720"/>
        </w:tabs>
        <w:suppressAutoHyphens/>
        <w:spacing w:after="0" w:line="240" w:lineRule="auto"/>
        <w:jc w:val="both"/>
        <w:rPr>
          <w:rFonts w:cstheme="minorHAnsi"/>
          <w:spacing w:val="-3"/>
          <w:sz w:val="24"/>
          <w:szCs w:val="24"/>
          <w:lang w:val="en-GB"/>
        </w:rPr>
      </w:pPr>
      <w:r>
        <w:rPr>
          <w:rFonts w:cstheme="minorHAnsi"/>
          <w:spacing w:val="-3"/>
          <w:sz w:val="24"/>
          <w:szCs w:val="24"/>
          <w:lang w:val="en-GB"/>
        </w:rPr>
        <w:t xml:space="preserve">After the </w:t>
      </w:r>
      <w:r w:rsidR="00614A76">
        <w:rPr>
          <w:rFonts w:cstheme="minorHAnsi"/>
          <w:spacing w:val="-3"/>
          <w:sz w:val="24"/>
          <w:szCs w:val="24"/>
          <w:lang w:val="en-GB"/>
        </w:rPr>
        <w:t>reporting period date, the amount of HRK 25.00 million was contributed from the budget of the Republic of Croatia into the founder’s capital of HBOR on 27 July 2017.</w:t>
      </w:r>
    </w:p>
    <w:p w:rsidR="00E80CC0" w:rsidRPr="0005777B" w:rsidRDefault="00E80CC0" w:rsidP="00E80CC0">
      <w:pPr>
        <w:tabs>
          <w:tab w:val="left" w:pos="-720"/>
        </w:tabs>
        <w:suppressAutoHyphens/>
        <w:spacing w:after="0" w:line="240" w:lineRule="auto"/>
        <w:jc w:val="both"/>
        <w:rPr>
          <w:rFonts w:cstheme="minorHAnsi"/>
          <w:spacing w:val="-3"/>
          <w:sz w:val="24"/>
          <w:szCs w:val="24"/>
          <w:lang w:val="en-GB"/>
        </w:rPr>
      </w:pPr>
    </w:p>
    <w:p w:rsidR="002D5848" w:rsidRPr="0005777B" w:rsidRDefault="002D5848" w:rsidP="00E80CC0">
      <w:pPr>
        <w:tabs>
          <w:tab w:val="left" w:pos="-720"/>
        </w:tabs>
        <w:suppressAutoHyphens/>
        <w:spacing w:after="0" w:line="240" w:lineRule="auto"/>
        <w:jc w:val="both"/>
        <w:rPr>
          <w:rFonts w:cstheme="minorHAnsi"/>
          <w:spacing w:val="-3"/>
          <w:sz w:val="24"/>
          <w:szCs w:val="24"/>
          <w:lang w:val="en-GB"/>
        </w:rPr>
      </w:pPr>
    </w:p>
    <w:p w:rsidR="00F11426" w:rsidRPr="0005777B" w:rsidRDefault="00F11426" w:rsidP="001C6D63">
      <w:pPr>
        <w:tabs>
          <w:tab w:val="left" w:pos="-720"/>
        </w:tabs>
        <w:suppressAutoHyphens/>
        <w:spacing w:after="0" w:line="240" w:lineRule="auto"/>
        <w:ind w:right="-142" w:hanging="142"/>
        <w:jc w:val="both"/>
        <w:rPr>
          <w:rFonts w:cstheme="minorHAnsi"/>
          <w:noProof/>
          <w:sz w:val="24"/>
          <w:szCs w:val="24"/>
          <w:lang w:val="en-GB" w:eastAsia="hr-HR"/>
        </w:rPr>
        <w:sectPr w:rsidR="00F11426" w:rsidRPr="0005777B" w:rsidSect="00F11426">
          <w:footerReference w:type="default" r:id="rId41"/>
          <w:pgSz w:w="11906" w:h="16838"/>
          <w:pgMar w:top="1417" w:right="1416" w:bottom="1417" w:left="1417" w:header="708" w:footer="708" w:gutter="0"/>
          <w:cols w:space="708"/>
          <w:docGrid w:linePitch="360"/>
        </w:sectPr>
      </w:pPr>
    </w:p>
    <w:p w:rsidR="00714F1D" w:rsidRPr="0005777B" w:rsidRDefault="00714F1D" w:rsidP="001C6D63">
      <w:pPr>
        <w:tabs>
          <w:tab w:val="left" w:pos="-720"/>
        </w:tabs>
        <w:suppressAutoHyphens/>
        <w:spacing w:after="0" w:line="240" w:lineRule="auto"/>
        <w:ind w:right="-142" w:hanging="142"/>
        <w:jc w:val="both"/>
        <w:rPr>
          <w:rFonts w:cstheme="minorHAnsi"/>
          <w:noProof/>
          <w:sz w:val="24"/>
          <w:szCs w:val="24"/>
          <w:lang w:val="en-GB" w:eastAsia="hr-HR"/>
        </w:rPr>
      </w:pPr>
    </w:p>
    <w:p w:rsidR="00F11426" w:rsidRDefault="00F11426" w:rsidP="001C6D63">
      <w:pPr>
        <w:tabs>
          <w:tab w:val="left" w:pos="-720"/>
        </w:tabs>
        <w:suppressAutoHyphens/>
        <w:spacing w:after="0" w:line="240" w:lineRule="auto"/>
        <w:ind w:right="-142" w:hanging="142"/>
        <w:jc w:val="both"/>
        <w:rPr>
          <w:rFonts w:cstheme="minorHAnsi"/>
          <w:noProof/>
          <w:sz w:val="24"/>
          <w:szCs w:val="24"/>
          <w:lang w:val="en-GB" w:eastAsia="hr-HR"/>
        </w:rPr>
      </w:pPr>
    </w:p>
    <w:p w:rsidR="000376E3" w:rsidRPr="0005777B" w:rsidRDefault="000376E3" w:rsidP="001C6D63">
      <w:pPr>
        <w:tabs>
          <w:tab w:val="left" w:pos="-720"/>
        </w:tabs>
        <w:suppressAutoHyphens/>
        <w:spacing w:after="0" w:line="240" w:lineRule="auto"/>
        <w:ind w:right="-142" w:hanging="142"/>
        <w:jc w:val="both"/>
        <w:rPr>
          <w:rFonts w:cstheme="minorHAnsi"/>
          <w:noProof/>
          <w:sz w:val="24"/>
          <w:szCs w:val="24"/>
          <w:lang w:val="en-GB" w:eastAsia="hr-HR"/>
        </w:rPr>
      </w:pPr>
      <w:r>
        <w:rPr>
          <w:rFonts w:cstheme="minorHAnsi"/>
          <w:noProof/>
          <w:sz w:val="24"/>
          <w:szCs w:val="24"/>
          <w:lang w:val="en-GB" w:eastAsia="hr-HR"/>
        </w:rPr>
        <w:t xml:space="preserve">    </w:t>
      </w:r>
      <w:r w:rsidR="00131275">
        <w:rPr>
          <w:rFonts w:cstheme="minorHAnsi"/>
          <w:noProof/>
          <w:sz w:val="24"/>
          <w:szCs w:val="24"/>
          <w:lang w:val="en-GB" w:eastAsia="hr-HR"/>
        </w:rPr>
        <w:t xml:space="preserve">      </w:t>
      </w:r>
      <w:r>
        <w:rPr>
          <w:rFonts w:cstheme="minorHAnsi"/>
          <w:noProof/>
          <w:sz w:val="24"/>
          <w:szCs w:val="24"/>
          <w:lang w:val="en-GB" w:eastAsia="hr-HR"/>
        </w:rPr>
        <w:t xml:space="preserve">  </w:t>
      </w:r>
      <w:r w:rsidR="0023221A">
        <w:rPr>
          <w:rFonts w:cstheme="minorHAnsi"/>
          <w:noProof/>
          <w:sz w:val="24"/>
          <w:szCs w:val="24"/>
          <w:lang w:eastAsia="hr-HR"/>
        </w:rPr>
        <w:drawing>
          <wp:inline distT="0" distB="0" distL="0" distR="0" wp14:anchorId="288C63D5" wp14:editId="226B2592">
            <wp:extent cx="2414270" cy="2737485"/>
            <wp:effectExtent l="0" t="0" r="508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14270" cy="2737485"/>
                    </a:xfrm>
                    <a:prstGeom prst="rect">
                      <a:avLst/>
                    </a:prstGeom>
                    <a:noFill/>
                  </pic:spPr>
                </pic:pic>
              </a:graphicData>
            </a:graphic>
          </wp:inline>
        </w:drawing>
      </w:r>
      <w:r>
        <w:rPr>
          <w:rFonts w:cstheme="minorHAnsi"/>
          <w:noProof/>
          <w:sz w:val="24"/>
          <w:szCs w:val="24"/>
          <w:lang w:val="en-GB" w:eastAsia="hr-HR"/>
        </w:rPr>
        <w:t xml:space="preserve">            </w:t>
      </w:r>
      <w:r w:rsidR="0023221A">
        <w:rPr>
          <w:rFonts w:cstheme="minorHAnsi"/>
          <w:noProof/>
          <w:sz w:val="24"/>
          <w:szCs w:val="24"/>
          <w:lang w:eastAsia="hr-HR"/>
        </w:rPr>
        <w:drawing>
          <wp:inline distT="0" distB="0" distL="0" distR="0" wp14:anchorId="17D26A2A" wp14:editId="3A90B943">
            <wp:extent cx="2414270" cy="2725420"/>
            <wp:effectExtent l="0" t="0" r="508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14270" cy="2725420"/>
                    </a:xfrm>
                    <a:prstGeom prst="rect">
                      <a:avLst/>
                    </a:prstGeom>
                    <a:noFill/>
                  </pic:spPr>
                </pic:pic>
              </a:graphicData>
            </a:graphic>
          </wp:inline>
        </w:drawing>
      </w:r>
    </w:p>
    <w:p w:rsidR="000376E3" w:rsidRDefault="000376E3" w:rsidP="00514881">
      <w:pPr>
        <w:tabs>
          <w:tab w:val="left" w:pos="-720"/>
        </w:tabs>
        <w:suppressAutoHyphens/>
        <w:spacing w:after="0" w:line="240" w:lineRule="auto"/>
        <w:jc w:val="both"/>
        <w:rPr>
          <w:rFonts w:cstheme="minorHAnsi"/>
          <w:sz w:val="24"/>
          <w:szCs w:val="24"/>
          <w:lang w:val="en-GB"/>
        </w:rPr>
      </w:pPr>
    </w:p>
    <w:p w:rsidR="000E78AA" w:rsidRPr="0005777B" w:rsidRDefault="000E78AA" w:rsidP="00514881">
      <w:pPr>
        <w:tabs>
          <w:tab w:val="left" w:pos="-720"/>
        </w:tabs>
        <w:suppressAutoHyphens/>
        <w:spacing w:after="0" w:line="240" w:lineRule="auto"/>
        <w:jc w:val="both"/>
        <w:rPr>
          <w:rFonts w:cstheme="minorHAnsi"/>
          <w:sz w:val="24"/>
          <w:szCs w:val="24"/>
          <w:lang w:val="en-GB"/>
        </w:rPr>
      </w:pPr>
    </w:p>
    <w:p w:rsidR="002D5848" w:rsidRDefault="002D5848" w:rsidP="00514881">
      <w:pPr>
        <w:tabs>
          <w:tab w:val="left" w:pos="-720"/>
        </w:tabs>
        <w:suppressAutoHyphens/>
        <w:spacing w:after="0" w:line="240" w:lineRule="auto"/>
        <w:jc w:val="both"/>
        <w:rPr>
          <w:rFonts w:cstheme="minorHAnsi"/>
          <w:sz w:val="24"/>
          <w:szCs w:val="24"/>
          <w:lang w:val="en-GB"/>
        </w:rPr>
      </w:pPr>
    </w:p>
    <w:p w:rsidR="00FD1A2A" w:rsidRDefault="00FD1A2A" w:rsidP="00514881">
      <w:pPr>
        <w:tabs>
          <w:tab w:val="left" w:pos="-720"/>
        </w:tabs>
        <w:suppressAutoHyphens/>
        <w:spacing w:after="0" w:line="240" w:lineRule="auto"/>
        <w:jc w:val="both"/>
        <w:rPr>
          <w:rFonts w:cstheme="minorHAnsi"/>
          <w:sz w:val="24"/>
          <w:szCs w:val="24"/>
          <w:lang w:val="en-GB"/>
        </w:rPr>
      </w:pPr>
    </w:p>
    <w:p w:rsidR="00FD1A2A" w:rsidRDefault="00FD1A2A" w:rsidP="00514881">
      <w:pPr>
        <w:tabs>
          <w:tab w:val="left" w:pos="-720"/>
        </w:tabs>
        <w:suppressAutoHyphens/>
        <w:spacing w:after="0" w:line="240" w:lineRule="auto"/>
        <w:jc w:val="both"/>
        <w:rPr>
          <w:rFonts w:cstheme="minorHAnsi"/>
          <w:sz w:val="24"/>
          <w:szCs w:val="24"/>
          <w:lang w:val="en-GB"/>
        </w:rPr>
      </w:pPr>
    </w:p>
    <w:p w:rsidR="000376E3" w:rsidRPr="0005777B" w:rsidRDefault="000376E3" w:rsidP="00514881">
      <w:pPr>
        <w:tabs>
          <w:tab w:val="left" w:pos="-720"/>
        </w:tabs>
        <w:suppressAutoHyphens/>
        <w:spacing w:after="0" w:line="240" w:lineRule="auto"/>
        <w:jc w:val="both"/>
        <w:rPr>
          <w:rFonts w:cstheme="minorHAnsi"/>
          <w:sz w:val="24"/>
          <w:szCs w:val="24"/>
          <w:lang w:val="en-GB"/>
        </w:rPr>
      </w:pPr>
      <w:r>
        <w:rPr>
          <w:rFonts w:cstheme="minorHAnsi"/>
          <w:sz w:val="24"/>
          <w:szCs w:val="24"/>
          <w:lang w:val="en-GB"/>
        </w:rPr>
        <w:t xml:space="preserve">    </w:t>
      </w:r>
      <w:r w:rsidR="0023221A">
        <w:rPr>
          <w:rFonts w:cstheme="minorHAnsi"/>
          <w:noProof/>
          <w:sz w:val="24"/>
          <w:szCs w:val="24"/>
          <w:lang w:eastAsia="hr-HR"/>
        </w:rPr>
        <w:drawing>
          <wp:inline distT="0" distB="0" distL="0" distR="0" wp14:anchorId="35EF32A5" wp14:editId="364D582A">
            <wp:extent cx="2407920" cy="265176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07920" cy="2651760"/>
                    </a:xfrm>
                    <a:prstGeom prst="rect">
                      <a:avLst/>
                    </a:prstGeom>
                    <a:noFill/>
                  </pic:spPr>
                </pic:pic>
              </a:graphicData>
            </a:graphic>
          </wp:inline>
        </w:drawing>
      </w:r>
      <w:r>
        <w:rPr>
          <w:rFonts w:cstheme="minorHAnsi"/>
          <w:sz w:val="24"/>
          <w:szCs w:val="24"/>
          <w:lang w:val="en-GB"/>
        </w:rPr>
        <w:t xml:space="preserve">  </w:t>
      </w:r>
      <w:r w:rsidRPr="000376E3">
        <w:rPr>
          <w:rFonts w:cstheme="minorHAnsi"/>
          <w:sz w:val="24"/>
          <w:szCs w:val="24"/>
          <w:lang w:val="en-GB"/>
        </w:rPr>
        <w:t xml:space="preserve">        </w:t>
      </w:r>
      <w:r w:rsidR="0023221A">
        <w:rPr>
          <w:rFonts w:cstheme="minorHAnsi"/>
          <w:noProof/>
          <w:sz w:val="24"/>
          <w:szCs w:val="24"/>
          <w:lang w:eastAsia="hr-HR"/>
        </w:rPr>
        <w:drawing>
          <wp:inline distT="0" distB="0" distL="0" distR="0" wp14:anchorId="48388E36" wp14:editId="5E5A7C43">
            <wp:extent cx="2481580" cy="2639695"/>
            <wp:effectExtent l="0" t="0" r="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81580" cy="2639695"/>
                    </a:xfrm>
                    <a:prstGeom prst="rect">
                      <a:avLst/>
                    </a:prstGeom>
                    <a:noFill/>
                  </pic:spPr>
                </pic:pic>
              </a:graphicData>
            </a:graphic>
          </wp:inline>
        </w:drawing>
      </w:r>
      <w:r w:rsidRPr="000376E3">
        <w:rPr>
          <w:rFonts w:cstheme="minorHAnsi"/>
          <w:sz w:val="24"/>
          <w:szCs w:val="24"/>
          <w:lang w:val="en-GB"/>
        </w:rPr>
        <w:t xml:space="preserve">   </w:t>
      </w:r>
    </w:p>
    <w:p w:rsidR="002D5848" w:rsidRPr="0005777B" w:rsidRDefault="00B865F9" w:rsidP="00F11426">
      <w:pPr>
        <w:tabs>
          <w:tab w:val="left" w:pos="-720"/>
        </w:tabs>
        <w:suppressAutoHyphens/>
        <w:spacing w:after="0" w:line="240" w:lineRule="auto"/>
        <w:ind w:left="-284" w:right="-567"/>
        <w:jc w:val="both"/>
        <w:rPr>
          <w:rFonts w:cstheme="minorHAnsi"/>
          <w:sz w:val="24"/>
          <w:szCs w:val="24"/>
          <w:lang w:val="en-GB"/>
        </w:rPr>
      </w:pPr>
      <w:r w:rsidRPr="0005777B">
        <w:rPr>
          <w:rFonts w:cstheme="minorHAnsi"/>
          <w:sz w:val="24"/>
          <w:szCs w:val="24"/>
          <w:lang w:val="en-GB"/>
        </w:rPr>
        <w:t xml:space="preserve">   </w:t>
      </w:r>
      <w:r w:rsidR="00761417" w:rsidRPr="0005777B">
        <w:rPr>
          <w:rFonts w:cstheme="minorHAnsi"/>
          <w:sz w:val="24"/>
          <w:szCs w:val="24"/>
          <w:lang w:val="en-GB"/>
        </w:rPr>
        <w:t xml:space="preserve">  </w:t>
      </w:r>
      <w:r w:rsidRPr="0005777B">
        <w:rPr>
          <w:rFonts w:cstheme="minorHAnsi"/>
          <w:sz w:val="24"/>
          <w:szCs w:val="24"/>
          <w:lang w:val="en-GB"/>
        </w:rPr>
        <w:t xml:space="preserve">   </w:t>
      </w:r>
    </w:p>
    <w:p w:rsidR="00714F1D" w:rsidRPr="0005777B" w:rsidRDefault="00714F1D" w:rsidP="00514881">
      <w:pPr>
        <w:tabs>
          <w:tab w:val="left" w:pos="-720"/>
        </w:tabs>
        <w:suppressAutoHyphens/>
        <w:spacing w:after="0" w:line="240" w:lineRule="auto"/>
        <w:jc w:val="both"/>
        <w:rPr>
          <w:rFonts w:cstheme="minorHAnsi"/>
          <w:sz w:val="24"/>
          <w:szCs w:val="24"/>
          <w:lang w:val="en-GB"/>
        </w:rPr>
      </w:pPr>
    </w:p>
    <w:p w:rsidR="00B57ECC" w:rsidRPr="0005777B" w:rsidRDefault="00B57ECC" w:rsidP="00D3606D">
      <w:pPr>
        <w:tabs>
          <w:tab w:val="left" w:pos="-720"/>
          <w:tab w:val="left" w:pos="426"/>
        </w:tabs>
        <w:suppressAutoHyphens/>
        <w:spacing w:after="0" w:line="240" w:lineRule="auto"/>
        <w:jc w:val="both"/>
        <w:rPr>
          <w:rFonts w:eastAsia="Times New Roman" w:cs="Calibri"/>
          <w:spacing w:val="-3"/>
          <w:sz w:val="24"/>
          <w:szCs w:val="24"/>
          <w:lang w:val="en-GB" w:eastAsia="hr-HR"/>
        </w:rPr>
      </w:pPr>
    </w:p>
    <w:p w:rsidR="00B57ECC" w:rsidRPr="0005777B" w:rsidRDefault="00B57ECC" w:rsidP="00D3606D">
      <w:pPr>
        <w:tabs>
          <w:tab w:val="left" w:pos="-720"/>
          <w:tab w:val="left" w:pos="426"/>
        </w:tabs>
        <w:suppressAutoHyphens/>
        <w:spacing w:after="0" w:line="240" w:lineRule="auto"/>
        <w:jc w:val="both"/>
        <w:rPr>
          <w:rFonts w:eastAsia="Times New Roman" w:cs="Calibri"/>
          <w:spacing w:val="-3"/>
          <w:sz w:val="24"/>
          <w:szCs w:val="24"/>
          <w:lang w:val="en-GB" w:eastAsia="hr-HR"/>
        </w:rPr>
      </w:pPr>
    </w:p>
    <w:p w:rsidR="002D5848" w:rsidRPr="0005777B" w:rsidRDefault="002D584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5777B">
        <w:rPr>
          <w:rFonts w:eastAsia="Times New Roman" w:cs="Calibri"/>
          <w:color w:val="7F7F7F" w:themeColor="text1" w:themeTint="80"/>
          <w:spacing w:val="-3"/>
          <w:sz w:val="20"/>
          <w:szCs w:val="20"/>
          <w:lang w:val="en-GB" w:eastAsia="hr-HR"/>
        </w:rPr>
        <w:t>*</w:t>
      </w:r>
      <w:r w:rsidR="00B92956" w:rsidRPr="0005777B">
        <w:rPr>
          <w:rFonts w:eastAsia="Times New Roman" w:cs="Calibri"/>
          <w:color w:val="7F7F7F" w:themeColor="text1" w:themeTint="80"/>
          <w:spacing w:val="-3"/>
          <w:sz w:val="20"/>
          <w:szCs w:val="20"/>
          <w:lang w:val="en-GB" w:eastAsia="hr-HR"/>
        </w:rPr>
        <w:t>Investments in subsidiaries, Property, plant and equipment and intangible assets, Non-current assets held for sale and Other assets</w:t>
      </w:r>
      <w:r w:rsidRPr="0005777B">
        <w:rPr>
          <w:rFonts w:eastAsia="Times New Roman" w:cs="Calibri"/>
          <w:color w:val="7F7F7F" w:themeColor="text1" w:themeTint="80"/>
          <w:spacing w:val="-3"/>
          <w:sz w:val="20"/>
          <w:szCs w:val="20"/>
          <w:lang w:val="en-GB" w:eastAsia="hr-HR"/>
        </w:rPr>
        <w:t>.</w:t>
      </w:r>
    </w:p>
    <w:p w:rsidR="002D5848" w:rsidRPr="0005777B" w:rsidRDefault="002D5848" w:rsidP="00D3606D">
      <w:pPr>
        <w:tabs>
          <w:tab w:val="left" w:pos="-720"/>
          <w:tab w:val="left" w:pos="426"/>
        </w:tabs>
        <w:suppressAutoHyphens/>
        <w:spacing w:after="0" w:line="240" w:lineRule="auto"/>
        <w:jc w:val="both"/>
        <w:rPr>
          <w:rFonts w:eastAsia="Times New Roman" w:cs="Calibri"/>
          <w:spacing w:val="-3"/>
          <w:sz w:val="24"/>
          <w:szCs w:val="24"/>
          <w:lang w:val="en-GB" w:eastAsia="hr-HR"/>
        </w:rPr>
      </w:pPr>
    </w:p>
    <w:p w:rsidR="00BF7262" w:rsidRPr="0005777B" w:rsidRDefault="00BF7262" w:rsidP="00D3606D">
      <w:pPr>
        <w:tabs>
          <w:tab w:val="left" w:pos="-720"/>
          <w:tab w:val="left" w:pos="426"/>
        </w:tabs>
        <w:suppressAutoHyphens/>
        <w:spacing w:after="0" w:line="240" w:lineRule="auto"/>
        <w:jc w:val="both"/>
        <w:rPr>
          <w:rFonts w:eastAsia="Times New Roman" w:cs="Calibri"/>
          <w:b/>
          <w:caps/>
          <w:spacing w:val="-3"/>
          <w:sz w:val="26"/>
          <w:szCs w:val="26"/>
          <w:lang w:val="en-GB" w:eastAsia="hr-HR"/>
        </w:rPr>
      </w:pPr>
    </w:p>
    <w:p w:rsidR="009E53C8" w:rsidRPr="0005777B" w:rsidRDefault="009E53C8" w:rsidP="00C23C95">
      <w:pPr>
        <w:tabs>
          <w:tab w:val="left" w:pos="-720"/>
          <w:tab w:val="left" w:pos="426"/>
        </w:tabs>
        <w:suppressAutoHyphens/>
        <w:spacing w:after="0" w:line="240" w:lineRule="auto"/>
        <w:jc w:val="both"/>
        <w:rPr>
          <w:rFonts w:eastAsia="Times New Roman" w:cs="Calibri"/>
          <w:b/>
          <w:i/>
          <w:spacing w:val="-3"/>
          <w:sz w:val="24"/>
          <w:szCs w:val="24"/>
          <w:lang w:val="en-GB" w:eastAsia="hr-HR"/>
        </w:rPr>
      </w:pPr>
    </w:p>
    <w:sectPr w:rsidR="009E53C8" w:rsidRPr="0005777B" w:rsidSect="007B5D75">
      <w:footerReference w:type="default" r:id="rId46"/>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0A7" w:rsidRDefault="006010A7" w:rsidP="00AE35D1">
      <w:pPr>
        <w:spacing w:after="0" w:line="240" w:lineRule="auto"/>
      </w:pPr>
      <w:r>
        <w:separator/>
      </w:r>
    </w:p>
  </w:endnote>
  <w:endnote w:type="continuationSeparator" w:id="0">
    <w:p w:rsidR="006010A7" w:rsidRDefault="006010A7" w:rsidP="00AE35D1">
      <w:pPr>
        <w:spacing w:after="0" w:line="240" w:lineRule="auto"/>
      </w:pPr>
      <w:r>
        <w:continuationSeparator/>
      </w:r>
    </w:p>
  </w:endnote>
  <w:endnote w:type="continuationNotice" w:id="1">
    <w:p w:rsidR="006010A7" w:rsidRDefault="006010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290697" w:rsidRDefault="002D6BE0">
    <w:pPr>
      <w:pStyle w:val="Podnoje"/>
      <w:jc w:val="center"/>
      <w:rPr>
        <w:sz w:val="18"/>
        <w:szCs w:val="18"/>
      </w:rPr>
    </w:pPr>
  </w:p>
  <w:p w:rsidR="002D6BE0" w:rsidRPr="000E7285" w:rsidRDefault="002C7637"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3</w:t>
    </w:r>
    <w:r w:rsidR="002D6BE0" w:rsidRPr="000E7285">
      <w:rPr>
        <w:rFonts w:eastAsia="Times New Roman" w:cs="Arial"/>
        <w:sz w:val="19"/>
        <w:szCs w:val="19"/>
      </w:rPr>
      <w:t xml:space="preserve">   </w:t>
    </w:r>
    <w:r w:rsidRPr="0057425C">
      <w:rPr>
        <w:rFonts w:eastAsia="Times New Roman" w:cs="Arial"/>
        <w:sz w:val="19"/>
        <w:szCs w:val="19"/>
        <w:lang w:val="en-GB"/>
      </w:rPr>
      <w:t>Croatian</w:t>
    </w:r>
    <w:r>
      <w:rPr>
        <w:rFonts w:eastAsia="Times New Roman" w:cs="Arial"/>
        <w:sz w:val="19"/>
        <w:szCs w:val="19"/>
        <w:lang w:val="en-GB"/>
      </w:rPr>
      <w:t xml:space="preserve"> B</w:t>
    </w:r>
    <w:r w:rsidRPr="0057425C">
      <w:rPr>
        <w:rFonts w:eastAsia="Times New Roman" w:cs="Arial"/>
        <w:sz w:val="19"/>
        <w:szCs w:val="19"/>
        <w:lang w:val="en-GB"/>
      </w:rPr>
      <w:t>ank</w:t>
    </w:r>
    <w:r>
      <w:rPr>
        <w:rFonts w:eastAsia="Times New Roman" w:cs="Arial"/>
        <w:sz w:val="19"/>
        <w:szCs w:val="19"/>
        <w:lang w:val="en-GB"/>
      </w:rPr>
      <w:t xml:space="preserve"> for Reconstruction and Development</w:t>
    </w:r>
  </w:p>
  <w:p w:rsidR="002D6BE0" w:rsidRDefault="002D6BE0">
    <w:pPr>
      <w:pStyle w:val="Podnoj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0E7285" w:rsidRDefault="002C7637" w:rsidP="0057425C">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10</w:t>
    </w:r>
    <w:r w:rsidR="002D6BE0" w:rsidRPr="000E7285">
      <w:rPr>
        <w:rFonts w:eastAsia="Times New Roman" w:cs="Arial"/>
        <w:sz w:val="19"/>
        <w:szCs w:val="19"/>
      </w:rPr>
      <w:t xml:space="preserve">   </w:t>
    </w:r>
    <w:r w:rsidR="002D6BE0" w:rsidRPr="0057425C">
      <w:rPr>
        <w:rFonts w:eastAsia="Times New Roman" w:cs="Arial"/>
        <w:sz w:val="19"/>
        <w:szCs w:val="19"/>
        <w:lang w:val="en-GB"/>
      </w:rPr>
      <w:t>Croatian Bank for Reconstruction and Development</w:t>
    </w:r>
    <w:r w:rsidR="002D6BE0" w:rsidRPr="000E7285">
      <w:rPr>
        <w:rFonts w:eastAsia="Times New Roman" w:cs="Arial"/>
        <w:sz w:val="19"/>
        <w:szCs w:val="19"/>
      </w:rPr>
      <w:t xml:space="preserve"> </w:t>
    </w:r>
  </w:p>
  <w:p w:rsidR="002D6BE0" w:rsidRDefault="002D6BE0">
    <w:pPr>
      <w:pStyle w:val="Podnoj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2C64CB" w:rsidRDefault="002C7637"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11</w:t>
    </w:r>
    <w:r w:rsidR="002D6BE0" w:rsidRPr="000E7285">
      <w:rPr>
        <w:rFonts w:eastAsia="Times New Roman" w:cs="Arial"/>
        <w:sz w:val="19"/>
        <w:szCs w:val="19"/>
      </w:rPr>
      <w:t xml:space="preserve">  </w:t>
    </w:r>
    <w:r w:rsidR="002D6BE0" w:rsidRPr="0057425C">
      <w:rPr>
        <w:rFonts w:eastAsia="Times New Roman" w:cs="Arial"/>
        <w:sz w:val="19"/>
        <w:szCs w:val="19"/>
        <w:lang w:val="en-GB"/>
      </w:rPr>
      <w:t>Croatian Bank for Reconstruction and Development</w:t>
    </w:r>
    <w:r w:rsidR="002D6BE0" w:rsidRPr="000E7285">
      <w:rPr>
        <w:rFonts w:eastAsia="Times New Roman" w:cs="Arial"/>
        <w:sz w:val="19"/>
        <w:szCs w:val="19"/>
      </w:rPr>
      <w:t xml:space="preserve"> </w:t>
    </w:r>
  </w:p>
  <w:p w:rsidR="002D6BE0" w:rsidRDefault="002D6BE0">
    <w:pPr>
      <w:pStyle w:val="Podnoj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0E7285" w:rsidRDefault="002D6BE0"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2C7637">
      <w:rPr>
        <w:rFonts w:eastAsia="Times New Roman" w:cs="Arial"/>
        <w:sz w:val="19"/>
        <w:szCs w:val="19"/>
      </w:rPr>
      <w:t>2</w:t>
    </w:r>
    <w:r w:rsidRPr="000E7285">
      <w:rPr>
        <w:rFonts w:eastAsia="Times New Roman" w:cs="Arial"/>
        <w:sz w:val="19"/>
        <w:szCs w:val="19"/>
      </w:rPr>
      <w:t xml:space="preserve">   </w:t>
    </w:r>
    <w:r w:rsidRPr="0057425C">
      <w:rPr>
        <w:rFonts w:eastAsia="Times New Roman" w:cs="Arial"/>
        <w:sz w:val="19"/>
        <w:szCs w:val="19"/>
        <w:lang w:val="en-GB"/>
      </w:rPr>
      <w:t>Croatian Bank for Reconstruction and Development</w:t>
    </w:r>
    <w:r w:rsidRPr="000E7285">
      <w:rPr>
        <w:rFonts w:eastAsia="Times New Roman" w:cs="Arial"/>
        <w:sz w:val="19"/>
        <w:szCs w:val="19"/>
      </w:rPr>
      <w:t xml:space="preserve"> </w:t>
    </w:r>
  </w:p>
  <w:p w:rsidR="002D6BE0" w:rsidRDefault="002D6BE0">
    <w:pPr>
      <w:pStyle w:val="Podnoje"/>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0E7285" w:rsidRDefault="00526E0F"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w:t>
    </w:r>
    <w:r w:rsidR="002C7637">
      <w:rPr>
        <w:rFonts w:eastAsia="Times New Roman" w:cs="Arial"/>
        <w:sz w:val="19"/>
        <w:szCs w:val="19"/>
      </w:rPr>
      <w:t>3</w:t>
    </w:r>
    <w:r w:rsidRPr="000E7285">
      <w:rPr>
        <w:rFonts w:eastAsia="Times New Roman" w:cs="Arial"/>
        <w:sz w:val="19"/>
        <w:szCs w:val="19"/>
      </w:rPr>
      <w:t xml:space="preserve">  </w:t>
    </w:r>
    <w:r w:rsidR="002D6BE0" w:rsidRPr="0057425C">
      <w:rPr>
        <w:rFonts w:eastAsia="Times New Roman" w:cs="Arial"/>
        <w:sz w:val="19"/>
        <w:szCs w:val="19"/>
        <w:lang w:val="en-GB"/>
      </w:rPr>
      <w:t>Croatian Bank for Reconstruction and Development</w:t>
    </w:r>
    <w:r w:rsidR="002D6BE0" w:rsidRPr="000E7285">
      <w:rPr>
        <w:rFonts w:eastAsia="Times New Roman" w:cs="Arial"/>
        <w:sz w:val="19"/>
        <w:szCs w:val="19"/>
      </w:rPr>
      <w:t xml:space="preserve"> </w:t>
    </w:r>
  </w:p>
  <w:p w:rsidR="002D6BE0" w:rsidRDefault="002D6BE0">
    <w:pPr>
      <w:pStyle w:val="Podnoj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9D53C5" w:rsidRDefault="00526E0F" w:rsidP="00DE5EF2">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sidRPr="009D53C5">
      <w:rPr>
        <w:rFonts w:eastAsia="Times New Roman" w:cs="Arial"/>
        <w:sz w:val="19"/>
        <w:szCs w:val="19"/>
        <w:lang w:val="en-GB"/>
      </w:rPr>
      <w:t>1</w:t>
    </w:r>
    <w:r w:rsidR="002C7637">
      <w:rPr>
        <w:rFonts w:eastAsia="Times New Roman" w:cs="Arial"/>
        <w:sz w:val="19"/>
        <w:szCs w:val="19"/>
        <w:lang w:val="en-GB"/>
      </w:rPr>
      <w:t>4</w:t>
    </w:r>
    <w:r w:rsidRPr="009D53C5">
      <w:rPr>
        <w:rFonts w:eastAsia="Times New Roman" w:cs="Arial"/>
        <w:sz w:val="19"/>
        <w:szCs w:val="19"/>
        <w:lang w:val="en-GB"/>
      </w:rPr>
      <w:t xml:space="preserve">   </w:t>
    </w:r>
    <w:r w:rsidR="002D6BE0" w:rsidRPr="009D53C5">
      <w:rPr>
        <w:rFonts w:eastAsia="Times New Roman" w:cs="Arial"/>
        <w:sz w:val="19"/>
        <w:szCs w:val="19"/>
        <w:lang w:val="en-GB"/>
      </w:rPr>
      <w:t xml:space="preserve">Croatian Bank for Reconstruction and Development </w:t>
    </w:r>
  </w:p>
  <w:p w:rsidR="002D6BE0" w:rsidRDefault="002D6BE0">
    <w:pPr>
      <w:pStyle w:val="Podnoje"/>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0F" w:rsidRPr="009D53C5" w:rsidRDefault="00526E0F" w:rsidP="00DE5EF2">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sidRPr="009D53C5">
      <w:rPr>
        <w:rFonts w:eastAsia="Times New Roman" w:cs="Arial"/>
        <w:sz w:val="19"/>
        <w:szCs w:val="19"/>
        <w:lang w:val="en-GB"/>
      </w:rPr>
      <w:t>1</w:t>
    </w:r>
    <w:r w:rsidR="002C7637">
      <w:rPr>
        <w:rFonts w:eastAsia="Times New Roman" w:cs="Arial"/>
        <w:sz w:val="19"/>
        <w:szCs w:val="19"/>
        <w:lang w:val="en-GB"/>
      </w:rPr>
      <w:t>5</w:t>
    </w:r>
    <w:r w:rsidRPr="009D53C5">
      <w:rPr>
        <w:rFonts w:eastAsia="Times New Roman" w:cs="Arial"/>
        <w:sz w:val="19"/>
        <w:szCs w:val="19"/>
        <w:lang w:val="en-GB"/>
      </w:rPr>
      <w:t xml:space="preserve">   Croatian Bank for Reconstruction and Development </w:t>
    </w:r>
  </w:p>
  <w:p w:rsidR="00526E0F" w:rsidRDefault="00526E0F">
    <w:pPr>
      <w:pStyle w:val="Podnoj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2C64CB" w:rsidRDefault="002D6BE0"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w:t>
    </w:r>
    <w:r w:rsidR="002C7637">
      <w:rPr>
        <w:rFonts w:eastAsia="Times New Roman" w:cs="Arial"/>
        <w:sz w:val="19"/>
        <w:szCs w:val="19"/>
      </w:rPr>
      <w:t>6</w:t>
    </w:r>
    <w:r w:rsidRPr="000E7285">
      <w:rPr>
        <w:rFonts w:eastAsia="Times New Roman" w:cs="Arial"/>
        <w:sz w:val="19"/>
        <w:szCs w:val="19"/>
      </w:rPr>
      <w:t xml:space="preserve">   </w:t>
    </w:r>
    <w:r w:rsidRPr="0057425C">
      <w:rPr>
        <w:rFonts w:eastAsia="Times New Roman" w:cs="Arial"/>
        <w:sz w:val="19"/>
        <w:szCs w:val="19"/>
        <w:lang w:val="en-GB"/>
      </w:rPr>
      <w:t>Croatian Bank for Reconstruction and Development</w:t>
    </w:r>
    <w:r w:rsidRPr="000E7285">
      <w:rPr>
        <w:rFonts w:eastAsia="Times New Roman" w:cs="Arial"/>
        <w:sz w:val="19"/>
        <w:szCs w:val="19"/>
      </w:rPr>
      <w:t xml:space="preserve"> </w:t>
    </w:r>
  </w:p>
  <w:p w:rsidR="002D6BE0" w:rsidRDefault="002D6BE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0E7285" w:rsidRDefault="002D6BE0"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Pr="000E7285">
      <w:rPr>
        <w:rFonts w:eastAsia="Times New Roman" w:cs="Arial"/>
        <w:sz w:val="19"/>
        <w:szCs w:val="19"/>
      </w:rPr>
      <w:t xml:space="preserve">   </w:t>
    </w:r>
    <w:r w:rsidRPr="0057425C">
      <w:rPr>
        <w:rFonts w:eastAsia="Times New Roman" w:cs="Arial"/>
        <w:sz w:val="19"/>
        <w:szCs w:val="19"/>
        <w:lang w:val="en-GB"/>
      </w:rPr>
      <w:t xml:space="preserve">Croatian </w:t>
    </w:r>
    <w:r>
      <w:rPr>
        <w:rFonts w:eastAsia="Times New Roman" w:cs="Arial"/>
        <w:sz w:val="19"/>
        <w:szCs w:val="19"/>
        <w:lang w:val="en-GB"/>
      </w:rPr>
      <w:t>B</w:t>
    </w:r>
    <w:r w:rsidRPr="0057425C">
      <w:rPr>
        <w:rFonts w:eastAsia="Times New Roman" w:cs="Arial"/>
        <w:sz w:val="19"/>
        <w:szCs w:val="19"/>
        <w:lang w:val="en-GB"/>
      </w:rPr>
      <w:t>ank</w:t>
    </w:r>
    <w:r>
      <w:rPr>
        <w:rFonts w:eastAsia="Times New Roman" w:cs="Arial"/>
        <w:sz w:val="19"/>
        <w:szCs w:val="19"/>
        <w:lang w:val="en-GB"/>
      </w:rPr>
      <w:t xml:space="preserve"> for Reconstruction and Development</w:t>
    </w:r>
  </w:p>
  <w:p w:rsidR="002D6BE0" w:rsidRDefault="002D6BE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290697" w:rsidRDefault="002D6BE0">
    <w:pPr>
      <w:pStyle w:val="Podnoje"/>
      <w:jc w:val="center"/>
      <w:rPr>
        <w:sz w:val="18"/>
        <w:szCs w:val="18"/>
      </w:rPr>
    </w:pPr>
  </w:p>
  <w:p w:rsidR="002D6BE0" w:rsidRPr="0057425C" w:rsidRDefault="002D6BE0" w:rsidP="00B37082">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sidRPr="0057425C">
      <w:rPr>
        <w:rFonts w:eastAsia="Times New Roman" w:cs="Arial"/>
        <w:sz w:val="19"/>
        <w:szCs w:val="19"/>
        <w:lang w:val="en-GB"/>
      </w:rPr>
      <w:t>4   Croatian Bank for Reconstruction and Development</w:t>
    </w:r>
  </w:p>
  <w:p w:rsidR="002D6BE0" w:rsidRDefault="002D6BE0">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0E7285" w:rsidRDefault="002C7637"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4</w:t>
    </w:r>
    <w:r w:rsidR="002D6BE0" w:rsidRPr="000E7285">
      <w:rPr>
        <w:rFonts w:eastAsia="Times New Roman" w:cs="Arial"/>
        <w:sz w:val="19"/>
        <w:szCs w:val="19"/>
      </w:rPr>
      <w:t xml:space="preserve">  </w:t>
    </w:r>
    <w:r w:rsidR="002D6BE0" w:rsidRPr="0057425C">
      <w:rPr>
        <w:rFonts w:eastAsia="Times New Roman" w:cs="Arial"/>
        <w:sz w:val="19"/>
        <w:szCs w:val="19"/>
        <w:lang w:val="en-GB"/>
      </w:rPr>
      <w:t>Croatian</w:t>
    </w:r>
    <w:r w:rsidR="002D6BE0">
      <w:rPr>
        <w:rFonts w:eastAsia="Times New Roman" w:cs="Arial"/>
        <w:sz w:val="19"/>
        <w:szCs w:val="19"/>
        <w:lang w:val="en-GB"/>
      </w:rPr>
      <w:t xml:space="preserve"> B</w:t>
    </w:r>
    <w:r w:rsidR="002D6BE0" w:rsidRPr="0057425C">
      <w:rPr>
        <w:rFonts w:eastAsia="Times New Roman" w:cs="Arial"/>
        <w:sz w:val="19"/>
        <w:szCs w:val="19"/>
        <w:lang w:val="en-GB"/>
      </w:rPr>
      <w:t>ank</w:t>
    </w:r>
    <w:r w:rsidR="002D6BE0">
      <w:rPr>
        <w:rFonts w:eastAsia="Times New Roman" w:cs="Arial"/>
        <w:sz w:val="19"/>
        <w:szCs w:val="19"/>
        <w:lang w:val="en-GB"/>
      </w:rPr>
      <w:t xml:space="preserve"> for Reconstruction and Development</w:t>
    </w:r>
  </w:p>
  <w:p w:rsidR="002D6BE0" w:rsidRDefault="002D6BE0">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E0F" w:rsidRPr="000E7285" w:rsidRDefault="002C7637"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5</w:t>
    </w:r>
    <w:r w:rsidR="00526E0F" w:rsidRPr="000E7285">
      <w:rPr>
        <w:rFonts w:eastAsia="Times New Roman" w:cs="Arial"/>
        <w:sz w:val="19"/>
        <w:szCs w:val="19"/>
      </w:rPr>
      <w:t xml:space="preserve">  </w:t>
    </w:r>
    <w:r w:rsidR="00526E0F" w:rsidRPr="0057425C">
      <w:rPr>
        <w:rFonts w:eastAsia="Times New Roman" w:cs="Arial"/>
        <w:sz w:val="19"/>
        <w:szCs w:val="19"/>
        <w:lang w:val="en-GB"/>
      </w:rPr>
      <w:t>Croatian</w:t>
    </w:r>
    <w:r w:rsidR="00526E0F">
      <w:rPr>
        <w:rFonts w:eastAsia="Times New Roman" w:cs="Arial"/>
        <w:sz w:val="19"/>
        <w:szCs w:val="19"/>
        <w:lang w:val="en-GB"/>
      </w:rPr>
      <w:t xml:space="preserve"> B</w:t>
    </w:r>
    <w:r w:rsidR="00526E0F" w:rsidRPr="0057425C">
      <w:rPr>
        <w:rFonts w:eastAsia="Times New Roman" w:cs="Arial"/>
        <w:sz w:val="19"/>
        <w:szCs w:val="19"/>
        <w:lang w:val="en-GB"/>
      </w:rPr>
      <w:t>ank</w:t>
    </w:r>
    <w:r w:rsidR="00526E0F">
      <w:rPr>
        <w:rFonts w:eastAsia="Times New Roman" w:cs="Arial"/>
        <w:sz w:val="19"/>
        <w:szCs w:val="19"/>
        <w:lang w:val="en-GB"/>
      </w:rPr>
      <w:t xml:space="preserve"> for Reconstruction and Development</w:t>
    </w:r>
  </w:p>
  <w:p w:rsidR="00526E0F" w:rsidRDefault="00526E0F">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57425C" w:rsidRDefault="002C7637" w:rsidP="00AE35D1">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Pr>
        <w:rFonts w:eastAsia="Times New Roman" w:cs="Arial"/>
        <w:sz w:val="19"/>
        <w:szCs w:val="19"/>
        <w:lang w:val="en-GB"/>
      </w:rPr>
      <w:t>6</w:t>
    </w:r>
    <w:r w:rsidR="002D6BE0" w:rsidRPr="0057425C">
      <w:rPr>
        <w:rFonts w:eastAsia="Times New Roman" w:cs="Arial"/>
        <w:sz w:val="19"/>
        <w:szCs w:val="19"/>
        <w:lang w:val="en-GB"/>
      </w:rPr>
      <w:t xml:space="preserve"> </w:t>
    </w:r>
    <w:r w:rsidR="00526E0F">
      <w:rPr>
        <w:rFonts w:eastAsia="Times New Roman" w:cs="Arial"/>
        <w:sz w:val="19"/>
        <w:szCs w:val="19"/>
        <w:lang w:val="en-GB"/>
      </w:rPr>
      <w:t xml:space="preserve"> </w:t>
    </w:r>
    <w:r w:rsidR="002D6BE0" w:rsidRPr="0057425C">
      <w:rPr>
        <w:rFonts w:eastAsia="Times New Roman" w:cs="Arial"/>
        <w:sz w:val="19"/>
        <w:szCs w:val="19"/>
        <w:lang w:val="en-GB"/>
      </w:rPr>
      <w:t>Croatian Bank for Reconstruction and Development</w:t>
    </w:r>
  </w:p>
  <w:p w:rsidR="002D6BE0" w:rsidRPr="0057425C" w:rsidRDefault="002D6BE0">
    <w:pPr>
      <w:pStyle w:val="Podnoje"/>
      <w:rPr>
        <w:lang w:val="en-G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57425C" w:rsidRDefault="002C7637" w:rsidP="00AE35D1">
    <w:pPr>
      <w:pBdr>
        <w:top w:val="single" w:sz="4" w:space="1" w:color="auto"/>
      </w:pBdr>
      <w:tabs>
        <w:tab w:val="center" w:pos="4153"/>
        <w:tab w:val="right" w:pos="9072"/>
      </w:tabs>
      <w:spacing w:after="0" w:line="240" w:lineRule="auto"/>
      <w:ind w:right="283"/>
      <w:rPr>
        <w:rFonts w:eastAsia="Times New Roman" w:cs="Times New Roman"/>
        <w:sz w:val="19"/>
        <w:szCs w:val="20"/>
        <w:lang w:val="en-GB"/>
      </w:rPr>
    </w:pPr>
    <w:r>
      <w:rPr>
        <w:rFonts w:eastAsia="Times New Roman" w:cs="Arial"/>
        <w:sz w:val="19"/>
        <w:szCs w:val="19"/>
        <w:lang w:val="en-GB"/>
      </w:rPr>
      <w:t>7</w:t>
    </w:r>
    <w:r w:rsidR="002D6BE0" w:rsidRPr="0057425C">
      <w:rPr>
        <w:rFonts w:eastAsia="Times New Roman" w:cs="Arial"/>
        <w:sz w:val="19"/>
        <w:szCs w:val="19"/>
        <w:lang w:val="en-GB"/>
      </w:rPr>
      <w:t xml:space="preserve">   Croatian Bank for Reconstruction and Development </w:t>
    </w:r>
  </w:p>
  <w:p w:rsidR="002D6BE0" w:rsidRDefault="002D6BE0">
    <w:pPr>
      <w:pStyle w:val="Podnoj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0E7285" w:rsidRDefault="002C7637"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002D6BE0" w:rsidRPr="000E7285">
      <w:rPr>
        <w:rFonts w:eastAsia="Times New Roman" w:cs="Arial"/>
        <w:sz w:val="19"/>
        <w:szCs w:val="19"/>
      </w:rPr>
      <w:t xml:space="preserve">  </w:t>
    </w:r>
    <w:r w:rsidR="002D6BE0" w:rsidRPr="0057425C">
      <w:rPr>
        <w:rFonts w:eastAsia="Times New Roman" w:cs="Arial"/>
        <w:sz w:val="19"/>
        <w:szCs w:val="19"/>
        <w:lang w:val="en-GB"/>
      </w:rPr>
      <w:t>Croatian Bank for Reconstruction and Development</w:t>
    </w:r>
  </w:p>
  <w:p w:rsidR="002D6BE0" w:rsidRDefault="002D6BE0">
    <w:pPr>
      <w:pStyle w:val="Podnoj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BE0" w:rsidRPr="000E7285" w:rsidRDefault="002C7637"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9 </w:t>
    </w:r>
    <w:r w:rsidR="002D6BE0" w:rsidRPr="000E7285">
      <w:rPr>
        <w:rFonts w:eastAsia="Times New Roman" w:cs="Arial"/>
        <w:sz w:val="19"/>
        <w:szCs w:val="19"/>
      </w:rPr>
      <w:t xml:space="preserve">  </w:t>
    </w:r>
    <w:r w:rsidR="002D6BE0" w:rsidRPr="0057425C">
      <w:rPr>
        <w:rFonts w:eastAsia="Times New Roman" w:cs="Arial"/>
        <w:sz w:val="19"/>
        <w:szCs w:val="19"/>
        <w:lang w:val="en-GB"/>
      </w:rPr>
      <w:t>Croatian Bank for Reconstruction and Development</w:t>
    </w:r>
    <w:r w:rsidR="002D6BE0" w:rsidRPr="000E7285">
      <w:rPr>
        <w:rFonts w:eastAsia="Times New Roman" w:cs="Arial"/>
        <w:sz w:val="19"/>
        <w:szCs w:val="19"/>
      </w:rPr>
      <w:t xml:space="preserve"> </w:t>
    </w:r>
  </w:p>
  <w:p w:rsidR="002D6BE0" w:rsidRDefault="002D6BE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0A7" w:rsidRDefault="006010A7" w:rsidP="00AE35D1">
      <w:pPr>
        <w:spacing w:after="0" w:line="240" w:lineRule="auto"/>
      </w:pPr>
      <w:r>
        <w:separator/>
      </w:r>
    </w:p>
  </w:footnote>
  <w:footnote w:type="continuationSeparator" w:id="0">
    <w:p w:rsidR="006010A7" w:rsidRDefault="006010A7" w:rsidP="00AE35D1">
      <w:pPr>
        <w:spacing w:after="0" w:line="240" w:lineRule="auto"/>
      </w:pPr>
      <w:r>
        <w:continuationSeparator/>
      </w:r>
    </w:p>
  </w:footnote>
  <w:footnote w:type="continuationNotice" w:id="1">
    <w:p w:rsidR="006010A7" w:rsidRDefault="006010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6E7742B"/>
    <w:multiLevelType w:val="hybridMultilevel"/>
    <w:tmpl w:val="EA6A6A34"/>
    <w:lvl w:ilvl="0" w:tplc="D6C268AA">
      <w:start w:val="1"/>
      <w:numFmt w:val="bullet"/>
      <w:lvlText w:val="-"/>
      <w:lvlJc w:val="left"/>
      <w:pPr>
        <w:ind w:left="1146" w:hanging="360"/>
      </w:pPr>
      <w:rPr>
        <w:rFonts w:ascii="Arial" w:hAnsi="Arial" w:cs="Bodoni MT Black" w:hint="default"/>
        <w:b w:val="0"/>
        <w:i w:val="0"/>
        <w:color w:val="auto"/>
        <w:sz w:val="20"/>
        <w:szCs w:val="24"/>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7"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
  </w:num>
  <w:num w:numId="5">
    <w:abstractNumId w:val="6"/>
  </w:num>
  <w:num w:numId="6">
    <w:abstractNumId w:val="0"/>
  </w:num>
  <w:num w:numId="7">
    <w:abstractNumId w:val="18"/>
  </w:num>
  <w:num w:numId="8">
    <w:abstractNumId w:val="7"/>
  </w:num>
  <w:num w:numId="9">
    <w:abstractNumId w:val="2"/>
  </w:num>
  <w:num w:numId="10">
    <w:abstractNumId w:val="10"/>
  </w:num>
  <w:num w:numId="11">
    <w:abstractNumId w:val="15"/>
  </w:num>
  <w:num w:numId="12">
    <w:abstractNumId w:val="13"/>
  </w:num>
  <w:num w:numId="13">
    <w:abstractNumId w:val="16"/>
  </w:num>
  <w:num w:numId="14">
    <w:abstractNumId w:val="17"/>
  </w:num>
  <w:num w:numId="15">
    <w:abstractNumId w:val="4"/>
  </w:num>
  <w:num w:numId="16">
    <w:abstractNumId w:val="14"/>
  </w:num>
  <w:num w:numId="17">
    <w:abstractNumId w:val="11"/>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2A"/>
    <w:rsid w:val="00000065"/>
    <w:rsid w:val="00006E76"/>
    <w:rsid w:val="00006EF5"/>
    <w:rsid w:val="0001410A"/>
    <w:rsid w:val="00015A3C"/>
    <w:rsid w:val="0002286B"/>
    <w:rsid w:val="000241D5"/>
    <w:rsid w:val="000244BE"/>
    <w:rsid w:val="00035E8F"/>
    <w:rsid w:val="00035EEC"/>
    <w:rsid w:val="000376E3"/>
    <w:rsid w:val="00041D20"/>
    <w:rsid w:val="00042B54"/>
    <w:rsid w:val="0004513C"/>
    <w:rsid w:val="000454B4"/>
    <w:rsid w:val="00052220"/>
    <w:rsid w:val="0005277D"/>
    <w:rsid w:val="0005777B"/>
    <w:rsid w:val="000617E0"/>
    <w:rsid w:val="00067D16"/>
    <w:rsid w:val="00072C81"/>
    <w:rsid w:val="000743E9"/>
    <w:rsid w:val="00075515"/>
    <w:rsid w:val="000800B5"/>
    <w:rsid w:val="000812A2"/>
    <w:rsid w:val="00085E8C"/>
    <w:rsid w:val="00090260"/>
    <w:rsid w:val="00090F12"/>
    <w:rsid w:val="00093893"/>
    <w:rsid w:val="00094C98"/>
    <w:rsid w:val="000A14D2"/>
    <w:rsid w:val="000A516A"/>
    <w:rsid w:val="000A69A2"/>
    <w:rsid w:val="000A76E4"/>
    <w:rsid w:val="000A7CE2"/>
    <w:rsid w:val="000B0090"/>
    <w:rsid w:val="000B56CC"/>
    <w:rsid w:val="000B7946"/>
    <w:rsid w:val="000C3336"/>
    <w:rsid w:val="000C7868"/>
    <w:rsid w:val="000E13CC"/>
    <w:rsid w:val="000E271F"/>
    <w:rsid w:val="000E3A01"/>
    <w:rsid w:val="000E7285"/>
    <w:rsid w:val="000E78AA"/>
    <w:rsid w:val="000F5F05"/>
    <w:rsid w:val="000F7480"/>
    <w:rsid w:val="0010063A"/>
    <w:rsid w:val="001014AC"/>
    <w:rsid w:val="001059FF"/>
    <w:rsid w:val="00107475"/>
    <w:rsid w:val="0011293B"/>
    <w:rsid w:val="00113256"/>
    <w:rsid w:val="00122931"/>
    <w:rsid w:val="001230A2"/>
    <w:rsid w:val="00124861"/>
    <w:rsid w:val="00131275"/>
    <w:rsid w:val="001320FF"/>
    <w:rsid w:val="0013648D"/>
    <w:rsid w:val="00140D1A"/>
    <w:rsid w:val="00152275"/>
    <w:rsid w:val="00156F4B"/>
    <w:rsid w:val="00157AA7"/>
    <w:rsid w:val="001637D9"/>
    <w:rsid w:val="00164CDA"/>
    <w:rsid w:val="00165954"/>
    <w:rsid w:val="00166F19"/>
    <w:rsid w:val="00171348"/>
    <w:rsid w:val="00171E49"/>
    <w:rsid w:val="001729F4"/>
    <w:rsid w:val="00174B17"/>
    <w:rsid w:val="00174EDE"/>
    <w:rsid w:val="001756A5"/>
    <w:rsid w:val="001771E0"/>
    <w:rsid w:val="0018218B"/>
    <w:rsid w:val="0018377C"/>
    <w:rsid w:val="00184C66"/>
    <w:rsid w:val="00186994"/>
    <w:rsid w:val="00187D89"/>
    <w:rsid w:val="00190F2A"/>
    <w:rsid w:val="00192451"/>
    <w:rsid w:val="0019558E"/>
    <w:rsid w:val="00196C2B"/>
    <w:rsid w:val="001A05CD"/>
    <w:rsid w:val="001A0A5C"/>
    <w:rsid w:val="001A4847"/>
    <w:rsid w:val="001A60B3"/>
    <w:rsid w:val="001B0B2A"/>
    <w:rsid w:val="001B3C94"/>
    <w:rsid w:val="001B4F24"/>
    <w:rsid w:val="001B7601"/>
    <w:rsid w:val="001C1FDF"/>
    <w:rsid w:val="001C2D6D"/>
    <w:rsid w:val="001C3F5F"/>
    <w:rsid w:val="001C559B"/>
    <w:rsid w:val="001C6D63"/>
    <w:rsid w:val="001C75C2"/>
    <w:rsid w:val="001D1D55"/>
    <w:rsid w:val="001D2396"/>
    <w:rsid w:val="001D478E"/>
    <w:rsid w:val="001D607A"/>
    <w:rsid w:val="001D613D"/>
    <w:rsid w:val="001D70EE"/>
    <w:rsid w:val="001E06D4"/>
    <w:rsid w:val="001E46A2"/>
    <w:rsid w:val="00205E14"/>
    <w:rsid w:val="00207E12"/>
    <w:rsid w:val="002105E8"/>
    <w:rsid w:val="00214D08"/>
    <w:rsid w:val="00221BB0"/>
    <w:rsid w:val="00223F5B"/>
    <w:rsid w:val="0023221A"/>
    <w:rsid w:val="00236FE9"/>
    <w:rsid w:val="00244B32"/>
    <w:rsid w:val="00246384"/>
    <w:rsid w:val="0025401F"/>
    <w:rsid w:val="002563D1"/>
    <w:rsid w:val="002569ED"/>
    <w:rsid w:val="00267323"/>
    <w:rsid w:val="0026752C"/>
    <w:rsid w:val="00273E6D"/>
    <w:rsid w:val="002754A5"/>
    <w:rsid w:val="0027798B"/>
    <w:rsid w:val="00284B85"/>
    <w:rsid w:val="00285B02"/>
    <w:rsid w:val="00290697"/>
    <w:rsid w:val="0029406B"/>
    <w:rsid w:val="00294213"/>
    <w:rsid w:val="002A38D0"/>
    <w:rsid w:val="002A588A"/>
    <w:rsid w:val="002A599E"/>
    <w:rsid w:val="002A6B8E"/>
    <w:rsid w:val="002B1A0D"/>
    <w:rsid w:val="002B45D9"/>
    <w:rsid w:val="002B6016"/>
    <w:rsid w:val="002B7D68"/>
    <w:rsid w:val="002C64CB"/>
    <w:rsid w:val="002C7637"/>
    <w:rsid w:val="002D3BA1"/>
    <w:rsid w:val="002D5848"/>
    <w:rsid w:val="002D6BE0"/>
    <w:rsid w:val="002E269E"/>
    <w:rsid w:val="002E4757"/>
    <w:rsid w:val="002E7237"/>
    <w:rsid w:val="002F52CD"/>
    <w:rsid w:val="002F66C5"/>
    <w:rsid w:val="0030186D"/>
    <w:rsid w:val="00302E34"/>
    <w:rsid w:val="0030575E"/>
    <w:rsid w:val="00310146"/>
    <w:rsid w:val="00316D38"/>
    <w:rsid w:val="00317B07"/>
    <w:rsid w:val="003213D1"/>
    <w:rsid w:val="00324D27"/>
    <w:rsid w:val="00331DF5"/>
    <w:rsid w:val="003358AA"/>
    <w:rsid w:val="00347BB2"/>
    <w:rsid w:val="003513FA"/>
    <w:rsid w:val="003516A1"/>
    <w:rsid w:val="003578B4"/>
    <w:rsid w:val="003603A1"/>
    <w:rsid w:val="003661CA"/>
    <w:rsid w:val="00366BCB"/>
    <w:rsid w:val="00370A55"/>
    <w:rsid w:val="00373D3F"/>
    <w:rsid w:val="0037736C"/>
    <w:rsid w:val="0038180F"/>
    <w:rsid w:val="00384F87"/>
    <w:rsid w:val="00386384"/>
    <w:rsid w:val="00386C27"/>
    <w:rsid w:val="003A36A8"/>
    <w:rsid w:val="003A411B"/>
    <w:rsid w:val="003B25C7"/>
    <w:rsid w:val="003B393F"/>
    <w:rsid w:val="003C5F0E"/>
    <w:rsid w:val="003C7367"/>
    <w:rsid w:val="003D5407"/>
    <w:rsid w:val="003D57BB"/>
    <w:rsid w:val="003D583C"/>
    <w:rsid w:val="003E2CC0"/>
    <w:rsid w:val="003E432B"/>
    <w:rsid w:val="003E5F5C"/>
    <w:rsid w:val="003F0136"/>
    <w:rsid w:val="003F0B76"/>
    <w:rsid w:val="003F2303"/>
    <w:rsid w:val="003F3755"/>
    <w:rsid w:val="00402611"/>
    <w:rsid w:val="004033D9"/>
    <w:rsid w:val="004066BD"/>
    <w:rsid w:val="00416F51"/>
    <w:rsid w:val="00417B56"/>
    <w:rsid w:val="00420392"/>
    <w:rsid w:val="00422588"/>
    <w:rsid w:val="00422C5C"/>
    <w:rsid w:val="004230EB"/>
    <w:rsid w:val="00425C36"/>
    <w:rsid w:val="0042722D"/>
    <w:rsid w:val="00427B54"/>
    <w:rsid w:val="004405CD"/>
    <w:rsid w:val="004447FC"/>
    <w:rsid w:val="0045213B"/>
    <w:rsid w:val="00460613"/>
    <w:rsid w:val="00461505"/>
    <w:rsid w:val="0046282D"/>
    <w:rsid w:val="00467093"/>
    <w:rsid w:val="00473488"/>
    <w:rsid w:val="004735B8"/>
    <w:rsid w:val="00476109"/>
    <w:rsid w:val="0048362C"/>
    <w:rsid w:val="004A3877"/>
    <w:rsid w:val="004A5658"/>
    <w:rsid w:val="004B02BC"/>
    <w:rsid w:val="004B339A"/>
    <w:rsid w:val="004B6605"/>
    <w:rsid w:val="004B6A05"/>
    <w:rsid w:val="004C00E3"/>
    <w:rsid w:val="004C47E8"/>
    <w:rsid w:val="004C4CAA"/>
    <w:rsid w:val="004C5C55"/>
    <w:rsid w:val="004E082D"/>
    <w:rsid w:val="00502A0A"/>
    <w:rsid w:val="00507203"/>
    <w:rsid w:val="00514881"/>
    <w:rsid w:val="005201C6"/>
    <w:rsid w:val="00520922"/>
    <w:rsid w:val="00520D37"/>
    <w:rsid w:val="00525A6E"/>
    <w:rsid w:val="00526E0F"/>
    <w:rsid w:val="00527F1B"/>
    <w:rsid w:val="00531C98"/>
    <w:rsid w:val="00540749"/>
    <w:rsid w:val="00541ACD"/>
    <w:rsid w:val="00544A1D"/>
    <w:rsid w:val="00555F2D"/>
    <w:rsid w:val="00562C3A"/>
    <w:rsid w:val="00564F57"/>
    <w:rsid w:val="0056501A"/>
    <w:rsid w:val="005654E7"/>
    <w:rsid w:val="00572377"/>
    <w:rsid w:val="0057425C"/>
    <w:rsid w:val="00576D51"/>
    <w:rsid w:val="00582992"/>
    <w:rsid w:val="0058795F"/>
    <w:rsid w:val="0059334C"/>
    <w:rsid w:val="005933B2"/>
    <w:rsid w:val="00596884"/>
    <w:rsid w:val="00597DCD"/>
    <w:rsid w:val="005A01C0"/>
    <w:rsid w:val="005A190F"/>
    <w:rsid w:val="005A35C6"/>
    <w:rsid w:val="005A6619"/>
    <w:rsid w:val="005A6D6B"/>
    <w:rsid w:val="005B3FFD"/>
    <w:rsid w:val="005B58C5"/>
    <w:rsid w:val="005B5C42"/>
    <w:rsid w:val="005C0CE8"/>
    <w:rsid w:val="005C1D07"/>
    <w:rsid w:val="005C4859"/>
    <w:rsid w:val="005C6F1E"/>
    <w:rsid w:val="005D244A"/>
    <w:rsid w:val="005D2E06"/>
    <w:rsid w:val="005D3183"/>
    <w:rsid w:val="005D453B"/>
    <w:rsid w:val="005D4C16"/>
    <w:rsid w:val="005D56C0"/>
    <w:rsid w:val="005D5AFF"/>
    <w:rsid w:val="005D5D73"/>
    <w:rsid w:val="005E0386"/>
    <w:rsid w:val="005E5574"/>
    <w:rsid w:val="005E57C8"/>
    <w:rsid w:val="005E7AFD"/>
    <w:rsid w:val="005F1EB0"/>
    <w:rsid w:val="005F78AB"/>
    <w:rsid w:val="006010A7"/>
    <w:rsid w:val="00601BA3"/>
    <w:rsid w:val="00602844"/>
    <w:rsid w:val="00606B35"/>
    <w:rsid w:val="00614A76"/>
    <w:rsid w:val="00621249"/>
    <w:rsid w:val="00621CA0"/>
    <w:rsid w:val="006220D7"/>
    <w:rsid w:val="00623C82"/>
    <w:rsid w:val="0062604E"/>
    <w:rsid w:val="00627E2C"/>
    <w:rsid w:val="0063028C"/>
    <w:rsid w:val="00631E61"/>
    <w:rsid w:val="006401B2"/>
    <w:rsid w:val="00644E14"/>
    <w:rsid w:val="00645528"/>
    <w:rsid w:val="00645771"/>
    <w:rsid w:val="00647585"/>
    <w:rsid w:val="006475A2"/>
    <w:rsid w:val="006549BA"/>
    <w:rsid w:val="00662B68"/>
    <w:rsid w:val="00665728"/>
    <w:rsid w:val="006738AC"/>
    <w:rsid w:val="006738F5"/>
    <w:rsid w:val="006761BF"/>
    <w:rsid w:val="00677EA0"/>
    <w:rsid w:val="00685E73"/>
    <w:rsid w:val="00692862"/>
    <w:rsid w:val="00695460"/>
    <w:rsid w:val="00696B13"/>
    <w:rsid w:val="00697416"/>
    <w:rsid w:val="006A02FD"/>
    <w:rsid w:val="006A42A6"/>
    <w:rsid w:val="006A55DE"/>
    <w:rsid w:val="006B1B39"/>
    <w:rsid w:val="006B2629"/>
    <w:rsid w:val="006B44F9"/>
    <w:rsid w:val="006B531C"/>
    <w:rsid w:val="006B6E24"/>
    <w:rsid w:val="006B7572"/>
    <w:rsid w:val="006C6102"/>
    <w:rsid w:val="006C6A89"/>
    <w:rsid w:val="006D45B6"/>
    <w:rsid w:val="006F407B"/>
    <w:rsid w:val="006F535B"/>
    <w:rsid w:val="006F5E01"/>
    <w:rsid w:val="007004E5"/>
    <w:rsid w:val="00702964"/>
    <w:rsid w:val="00702E48"/>
    <w:rsid w:val="00704716"/>
    <w:rsid w:val="00705185"/>
    <w:rsid w:val="00710AE5"/>
    <w:rsid w:val="00714F1D"/>
    <w:rsid w:val="007162FD"/>
    <w:rsid w:val="0072070F"/>
    <w:rsid w:val="00722074"/>
    <w:rsid w:val="00722FA2"/>
    <w:rsid w:val="00724057"/>
    <w:rsid w:val="0072650F"/>
    <w:rsid w:val="007304E2"/>
    <w:rsid w:val="00733D40"/>
    <w:rsid w:val="007342C2"/>
    <w:rsid w:val="00735B63"/>
    <w:rsid w:val="0073733E"/>
    <w:rsid w:val="0074086A"/>
    <w:rsid w:val="007429C3"/>
    <w:rsid w:val="00744109"/>
    <w:rsid w:val="00755255"/>
    <w:rsid w:val="00760886"/>
    <w:rsid w:val="00761417"/>
    <w:rsid w:val="00765976"/>
    <w:rsid w:val="007667DB"/>
    <w:rsid w:val="00772319"/>
    <w:rsid w:val="00777891"/>
    <w:rsid w:val="00777D96"/>
    <w:rsid w:val="00783A4F"/>
    <w:rsid w:val="00783AEC"/>
    <w:rsid w:val="00786303"/>
    <w:rsid w:val="007866A7"/>
    <w:rsid w:val="007937A8"/>
    <w:rsid w:val="007939FF"/>
    <w:rsid w:val="00794772"/>
    <w:rsid w:val="007955CC"/>
    <w:rsid w:val="007A4BD0"/>
    <w:rsid w:val="007B25DC"/>
    <w:rsid w:val="007B5D75"/>
    <w:rsid w:val="007B5F64"/>
    <w:rsid w:val="007B7548"/>
    <w:rsid w:val="007C2B60"/>
    <w:rsid w:val="007C4B0E"/>
    <w:rsid w:val="007D0E13"/>
    <w:rsid w:val="007D1AD5"/>
    <w:rsid w:val="007D3F76"/>
    <w:rsid w:val="007D44F0"/>
    <w:rsid w:val="007D690E"/>
    <w:rsid w:val="007D7208"/>
    <w:rsid w:val="007E222A"/>
    <w:rsid w:val="007E582D"/>
    <w:rsid w:val="007F00B5"/>
    <w:rsid w:val="007F1E67"/>
    <w:rsid w:val="007F3D20"/>
    <w:rsid w:val="007F4BA4"/>
    <w:rsid w:val="007F5394"/>
    <w:rsid w:val="00801DB8"/>
    <w:rsid w:val="00801EB8"/>
    <w:rsid w:val="008047C6"/>
    <w:rsid w:val="008059C6"/>
    <w:rsid w:val="00806006"/>
    <w:rsid w:val="00810A4B"/>
    <w:rsid w:val="00810E4D"/>
    <w:rsid w:val="008117C3"/>
    <w:rsid w:val="00811935"/>
    <w:rsid w:val="008129E5"/>
    <w:rsid w:val="00822F9F"/>
    <w:rsid w:val="00833BDB"/>
    <w:rsid w:val="00837600"/>
    <w:rsid w:val="008446FB"/>
    <w:rsid w:val="00847298"/>
    <w:rsid w:val="008506C4"/>
    <w:rsid w:val="00855C93"/>
    <w:rsid w:val="00857E8B"/>
    <w:rsid w:val="008617C1"/>
    <w:rsid w:val="008646D7"/>
    <w:rsid w:val="00871618"/>
    <w:rsid w:val="00871BFC"/>
    <w:rsid w:val="00872C56"/>
    <w:rsid w:val="008748A6"/>
    <w:rsid w:val="00877FA4"/>
    <w:rsid w:val="00884FF3"/>
    <w:rsid w:val="008940CA"/>
    <w:rsid w:val="008A0D99"/>
    <w:rsid w:val="008A7B17"/>
    <w:rsid w:val="008B0AD6"/>
    <w:rsid w:val="008C2923"/>
    <w:rsid w:val="008C5513"/>
    <w:rsid w:val="008C578F"/>
    <w:rsid w:val="008D2B4D"/>
    <w:rsid w:val="008D373A"/>
    <w:rsid w:val="008D4255"/>
    <w:rsid w:val="008D71E9"/>
    <w:rsid w:val="008E3305"/>
    <w:rsid w:val="008E662D"/>
    <w:rsid w:val="008F5220"/>
    <w:rsid w:val="008F69C5"/>
    <w:rsid w:val="008F7EA3"/>
    <w:rsid w:val="009012D9"/>
    <w:rsid w:val="00903BF3"/>
    <w:rsid w:val="0090429D"/>
    <w:rsid w:val="00910678"/>
    <w:rsid w:val="009106D2"/>
    <w:rsid w:val="00917ABC"/>
    <w:rsid w:val="00922693"/>
    <w:rsid w:val="00924415"/>
    <w:rsid w:val="0092537E"/>
    <w:rsid w:val="00932CBB"/>
    <w:rsid w:val="00934BFE"/>
    <w:rsid w:val="00943C6F"/>
    <w:rsid w:val="009456C8"/>
    <w:rsid w:val="009616D5"/>
    <w:rsid w:val="00961DA1"/>
    <w:rsid w:val="009626AB"/>
    <w:rsid w:val="009636B6"/>
    <w:rsid w:val="00971E43"/>
    <w:rsid w:val="00975C14"/>
    <w:rsid w:val="00975C96"/>
    <w:rsid w:val="00983403"/>
    <w:rsid w:val="00996C02"/>
    <w:rsid w:val="009A0571"/>
    <w:rsid w:val="009A0FF2"/>
    <w:rsid w:val="009A2486"/>
    <w:rsid w:val="009A3270"/>
    <w:rsid w:val="009A6023"/>
    <w:rsid w:val="009B3074"/>
    <w:rsid w:val="009B3E8B"/>
    <w:rsid w:val="009B4285"/>
    <w:rsid w:val="009B53FC"/>
    <w:rsid w:val="009B6F97"/>
    <w:rsid w:val="009C2C42"/>
    <w:rsid w:val="009D08A2"/>
    <w:rsid w:val="009D2EC5"/>
    <w:rsid w:val="009D3DCB"/>
    <w:rsid w:val="009D53C5"/>
    <w:rsid w:val="009D594D"/>
    <w:rsid w:val="009E3641"/>
    <w:rsid w:val="009E49A2"/>
    <w:rsid w:val="009E53C8"/>
    <w:rsid w:val="009E6038"/>
    <w:rsid w:val="009E60BE"/>
    <w:rsid w:val="009E6A41"/>
    <w:rsid w:val="009E6AB6"/>
    <w:rsid w:val="00A05AED"/>
    <w:rsid w:val="00A15329"/>
    <w:rsid w:val="00A1635C"/>
    <w:rsid w:val="00A166D0"/>
    <w:rsid w:val="00A2010C"/>
    <w:rsid w:val="00A23ABA"/>
    <w:rsid w:val="00A23FD6"/>
    <w:rsid w:val="00A24A9B"/>
    <w:rsid w:val="00A310D3"/>
    <w:rsid w:val="00A3128E"/>
    <w:rsid w:val="00A3224F"/>
    <w:rsid w:val="00A33140"/>
    <w:rsid w:val="00A33CBE"/>
    <w:rsid w:val="00A40969"/>
    <w:rsid w:val="00A43BF0"/>
    <w:rsid w:val="00A45F18"/>
    <w:rsid w:val="00A55AAE"/>
    <w:rsid w:val="00A5639F"/>
    <w:rsid w:val="00A63AB2"/>
    <w:rsid w:val="00A64BB4"/>
    <w:rsid w:val="00A66E01"/>
    <w:rsid w:val="00A745A2"/>
    <w:rsid w:val="00A80461"/>
    <w:rsid w:val="00A80BFC"/>
    <w:rsid w:val="00A80C70"/>
    <w:rsid w:val="00A861A4"/>
    <w:rsid w:val="00A871F0"/>
    <w:rsid w:val="00A907C1"/>
    <w:rsid w:val="00A915C9"/>
    <w:rsid w:val="00A91936"/>
    <w:rsid w:val="00A91F67"/>
    <w:rsid w:val="00A933E5"/>
    <w:rsid w:val="00A94EDA"/>
    <w:rsid w:val="00A9534E"/>
    <w:rsid w:val="00A95A73"/>
    <w:rsid w:val="00A969CE"/>
    <w:rsid w:val="00AA0B2B"/>
    <w:rsid w:val="00AA2E68"/>
    <w:rsid w:val="00AA3292"/>
    <w:rsid w:val="00AA7675"/>
    <w:rsid w:val="00AB02E4"/>
    <w:rsid w:val="00AB1A3C"/>
    <w:rsid w:val="00AB4317"/>
    <w:rsid w:val="00AB5C0A"/>
    <w:rsid w:val="00AC53CF"/>
    <w:rsid w:val="00AC5E5D"/>
    <w:rsid w:val="00AD1876"/>
    <w:rsid w:val="00AD316C"/>
    <w:rsid w:val="00AD7C87"/>
    <w:rsid w:val="00AE35D1"/>
    <w:rsid w:val="00AE36EF"/>
    <w:rsid w:val="00AE568C"/>
    <w:rsid w:val="00AE5757"/>
    <w:rsid w:val="00AE785D"/>
    <w:rsid w:val="00AF7B10"/>
    <w:rsid w:val="00B00A97"/>
    <w:rsid w:val="00B03442"/>
    <w:rsid w:val="00B07119"/>
    <w:rsid w:val="00B21736"/>
    <w:rsid w:val="00B23717"/>
    <w:rsid w:val="00B23DAF"/>
    <w:rsid w:val="00B3422F"/>
    <w:rsid w:val="00B369E4"/>
    <w:rsid w:val="00B36C23"/>
    <w:rsid w:val="00B37082"/>
    <w:rsid w:val="00B37B58"/>
    <w:rsid w:val="00B421AB"/>
    <w:rsid w:val="00B42F86"/>
    <w:rsid w:val="00B442A3"/>
    <w:rsid w:val="00B55221"/>
    <w:rsid w:val="00B55B9C"/>
    <w:rsid w:val="00B5610A"/>
    <w:rsid w:val="00B57DFA"/>
    <w:rsid w:val="00B57ECC"/>
    <w:rsid w:val="00B608B9"/>
    <w:rsid w:val="00B611DC"/>
    <w:rsid w:val="00B62C2F"/>
    <w:rsid w:val="00B637B2"/>
    <w:rsid w:val="00B6792A"/>
    <w:rsid w:val="00B70257"/>
    <w:rsid w:val="00B7101B"/>
    <w:rsid w:val="00B7103C"/>
    <w:rsid w:val="00B73C94"/>
    <w:rsid w:val="00B75972"/>
    <w:rsid w:val="00B75F87"/>
    <w:rsid w:val="00B84393"/>
    <w:rsid w:val="00B865F9"/>
    <w:rsid w:val="00B92956"/>
    <w:rsid w:val="00B94B83"/>
    <w:rsid w:val="00B94BD3"/>
    <w:rsid w:val="00BA6269"/>
    <w:rsid w:val="00BA694A"/>
    <w:rsid w:val="00BB336B"/>
    <w:rsid w:val="00BB3BB6"/>
    <w:rsid w:val="00BB655D"/>
    <w:rsid w:val="00BC6E72"/>
    <w:rsid w:val="00BD6436"/>
    <w:rsid w:val="00BE2841"/>
    <w:rsid w:val="00BE2A95"/>
    <w:rsid w:val="00BE6420"/>
    <w:rsid w:val="00BE78EB"/>
    <w:rsid w:val="00BF17D9"/>
    <w:rsid w:val="00BF3CAB"/>
    <w:rsid w:val="00BF5A16"/>
    <w:rsid w:val="00BF7262"/>
    <w:rsid w:val="00C00062"/>
    <w:rsid w:val="00C05CD0"/>
    <w:rsid w:val="00C069B0"/>
    <w:rsid w:val="00C10C0E"/>
    <w:rsid w:val="00C11E3F"/>
    <w:rsid w:val="00C13550"/>
    <w:rsid w:val="00C1355B"/>
    <w:rsid w:val="00C16945"/>
    <w:rsid w:val="00C172B0"/>
    <w:rsid w:val="00C21778"/>
    <w:rsid w:val="00C22AD6"/>
    <w:rsid w:val="00C2384E"/>
    <w:rsid w:val="00C23A61"/>
    <w:rsid w:val="00C23C95"/>
    <w:rsid w:val="00C242D6"/>
    <w:rsid w:val="00C31DF1"/>
    <w:rsid w:val="00C31F69"/>
    <w:rsid w:val="00C3502E"/>
    <w:rsid w:val="00C41BCC"/>
    <w:rsid w:val="00C42219"/>
    <w:rsid w:val="00C42251"/>
    <w:rsid w:val="00C434CB"/>
    <w:rsid w:val="00C4459C"/>
    <w:rsid w:val="00C52580"/>
    <w:rsid w:val="00C53176"/>
    <w:rsid w:val="00C5419E"/>
    <w:rsid w:val="00C606A2"/>
    <w:rsid w:val="00C6152B"/>
    <w:rsid w:val="00C6286A"/>
    <w:rsid w:val="00C662EF"/>
    <w:rsid w:val="00C7174B"/>
    <w:rsid w:val="00C731DD"/>
    <w:rsid w:val="00C73CDC"/>
    <w:rsid w:val="00C744B9"/>
    <w:rsid w:val="00C750E0"/>
    <w:rsid w:val="00C753C2"/>
    <w:rsid w:val="00C76B9C"/>
    <w:rsid w:val="00C80C9F"/>
    <w:rsid w:val="00C8510B"/>
    <w:rsid w:val="00C86222"/>
    <w:rsid w:val="00C92E03"/>
    <w:rsid w:val="00C93EFD"/>
    <w:rsid w:val="00CA0D6F"/>
    <w:rsid w:val="00CA5EF5"/>
    <w:rsid w:val="00CA7A39"/>
    <w:rsid w:val="00CB54BF"/>
    <w:rsid w:val="00CB67EC"/>
    <w:rsid w:val="00CB75CB"/>
    <w:rsid w:val="00CB76B5"/>
    <w:rsid w:val="00CC7FE1"/>
    <w:rsid w:val="00CD03F8"/>
    <w:rsid w:val="00CD41C7"/>
    <w:rsid w:val="00CD5783"/>
    <w:rsid w:val="00CF14D9"/>
    <w:rsid w:val="00CF757D"/>
    <w:rsid w:val="00D028B6"/>
    <w:rsid w:val="00D041FF"/>
    <w:rsid w:val="00D10DEE"/>
    <w:rsid w:val="00D10E67"/>
    <w:rsid w:val="00D13066"/>
    <w:rsid w:val="00D15431"/>
    <w:rsid w:val="00D16BD8"/>
    <w:rsid w:val="00D23843"/>
    <w:rsid w:val="00D25999"/>
    <w:rsid w:val="00D309DE"/>
    <w:rsid w:val="00D3254D"/>
    <w:rsid w:val="00D3324D"/>
    <w:rsid w:val="00D3606D"/>
    <w:rsid w:val="00D36DB0"/>
    <w:rsid w:val="00D3766B"/>
    <w:rsid w:val="00D462B8"/>
    <w:rsid w:val="00D46AB4"/>
    <w:rsid w:val="00D50E1B"/>
    <w:rsid w:val="00D5109C"/>
    <w:rsid w:val="00D55A88"/>
    <w:rsid w:val="00D57C04"/>
    <w:rsid w:val="00D61F7D"/>
    <w:rsid w:val="00D6362F"/>
    <w:rsid w:val="00D65A34"/>
    <w:rsid w:val="00D70147"/>
    <w:rsid w:val="00D732FB"/>
    <w:rsid w:val="00D7528F"/>
    <w:rsid w:val="00D81452"/>
    <w:rsid w:val="00D845FC"/>
    <w:rsid w:val="00D84764"/>
    <w:rsid w:val="00D850CB"/>
    <w:rsid w:val="00D85449"/>
    <w:rsid w:val="00D87260"/>
    <w:rsid w:val="00D94BE1"/>
    <w:rsid w:val="00D94C54"/>
    <w:rsid w:val="00DA01DF"/>
    <w:rsid w:val="00DA2001"/>
    <w:rsid w:val="00DA641F"/>
    <w:rsid w:val="00DA775E"/>
    <w:rsid w:val="00DA7900"/>
    <w:rsid w:val="00DB09B4"/>
    <w:rsid w:val="00DB38B6"/>
    <w:rsid w:val="00DB4852"/>
    <w:rsid w:val="00DC64C3"/>
    <w:rsid w:val="00DC74FE"/>
    <w:rsid w:val="00DC7C2E"/>
    <w:rsid w:val="00DD02F2"/>
    <w:rsid w:val="00DD1BE9"/>
    <w:rsid w:val="00DD26FD"/>
    <w:rsid w:val="00DE29C4"/>
    <w:rsid w:val="00DE2D21"/>
    <w:rsid w:val="00DE4960"/>
    <w:rsid w:val="00DE52B5"/>
    <w:rsid w:val="00DE5EF2"/>
    <w:rsid w:val="00DE65A2"/>
    <w:rsid w:val="00DF01CC"/>
    <w:rsid w:val="00DF30AE"/>
    <w:rsid w:val="00DF3485"/>
    <w:rsid w:val="00E04A7C"/>
    <w:rsid w:val="00E0530B"/>
    <w:rsid w:val="00E07C43"/>
    <w:rsid w:val="00E12A0D"/>
    <w:rsid w:val="00E13B27"/>
    <w:rsid w:val="00E162B3"/>
    <w:rsid w:val="00E20718"/>
    <w:rsid w:val="00E20A62"/>
    <w:rsid w:val="00E22320"/>
    <w:rsid w:val="00E35A04"/>
    <w:rsid w:val="00E35E55"/>
    <w:rsid w:val="00E3743C"/>
    <w:rsid w:val="00E415EC"/>
    <w:rsid w:val="00E415F5"/>
    <w:rsid w:val="00E44AD4"/>
    <w:rsid w:val="00E44C23"/>
    <w:rsid w:val="00E46C33"/>
    <w:rsid w:val="00E502A6"/>
    <w:rsid w:val="00E51784"/>
    <w:rsid w:val="00E52BAC"/>
    <w:rsid w:val="00E56C9B"/>
    <w:rsid w:val="00E6283A"/>
    <w:rsid w:val="00E658AC"/>
    <w:rsid w:val="00E70A27"/>
    <w:rsid w:val="00E730D1"/>
    <w:rsid w:val="00E7412A"/>
    <w:rsid w:val="00E803FD"/>
    <w:rsid w:val="00E80CC0"/>
    <w:rsid w:val="00E82C58"/>
    <w:rsid w:val="00E86735"/>
    <w:rsid w:val="00E95227"/>
    <w:rsid w:val="00E9766B"/>
    <w:rsid w:val="00EA45A1"/>
    <w:rsid w:val="00EA5E7A"/>
    <w:rsid w:val="00EB334F"/>
    <w:rsid w:val="00EB3A33"/>
    <w:rsid w:val="00EB6DB8"/>
    <w:rsid w:val="00EC0452"/>
    <w:rsid w:val="00EC1094"/>
    <w:rsid w:val="00EC3410"/>
    <w:rsid w:val="00EC55C7"/>
    <w:rsid w:val="00EC5F24"/>
    <w:rsid w:val="00EC64A8"/>
    <w:rsid w:val="00ED65F1"/>
    <w:rsid w:val="00EE5FF8"/>
    <w:rsid w:val="00EE60B0"/>
    <w:rsid w:val="00EE66A6"/>
    <w:rsid w:val="00EF2D35"/>
    <w:rsid w:val="00EF3A0B"/>
    <w:rsid w:val="00EF4FC8"/>
    <w:rsid w:val="00F00AB7"/>
    <w:rsid w:val="00F02F84"/>
    <w:rsid w:val="00F04FDB"/>
    <w:rsid w:val="00F0671B"/>
    <w:rsid w:val="00F11426"/>
    <w:rsid w:val="00F1388B"/>
    <w:rsid w:val="00F15013"/>
    <w:rsid w:val="00F178BD"/>
    <w:rsid w:val="00F20111"/>
    <w:rsid w:val="00F23B41"/>
    <w:rsid w:val="00F2459C"/>
    <w:rsid w:val="00F249F9"/>
    <w:rsid w:val="00F24D36"/>
    <w:rsid w:val="00F25BB1"/>
    <w:rsid w:val="00F27182"/>
    <w:rsid w:val="00F309D8"/>
    <w:rsid w:val="00F317FB"/>
    <w:rsid w:val="00F360A9"/>
    <w:rsid w:val="00F4670A"/>
    <w:rsid w:val="00F504BC"/>
    <w:rsid w:val="00F52693"/>
    <w:rsid w:val="00F52B18"/>
    <w:rsid w:val="00F5441E"/>
    <w:rsid w:val="00F57EB6"/>
    <w:rsid w:val="00F601D0"/>
    <w:rsid w:val="00F62C26"/>
    <w:rsid w:val="00F6773D"/>
    <w:rsid w:val="00F72699"/>
    <w:rsid w:val="00F74EF5"/>
    <w:rsid w:val="00F85544"/>
    <w:rsid w:val="00F91E78"/>
    <w:rsid w:val="00F937F0"/>
    <w:rsid w:val="00F9692D"/>
    <w:rsid w:val="00FA066F"/>
    <w:rsid w:val="00FA39ED"/>
    <w:rsid w:val="00FB0704"/>
    <w:rsid w:val="00FB3A47"/>
    <w:rsid w:val="00FB561F"/>
    <w:rsid w:val="00FC3D1B"/>
    <w:rsid w:val="00FC617B"/>
    <w:rsid w:val="00FD01D0"/>
    <w:rsid w:val="00FD099C"/>
    <w:rsid w:val="00FD1A2A"/>
    <w:rsid w:val="00FD1BF7"/>
    <w:rsid w:val="00FD21DC"/>
    <w:rsid w:val="00FD3D87"/>
    <w:rsid w:val="00FD4BAE"/>
    <w:rsid w:val="00FD4E05"/>
    <w:rsid w:val="00FE0832"/>
    <w:rsid w:val="00FE5B03"/>
    <w:rsid w:val="00FE6CA9"/>
    <w:rsid w:val="00FF02C3"/>
    <w:rsid w:val="00FF23CD"/>
    <w:rsid w:val="00FF28FF"/>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6DB41"/>
  <w15:docId w15:val="{5E173C06-4835-48D1-86F7-C2A3DF6A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E222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BE6420"/>
    <w:rPr>
      <w:sz w:val="16"/>
      <w:szCs w:val="16"/>
    </w:rPr>
  </w:style>
  <w:style w:type="paragraph" w:styleId="Tekstkomentara">
    <w:name w:val="annotation text"/>
    <w:basedOn w:val="Normal"/>
    <w:link w:val="TekstkomentaraChar"/>
    <w:uiPriority w:val="99"/>
    <w:unhideWhenUsed/>
    <w:rsid w:val="00BE6420"/>
    <w:pPr>
      <w:spacing w:line="240" w:lineRule="auto"/>
    </w:pPr>
    <w:rPr>
      <w:sz w:val="20"/>
      <w:szCs w:val="20"/>
    </w:rPr>
  </w:style>
  <w:style w:type="character" w:customStyle="1" w:styleId="TekstkomentaraChar">
    <w:name w:val="Tekst komentara Char"/>
    <w:basedOn w:val="Zadanifontodlomka"/>
    <w:link w:val="Tekstkomentara"/>
    <w:uiPriority w:val="99"/>
    <w:rsid w:val="00BE6420"/>
    <w:rPr>
      <w:sz w:val="20"/>
      <w:szCs w:val="20"/>
    </w:rPr>
  </w:style>
  <w:style w:type="paragraph" w:styleId="Tekstbalonia">
    <w:name w:val="Balloon Text"/>
    <w:basedOn w:val="Normal"/>
    <w:link w:val="TekstbaloniaChar"/>
    <w:uiPriority w:val="99"/>
    <w:semiHidden/>
    <w:unhideWhenUsed/>
    <w:rsid w:val="00BE642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E6420"/>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422588"/>
    <w:rPr>
      <w:b/>
      <w:bCs/>
    </w:rPr>
  </w:style>
  <w:style w:type="character" w:customStyle="1" w:styleId="PredmetkomentaraChar">
    <w:name w:val="Predmet komentara Char"/>
    <w:basedOn w:val="TekstkomentaraChar"/>
    <w:link w:val="Predmetkomentara"/>
    <w:uiPriority w:val="99"/>
    <w:semiHidden/>
    <w:rsid w:val="00422588"/>
    <w:rPr>
      <w:b/>
      <w:bCs/>
      <w:sz w:val="20"/>
      <w:szCs w:val="20"/>
    </w:rPr>
  </w:style>
  <w:style w:type="paragraph" w:styleId="Zaglavlje">
    <w:name w:val="header"/>
    <w:basedOn w:val="Normal"/>
    <w:link w:val="ZaglavljeChar"/>
    <w:uiPriority w:val="99"/>
    <w:unhideWhenUsed/>
    <w:rsid w:val="00AE35D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5D1"/>
  </w:style>
  <w:style w:type="paragraph" w:styleId="Podnoje">
    <w:name w:val="footer"/>
    <w:basedOn w:val="Normal"/>
    <w:link w:val="PodnojeChar"/>
    <w:uiPriority w:val="99"/>
    <w:unhideWhenUsed/>
    <w:rsid w:val="00AE35D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5D1"/>
  </w:style>
  <w:style w:type="table" w:styleId="Reetkatablice">
    <w:name w:val="Table Grid"/>
    <w:basedOn w:val="Obinatablica"/>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70147"/>
    <w:pPr>
      <w:spacing w:after="0" w:line="240" w:lineRule="auto"/>
    </w:pPr>
  </w:style>
  <w:style w:type="paragraph" w:styleId="Odlomakpopisa">
    <w:name w:val="List Paragraph"/>
    <w:basedOn w:val="Normal"/>
    <w:link w:val="Odlomakpopisa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rsid w:val="00BE2A95"/>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oter" Target="footer8.xml"/><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5.xml"/><Relationship Id="rId25" Type="http://schemas.openxmlformats.org/officeDocument/2006/relationships/image" Target="media/image11.png"/><Relationship Id="rId33" Type="http://schemas.openxmlformats.org/officeDocument/2006/relationships/footer" Target="footer11.xml"/><Relationship Id="rId38" Type="http://schemas.openxmlformats.org/officeDocument/2006/relationships/image" Target="media/image18.png"/><Relationship Id="rId46"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8.png"/><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3.png"/><Relationship Id="rId36"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image" Target="media/image15.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6372-7729-4A24-9365-229C93D4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2235</Words>
  <Characters>12746</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HBOR</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Ivanjko Renata</dc:creator>
  <cp:lastModifiedBy>Saraga Iva</cp:lastModifiedBy>
  <cp:revision>2</cp:revision>
  <cp:lastPrinted>2017-08-11T09:01:00Z</cp:lastPrinted>
  <dcterms:created xsi:type="dcterms:W3CDTF">2017-08-30T11:24:00Z</dcterms:created>
  <dcterms:modified xsi:type="dcterms:W3CDTF">2017-08-30T11:24:00Z</dcterms:modified>
</cp:coreProperties>
</file>