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0B27F106" w:rsidR="007E222A" w:rsidRPr="00041197" w:rsidRDefault="00321A22"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noProof/>
        </w:rPr>
        <w:drawing>
          <wp:anchor distT="0" distB="0" distL="114300" distR="114300" simplePos="0" relativeHeight="251662336" behindDoc="1" locked="0" layoutInCell="1" allowOverlap="1" wp14:anchorId="16562E00" wp14:editId="032F8008">
            <wp:simplePos x="0" y="0"/>
            <wp:positionH relativeFrom="column">
              <wp:posOffset>0</wp:posOffset>
            </wp:positionH>
            <wp:positionV relativeFrom="paragraph">
              <wp:posOffset>-635</wp:posOffset>
            </wp:positionV>
            <wp:extent cx="2970370" cy="1142738"/>
            <wp:effectExtent l="0" t="0" r="1905"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BOR 30 RGB 2.pdf"/>
                    <pic:cNvPicPr/>
                  </pic:nvPicPr>
                  <pic:blipFill rotWithShape="1">
                    <a:blip r:embed="rId8">
                      <a:extLst>
                        <a:ext uri="{28A0092B-C50C-407E-A947-70E740481C1C}">
                          <a14:useLocalDpi xmlns:a14="http://schemas.microsoft.com/office/drawing/2010/main" val="0"/>
                        </a:ext>
                      </a:extLst>
                    </a:blip>
                    <a:srcRect l="31480" t="31405" r="15461" b="39714"/>
                    <a:stretch/>
                  </pic:blipFill>
                  <pic:spPr bwMode="auto">
                    <a:xfrm>
                      <a:off x="0" y="0"/>
                      <a:ext cx="2970370" cy="114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B0D57C" w14:textId="0C9BC53D" w:rsidR="001D478E"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r>
        <w:rPr>
          <w:rFonts w:eastAsia="Times New Roman" w:cs="Calibri"/>
          <w:b/>
          <w:spacing w:val="-3"/>
          <w:sz w:val="32"/>
          <w:szCs w:val="32"/>
          <w:lang w:val="en-GB" w:eastAsia="hr-HR"/>
        </w:rPr>
        <w:t xml:space="preserve">SEMI-ANNUAL </w:t>
      </w:r>
      <w:r w:rsidR="00041197" w:rsidRPr="00041197">
        <w:rPr>
          <w:rFonts w:eastAsia="Times New Roman" w:cs="Calibri"/>
          <w:b/>
          <w:spacing w:val="-3"/>
          <w:sz w:val="32"/>
          <w:szCs w:val="32"/>
          <w:lang w:val="en-GB" w:eastAsia="hr-HR"/>
        </w:rPr>
        <w:t>REPORT</w:t>
      </w:r>
    </w:p>
    <w:p w14:paraId="4EEA7CA4" w14:textId="14BC845C" w:rsidR="00EC2777"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p>
    <w:p w14:paraId="1F2E7CAA" w14:textId="77777777" w:rsidR="00EC2777" w:rsidRPr="00041197" w:rsidRDefault="00EC2777" w:rsidP="00EC2777">
      <w:pPr>
        <w:tabs>
          <w:tab w:val="left" w:pos="-720"/>
          <w:tab w:val="left" w:pos="0"/>
        </w:tabs>
        <w:suppressAutoHyphens/>
        <w:spacing w:after="0" w:line="240" w:lineRule="auto"/>
        <w:jc w:val="center"/>
        <w:rPr>
          <w:rFonts w:eastAsia="Times New Roman" w:cs="Calibri"/>
          <w:b/>
          <w:spacing w:val="-3"/>
          <w:sz w:val="32"/>
          <w:szCs w:val="32"/>
          <w:lang w:val="en-GB" w:eastAsia="hr-HR"/>
        </w:rPr>
      </w:pPr>
    </w:p>
    <w:p w14:paraId="53FAA39A" w14:textId="7FEF6D05" w:rsidR="00422588" w:rsidRPr="00041197" w:rsidRDefault="00041197"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041197">
        <w:rPr>
          <w:rFonts w:eastAsia="Times New Roman" w:cs="Calibri"/>
          <w:b/>
          <w:spacing w:val="-3"/>
          <w:sz w:val="32"/>
          <w:szCs w:val="32"/>
          <w:lang w:val="en-GB" w:eastAsia="hr-HR"/>
        </w:rPr>
        <w:t>FOR THE PERIOD</w:t>
      </w:r>
      <w:r w:rsidR="001D478E" w:rsidRPr="00041197">
        <w:rPr>
          <w:rFonts w:eastAsia="Times New Roman" w:cs="Calibri"/>
          <w:b/>
          <w:spacing w:val="-3"/>
          <w:sz w:val="32"/>
          <w:szCs w:val="32"/>
          <w:lang w:val="en-GB" w:eastAsia="hr-HR"/>
        </w:rPr>
        <w:t xml:space="preserve"> 1</w:t>
      </w:r>
      <w:r w:rsidRPr="00041197">
        <w:rPr>
          <w:rFonts w:eastAsia="Times New Roman" w:cs="Calibri"/>
          <w:b/>
          <w:spacing w:val="-3"/>
          <w:sz w:val="32"/>
          <w:szCs w:val="32"/>
          <w:lang w:val="en-GB" w:eastAsia="hr-HR"/>
        </w:rPr>
        <w:t xml:space="preserve"> JANUARY – 3</w:t>
      </w:r>
      <w:r w:rsidR="00880354">
        <w:rPr>
          <w:rFonts w:eastAsia="Times New Roman" w:cs="Calibri"/>
          <w:b/>
          <w:spacing w:val="-3"/>
          <w:sz w:val="32"/>
          <w:szCs w:val="32"/>
          <w:lang w:val="en-GB" w:eastAsia="hr-HR"/>
        </w:rPr>
        <w:t>0</w:t>
      </w:r>
      <w:r w:rsidRPr="00041197">
        <w:rPr>
          <w:rFonts w:eastAsia="Times New Roman" w:cs="Calibri"/>
          <w:b/>
          <w:spacing w:val="-3"/>
          <w:sz w:val="32"/>
          <w:szCs w:val="32"/>
          <w:lang w:val="en-GB" w:eastAsia="hr-HR"/>
        </w:rPr>
        <w:t xml:space="preserve"> </w:t>
      </w:r>
      <w:r w:rsidR="00880354">
        <w:rPr>
          <w:rFonts w:eastAsia="Times New Roman" w:cs="Calibri"/>
          <w:b/>
          <w:spacing w:val="-3"/>
          <w:sz w:val="32"/>
          <w:szCs w:val="32"/>
          <w:lang w:val="en-GB" w:eastAsia="hr-HR"/>
        </w:rPr>
        <w:t>JUNE</w:t>
      </w:r>
      <w:r w:rsidRPr="00041197">
        <w:rPr>
          <w:rFonts w:eastAsia="Times New Roman" w:cs="Calibri"/>
          <w:b/>
          <w:spacing w:val="-3"/>
          <w:sz w:val="32"/>
          <w:szCs w:val="32"/>
          <w:lang w:val="en-GB" w:eastAsia="hr-HR"/>
        </w:rPr>
        <w:t xml:space="preserve"> </w:t>
      </w:r>
      <w:r w:rsidR="001D478E" w:rsidRPr="00041197">
        <w:rPr>
          <w:rFonts w:eastAsia="Times New Roman" w:cs="Calibri"/>
          <w:b/>
          <w:spacing w:val="-3"/>
          <w:sz w:val="32"/>
          <w:szCs w:val="32"/>
          <w:lang w:val="en-GB" w:eastAsia="hr-HR"/>
        </w:rPr>
        <w:t>20</w:t>
      </w:r>
      <w:r w:rsidR="00C02F4E">
        <w:rPr>
          <w:rFonts w:eastAsia="Times New Roman" w:cs="Calibri"/>
          <w:b/>
          <w:spacing w:val="-3"/>
          <w:sz w:val="32"/>
          <w:szCs w:val="32"/>
          <w:lang w:val="en-GB" w:eastAsia="hr-HR"/>
        </w:rPr>
        <w:t>2</w:t>
      </w:r>
      <w:r w:rsidR="003C7B1E">
        <w:rPr>
          <w:rFonts w:eastAsia="Times New Roman" w:cs="Calibri"/>
          <w:b/>
          <w:spacing w:val="-3"/>
          <w:sz w:val="32"/>
          <w:szCs w:val="32"/>
          <w:lang w:val="en-GB" w:eastAsia="hr-HR"/>
        </w:rPr>
        <w:t>2</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1F36532E"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330EEC">
        <w:rPr>
          <w:rFonts w:eastAsia="Times New Roman" w:cs="Calibri"/>
          <w:b/>
          <w:spacing w:val="-3"/>
          <w:sz w:val="24"/>
          <w:szCs w:val="24"/>
          <w:lang w:val="en-GB" w:eastAsia="hr-HR"/>
        </w:rPr>
        <w:t>August</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3C7B1E">
        <w:rPr>
          <w:rFonts w:eastAsia="Times New Roman" w:cs="Calibri"/>
          <w:b/>
          <w:spacing w:val="-3"/>
          <w:sz w:val="24"/>
          <w:szCs w:val="24"/>
          <w:lang w:val="en-GB" w:eastAsia="hr-HR"/>
        </w:rPr>
        <w:t>2</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5F514A1D" w14:textId="40E55438" w:rsidR="00EC2777" w:rsidRDefault="00BB380A">
      <w:pPr>
        <w:rPr>
          <w:rFonts w:eastAsia="Times New Roman" w:cs="Calibri"/>
          <w:b/>
          <w:spacing w:val="-3"/>
          <w:sz w:val="24"/>
          <w:szCs w:val="24"/>
          <w:u w:val="single"/>
          <w:lang w:val="en-GB" w:eastAsia="hr-HR"/>
        </w:rPr>
      </w:pPr>
      <w:r>
        <w:rPr>
          <w:noProof/>
        </w:rPr>
        <w:lastRenderedPageBreak/>
        <w:drawing>
          <wp:anchor distT="0" distB="0" distL="114300" distR="114300" simplePos="0" relativeHeight="251664384" behindDoc="1" locked="0" layoutInCell="1" allowOverlap="1" wp14:anchorId="38DCBC30" wp14:editId="072C6119">
            <wp:simplePos x="0" y="0"/>
            <wp:positionH relativeFrom="column">
              <wp:posOffset>0</wp:posOffset>
            </wp:positionH>
            <wp:positionV relativeFrom="paragraph">
              <wp:posOffset>-635</wp:posOffset>
            </wp:positionV>
            <wp:extent cx="2970370" cy="114273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BOR 30 RGB 2.pdf"/>
                    <pic:cNvPicPr/>
                  </pic:nvPicPr>
                  <pic:blipFill rotWithShape="1">
                    <a:blip r:embed="rId8">
                      <a:extLst>
                        <a:ext uri="{28A0092B-C50C-407E-A947-70E740481C1C}">
                          <a14:useLocalDpi xmlns:a14="http://schemas.microsoft.com/office/drawing/2010/main" val="0"/>
                        </a:ext>
                      </a:extLst>
                    </a:blip>
                    <a:srcRect l="31480" t="31405" r="15461" b="39714"/>
                    <a:stretch/>
                  </pic:blipFill>
                  <pic:spPr bwMode="auto">
                    <a:xfrm>
                      <a:off x="0" y="0"/>
                      <a:ext cx="2970370" cy="114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7FC768" w14:textId="77777777"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2AB1DD0C" w14:textId="77777777" w:rsidR="00EC2777" w:rsidRDefault="00EC2777">
      <w:pPr>
        <w:rPr>
          <w:rFonts w:eastAsia="Times New Roman" w:cs="Calibri"/>
          <w:b/>
          <w:spacing w:val="-3"/>
          <w:sz w:val="24"/>
          <w:szCs w:val="24"/>
          <w:u w:val="single"/>
          <w:lang w:val="en-GB" w:eastAsia="hr-HR"/>
        </w:rPr>
      </w:pPr>
    </w:p>
    <w:p w14:paraId="54CEC9B7" w14:textId="3FF1B7FD" w:rsidR="00EC2777" w:rsidRDefault="00EC2777">
      <w:pPr>
        <w:rPr>
          <w:rFonts w:eastAsia="Times New Roman" w:cs="Calibri"/>
          <w:b/>
          <w:spacing w:val="-3"/>
          <w:sz w:val="24"/>
          <w:szCs w:val="24"/>
          <w:lang w:val="en-GB" w:eastAsia="hr-HR"/>
        </w:rPr>
      </w:pPr>
      <w:r w:rsidRPr="00EC2777">
        <w:rPr>
          <w:rFonts w:eastAsia="Times New Roman" w:cs="Calibri"/>
          <w:b/>
          <w:spacing w:val="-3"/>
          <w:sz w:val="24"/>
          <w:szCs w:val="24"/>
          <w:lang w:val="en-GB" w:eastAsia="hr-HR"/>
        </w:rPr>
        <w:t>STATEMENT OF PERSONS RESPONSIBLE FOR THE PREPARATION OF SEMI-ANNUAL REPORT</w:t>
      </w:r>
    </w:p>
    <w:p w14:paraId="364F0E32" w14:textId="633D6B48" w:rsidR="00EC2777" w:rsidRDefault="00EC2777" w:rsidP="00431B44">
      <w:pPr>
        <w:spacing w:after="0" w:line="240" w:lineRule="auto"/>
        <w:jc w:val="both"/>
        <w:rPr>
          <w:rFonts w:eastAsia="Times New Roman" w:cs="Calibri"/>
          <w:bCs/>
          <w:spacing w:val="-3"/>
          <w:sz w:val="24"/>
          <w:szCs w:val="24"/>
          <w:lang w:val="en-GB" w:eastAsia="hr-HR"/>
        </w:rPr>
      </w:pPr>
      <w:r w:rsidRPr="00EC2777">
        <w:rPr>
          <w:rFonts w:eastAsia="Times New Roman" w:cs="Calibri"/>
          <w:bCs/>
          <w:spacing w:val="-3"/>
          <w:sz w:val="24"/>
          <w:szCs w:val="24"/>
          <w:lang w:val="en-GB" w:eastAsia="hr-HR"/>
        </w:rPr>
        <w:t>To the best</w:t>
      </w:r>
      <w:r>
        <w:rPr>
          <w:rFonts w:eastAsia="Times New Roman" w:cs="Calibri"/>
          <w:bCs/>
          <w:spacing w:val="-3"/>
          <w:sz w:val="24"/>
          <w:szCs w:val="24"/>
          <w:lang w:val="en-GB" w:eastAsia="hr-HR"/>
        </w:rPr>
        <w:t xml:space="preserve"> of our knowledge the management report for the period 1 January – 30 June 202</w:t>
      </w:r>
      <w:r w:rsidR="003C7B1E">
        <w:rPr>
          <w:rFonts w:eastAsia="Times New Roman" w:cs="Calibri"/>
          <w:bCs/>
          <w:spacing w:val="-3"/>
          <w:sz w:val="24"/>
          <w:szCs w:val="24"/>
          <w:lang w:val="en-GB" w:eastAsia="hr-HR"/>
        </w:rPr>
        <w:t>2</w:t>
      </w:r>
      <w:r>
        <w:rPr>
          <w:rFonts w:eastAsia="Times New Roman" w:cs="Calibri"/>
          <w:bCs/>
          <w:spacing w:val="-3"/>
          <w:sz w:val="24"/>
          <w:szCs w:val="24"/>
          <w:lang w:val="en-GB" w:eastAsia="hr-HR"/>
        </w:rPr>
        <w:t xml:space="preserve"> 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w:t>
      </w:r>
    </w:p>
    <w:p w14:paraId="13D7A3B5" w14:textId="52B0019D" w:rsidR="00EC2777" w:rsidRDefault="00EC2777">
      <w:pPr>
        <w:rPr>
          <w:rFonts w:eastAsia="Times New Roman" w:cs="Calibri"/>
          <w:bCs/>
          <w:spacing w:val="-3"/>
          <w:sz w:val="24"/>
          <w:szCs w:val="24"/>
          <w:lang w:val="en-GB" w:eastAsia="hr-HR"/>
        </w:rPr>
      </w:pPr>
    </w:p>
    <w:p w14:paraId="453AB9FA" w14:textId="5A6A2C98"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President of the Management Board</w:t>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t>Member of the Management Board</w:t>
      </w:r>
    </w:p>
    <w:p w14:paraId="363DBAF5" w14:textId="793A0684" w:rsidR="00EC2777" w:rsidRDefault="00EC2777">
      <w:pPr>
        <w:rPr>
          <w:rFonts w:eastAsia="Times New Roman" w:cs="Calibri"/>
          <w:bCs/>
          <w:spacing w:val="-3"/>
          <w:sz w:val="24"/>
          <w:szCs w:val="24"/>
          <w:lang w:val="en-GB" w:eastAsia="hr-HR"/>
        </w:rPr>
      </w:pPr>
    </w:p>
    <w:p w14:paraId="4218FB07" w14:textId="536305CC" w:rsidR="00EC2777" w:rsidRDefault="00EC2777">
      <w:pPr>
        <w:rPr>
          <w:rFonts w:eastAsia="Times New Roman" w:cs="Calibri"/>
          <w:bCs/>
          <w:spacing w:val="-3"/>
          <w:sz w:val="24"/>
          <w:szCs w:val="24"/>
          <w:lang w:val="en-GB" w:eastAsia="hr-HR"/>
        </w:rPr>
      </w:pPr>
    </w:p>
    <w:p w14:paraId="18E23D2D" w14:textId="77D9B945" w:rsid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Tamara Perko, MSc</w:t>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r>
      <w:r>
        <w:rPr>
          <w:rFonts w:eastAsia="Times New Roman" w:cs="Calibri"/>
          <w:bCs/>
          <w:spacing w:val="-3"/>
          <w:sz w:val="24"/>
          <w:szCs w:val="24"/>
          <w:lang w:val="en-GB" w:eastAsia="hr-HR"/>
        </w:rPr>
        <w:tab/>
        <w:t xml:space="preserve">              Hrvoje Čuvalo, MSc</w:t>
      </w:r>
    </w:p>
    <w:p w14:paraId="76A5958F" w14:textId="496774C7" w:rsidR="00EC2777" w:rsidRDefault="00EC2777">
      <w:pPr>
        <w:rPr>
          <w:rFonts w:eastAsia="Times New Roman" w:cs="Calibri"/>
          <w:bCs/>
          <w:spacing w:val="-3"/>
          <w:sz w:val="24"/>
          <w:szCs w:val="24"/>
          <w:lang w:val="en-GB" w:eastAsia="hr-HR"/>
        </w:rPr>
      </w:pPr>
    </w:p>
    <w:p w14:paraId="20F7CA71" w14:textId="5D1E03DA" w:rsidR="00EC2777" w:rsidRDefault="00EC2777">
      <w:pPr>
        <w:rPr>
          <w:rFonts w:eastAsia="Times New Roman" w:cs="Calibri"/>
          <w:bCs/>
          <w:spacing w:val="-3"/>
          <w:sz w:val="24"/>
          <w:szCs w:val="24"/>
          <w:lang w:val="en-GB" w:eastAsia="hr-HR"/>
        </w:rPr>
      </w:pPr>
    </w:p>
    <w:p w14:paraId="6386A1E0" w14:textId="3EFD0CDB" w:rsidR="00EC2777" w:rsidRDefault="00EC2777">
      <w:pPr>
        <w:rPr>
          <w:rFonts w:eastAsia="Times New Roman" w:cs="Calibri"/>
          <w:bCs/>
          <w:spacing w:val="-3"/>
          <w:sz w:val="24"/>
          <w:szCs w:val="24"/>
          <w:lang w:val="en-GB" w:eastAsia="hr-HR"/>
        </w:rPr>
      </w:pPr>
    </w:p>
    <w:p w14:paraId="0CE2F86A" w14:textId="7A60BF97" w:rsidR="00EC2777" w:rsidRDefault="00EC2777">
      <w:pPr>
        <w:rPr>
          <w:rFonts w:eastAsia="Times New Roman" w:cs="Calibri"/>
          <w:bCs/>
          <w:spacing w:val="-3"/>
          <w:sz w:val="24"/>
          <w:szCs w:val="24"/>
          <w:lang w:val="en-GB" w:eastAsia="hr-HR"/>
        </w:rPr>
      </w:pPr>
    </w:p>
    <w:p w14:paraId="6CA2EFD3" w14:textId="0ED7066F" w:rsidR="00EC2777" w:rsidRPr="00EC2777" w:rsidRDefault="00EC2777">
      <w:pPr>
        <w:rPr>
          <w:rFonts w:eastAsia="Times New Roman" w:cs="Calibri"/>
          <w:bCs/>
          <w:spacing w:val="-3"/>
          <w:sz w:val="24"/>
          <w:szCs w:val="24"/>
          <w:lang w:val="en-GB" w:eastAsia="hr-HR"/>
        </w:rPr>
      </w:pPr>
      <w:r>
        <w:rPr>
          <w:rFonts w:eastAsia="Times New Roman" w:cs="Calibri"/>
          <w:bCs/>
          <w:spacing w:val="-3"/>
          <w:sz w:val="24"/>
          <w:szCs w:val="24"/>
          <w:lang w:val="en-GB" w:eastAsia="hr-HR"/>
        </w:rPr>
        <w:t xml:space="preserve">Zagreb, </w:t>
      </w:r>
      <w:r w:rsidR="00E05DED">
        <w:rPr>
          <w:rFonts w:eastAsia="Times New Roman" w:cs="Calibri"/>
          <w:bCs/>
          <w:spacing w:val="-3"/>
          <w:sz w:val="24"/>
          <w:szCs w:val="24"/>
          <w:lang w:val="en-GB" w:eastAsia="hr-HR"/>
        </w:rPr>
        <w:t>26</w:t>
      </w:r>
      <w:r w:rsidR="00EB2561">
        <w:rPr>
          <w:rFonts w:eastAsia="Times New Roman" w:cs="Calibri"/>
          <w:bCs/>
          <w:spacing w:val="-3"/>
          <w:sz w:val="24"/>
          <w:szCs w:val="24"/>
          <w:lang w:val="en-GB" w:eastAsia="hr-HR"/>
        </w:rPr>
        <w:t xml:space="preserve"> </w:t>
      </w:r>
      <w:r w:rsidR="00330EEC">
        <w:rPr>
          <w:rFonts w:eastAsia="Times New Roman" w:cs="Calibri"/>
          <w:bCs/>
          <w:spacing w:val="-3"/>
          <w:sz w:val="24"/>
          <w:szCs w:val="24"/>
          <w:lang w:val="en-GB" w:eastAsia="hr-HR"/>
        </w:rPr>
        <w:t>August</w:t>
      </w:r>
      <w:r>
        <w:rPr>
          <w:rFonts w:eastAsia="Times New Roman" w:cs="Calibri"/>
          <w:bCs/>
          <w:spacing w:val="-3"/>
          <w:sz w:val="24"/>
          <w:szCs w:val="24"/>
          <w:lang w:val="en-GB" w:eastAsia="hr-HR"/>
        </w:rPr>
        <w:t xml:space="preserve"> 202</w:t>
      </w:r>
      <w:r w:rsidR="00C03111">
        <w:rPr>
          <w:rFonts w:eastAsia="Times New Roman" w:cs="Calibri"/>
          <w:bCs/>
          <w:spacing w:val="-3"/>
          <w:sz w:val="24"/>
          <w:szCs w:val="24"/>
          <w:lang w:val="en-GB" w:eastAsia="hr-HR"/>
        </w:rPr>
        <w:t>2</w:t>
      </w:r>
    </w:p>
    <w:p w14:paraId="2D467EC9" w14:textId="77777777" w:rsidR="00EC2777" w:rsidRDefault="00EC2777">
      <w:pPr>
        <w:rPr>
          <w:rFonts w:eastAsia="Times New Roman" w:cs="Calibri"/>
          <w:b/>
          <w:spacing w:val="-3"/>
          <w:sz w:val="24"/>
          <w:szCs w:val="24"/>
          <w:u w:val="single"/>
          <w:lang w:val="en-GB" w:eastAsia="hr-HR"/>
        </w:rPr>
      </w:pPr>
    </w:p>
    <w:p w14:paraId="73F8CF97" w14:textId="77777777" w:rsidR="00EC2777" w:rsidRDefault="00EC2777">
      <w:pPr>
        <w:rPr>
          <w:rFonts w:eastAsia="Times New Roman" w:cs="Calibri"/>
          <w:b/>
          <w:spacing w:val="-3"/>
          <w:sz w:val="24"/>
          <w:szCs w:val="24"/>
          <w:u w:val="single"/>
          <w:lang w:val="en-GB" w:eastAsia="hr-HR"/>
        </w:rPr>
      </w:pPr>
    </w:p>
    <w:p w14:paraId="2AD946DC" w14:textId="77777777" w:rsidR="00EC2777" w:rsidRDefault="00EC2777">
      <w:pPr>
        <w:rPr>
          <w:rFonts w:eastAsia="Times New Roman" w:cs="Calibri"/>
          <w:b/>
          <w:spacing w:val="-3"/>
          <w:sz w:val="24"/>
          <w:szCs w:val="24"/>
          <w:u w:val="single"/>
          <w:lang w:val="en-GB" w:eastAsia="hr-HR"/>
        </w:rPr>
      </w:pPr>
    </w:p>
    <w:p w14:paraId="0CB988EF" w14:textId="77777777" w:rsidR="00EC2777" w:rsidRDefault="00EC2777">
      <w:pPr>
        <w:rPr>
          <w:rFonts w:eastAsia="Times New Roman" w:cs="Calibri"/>
          <w:b/>
          <w:spacing w:val="-3"/>
          <w:sz w:val="24"/>
          <w:szCs w:val="24"/>
          <w:u w:val="single"/>
          <w:lang w:val="en-GB" w:eastAsia="hr-HR"/>
        </w:rPr>
      </w:pPr>
    </w:p>
    <w:p w14:paraId="1D0B272B" w14:textId="77777777" w:rsidR="00EC2777" w:rsidRDefault="00EC2777">
      <w:pPr>
        <w:rPr>
          <w:rFonts w:eastAsia="Times New Roman" w:cs="Calibri"/>
          <w:b/>
          <w:spacing w:val="-3"/>
          <w:sz w:val="24"/>
          <w:szCs w:val="24"/>
          <w:u w:val="single"/>
          <w:lang w:val="en-GB" w:eastAsia="hr-HR"/>
        </w:rPr>
      </w:pPr>
    </w:p>
    <w:p w14:paraId="15A84FEE" w14:textId="44C6E34F" w:rsidR="00EC2777" w:rsidRDefault="00EC2777">
      <w:pPr>
        <w:rPr>
          <w:rFonts w:eastAsia="Times New Roman" w:cs="Calibri"/>
          <w:b/>
          <w:spacing w:val="-3"/>
          <w:sz w:val="24"/>
          <w:szCs w:val="24"/>
          <w:u w:val="single"/>
          <w:lang w:val="en-GB" w:eastAsia="hr-HR"/>
        </w:rPr>
        <w:sectPr w:rsidR="00EC2777" w:rsidSect="00C23C95">
          <w:footerReference w:type="first" r:id="rId10"/>
          <w:pgSz w:w="11906" w:h="16838" w:code="9"/>
          <w:pgMar w:top="863" w:right="1133" w:bottom="1417" w:left="1417" w:header="709" w:footer="709" w:gutter="0"/>
          <w:cols w:space="708"/>
          <w:titlePg/>
          <w:docGrid w:linePitch="360"/>
        </w:sectPr>
      </w:pPr>
    </w:p>
    <w:p w14:paraId="07CD6F9D" w14:textId="756DF04A"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0193525B" w:rsidR="001D2396"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r>
        <w:rPr>
          <w:rFonts w:ascii="Calibri" w:eastAsia="Times New Roman" w:hAnsi="Calibri" w:cs="Arial"/>
          <w:b/>
          <w:sz w:val="32"/>
          <w:szCs w:val="32"/>
          <w:lang w:val="en-GB"/>
        </w:rPr>
        <w:t>MANAGEMENT REPORT FOR THE PERIOD</w:t>
      </w:r>
    </w:p>
    <w:p w14:paraId="0BCB24CF" w14:textId="0B4FD213"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103ADCB6" w14:textId="6A1E866C"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r>
        <w:rPr>
          <w:rFonts w:ascii="Calibri" w:eastAsia="Times New Roman" w:hAnsi="Calibri" w:cs="Arial"/>
          <w:b/>
          <w:sz w:val="32"/>
          <w:szCs w:val="32"/>
          <w:lang w:val="en-GB"/>
        </w:rPr>
        <w:t>1 JANUARY – 30 JUNE 202</w:t>
      </w:r>
      <w:r w:rsidR="00C03111">
        <w:rPr>
          <w:rFonts w:ascii="Calibri" w:eastAsia="Times New Roman" w:hAnsi="Calibri" w:cs="Arial"/>
          <w:b/>
          <w:sz w:val="32"/>
          <w:szCs w:val="32"/>
          <w:lang w:val="en-GB"/>
        </w:rPr>
        <w:t>2</w:t>
      </w:r>
    </w:p>
    <w:p w14:paraId="2D28575A" w14:textId="7FABE2EB"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041197" w:rsidRDefault="00431B44"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Pr>
          <w:rFonts w:ascii="Calibri" w:eastAsia="Times New Roman" w:hAnsi="Calibri" w:cs="Arial"/>
          <w:b/>
          <w:sz w:val="32"/>
          <w:szCs w:val="32"/>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1"/>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33F4D9B3"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W w:w="8494" w:type="dxa"/>
        <w:jc w:val="center"/>
        <w:tblLayout w:type="fixed"/>
        <w:tblCellMar>
          <w:left w:w="10" w:type="dxa"/>
          <w:right w:w="10" w:type="dxa"/>
        </w:tblCellMar>
        <w:tblLook w:val="0000" w:firstRow="0" w:lastRow="0" w:firstColumn="0" w:lastColumn="0" w:noHBand="0" w:noVBand="0"/>
      </w:tblPr>
      <w:tblGrid>
        <w:gridCol w:w="3456"/>
        <w:gridCol w:w="1588"/>
        <w:gridCol w:w="1755"/>
        <w:gridCol w:w="1695"/>
      </w:tblGrid>
      <w:tr w:rsidR="006D482A" w:rsidRPr="001E784A" w14:paraId="510FFF05" w14:textId="77777777" w:rsidTr="00D65CA5">
        <w:trPr>
          <w:trHeight w:val="398"/>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0CA4BAC8" w14:textId="77777777" w:rsidR="006D482A" w:rsidRPr="00E06F74" w:rsidRDefault="006D482A" w:rsidP="00D65CA5">
            <w:pPr>
              <w:rPr>
                <w:rFonts w:cstheme="minorHAnsi"/>
                <w:color w:val="FFFFFF"/>
                <w:lang w:val="en-GB" w:eastAsia="hr-HR"/>
              </w:rPr>
            </w:pPr>
            <w:r w:rsidRPr="00E06F74">
              <w:rPr>
                <w:rFonts w:cstheme="minorHAnsi"/>
                <w:color w:val="FFFFFF"/>
                <w:lang w:val="en-GB" w:eastAsia="hr-HR"/>
              </w:rPr>
              <w:t> </w:t>
            </w:r>
          </w:p>
        </w:tc>
        <w:tc>
          <w:tcPr>
            <w:tcW w:w="1588" w:type="dxa"/>
            <w:tcBorders>
              <w:top w:val="single" w:sz="4" w:space="0" w:color="auto"/>
              <w:bottom w:val="single" w:sz="4" w:space="0" w:color="auto"/>
            </w:tcBorders>
            <w:shd w:val="clear" w:color="auto" w:fill="7F7F7F"/>
            <w:vAlign w:val="center"/>
          </w:tcPr>
          <w:p w14:paraId="269E3CEF" w14:textId="77777777" w:rsidR="006D482A" w:rsidRPr="00E06F74" w:rsidRDefault="006D482A" w:rsidP="00D65CA5">
            <w:pPr>
              <w:jc w:val="right"/>
              <w:rPr>
                <w:rFonts w:cstheme="minorHAnsi"/>
                <w:b/>
                <w:bCs/>
                <w:color w:val="FFFFFF"/>
                <w:lang w:val="en-GB" w:eastAsia="hr-HR"/>
              </w:rPr>
            </w:pPr>
            <w:r w:rsidRPr="00E06F74">
              <w:rPr>
                <w:rFonts w:cstheme="minorHAnsi"/>
                <w:b/>
                <w:bCs/>
                <w:color w:val="FFFFFF"/>
                <w:lang w:val="en-GB" w:eastAsia="hr-HR"/>
              </w:rPr>
              <w:t>2020</w:t>
            </w:r>
          </w:p>
        </w:tc>
        <w:tc>
          <w:tcPr>
            <w:tcW w:w="1755" w:type="dxa"/>
            <w:tcBorders>
              <w:top w:val="single" w:sz="4" w:space="0" w:color="auto"/>
              <w:bottom w:val="single" w:sz="4" w:space="0" w:color="auto"/>
            </w:tcBorders>
            <w:shd w:val="clear" w:color="auto" w:fill="7F7F7F"/>
            <w:vAlign w:val="center"/>
          </w:tcPr>
          <w:p w14:paraId="1F947218" w14:textId="77777777" w:rsidR="006D482A" w:rsidRPr="00E06F74" w:rsidRDefault="006D482A" w:rsidP="00D65CA5">
            <w:pPr>
              <w:jc w:val="right"/>
              <w:rPr>
                <w:rFonts w:cstheme="minorHAnsi"/>
                <w:b/>
                <w:bCs/>
                <w:color w:val="FFFFFF"/>
                <w:lang w:val="en-GB" w:eastAsia="hr-HR"/>
              </w:rPr>
            </w:pPr>
            <w:r w:rsidRPr="00E06F74">
              <w:rPr>
                <w:rFonts w:cstheme="minorHAnsi"/>
                <w:b/>
                <w:bCs/>
                <w:color w:val="FFFFFF"/>
                <w:lang w:val="en-GB" w:eastAsia="hr-HR"/>
              </w:rPr>
              <w:t>2021</w:t>
            </w:r>
          </w:p>
        </w:tc>
        <w:tc>
          <w:tcPr>
            <w:tcW w:w="1695" w:type="dxa"/>
            <w:tcBorders>
              <w:top w:val="single" w:sz="4" w:space="0" w:color="auto"/>
              <w:left w:val="nil"/>
              <w:bottom w:val="single" w:sz="4" w:space="0" w:color="auto"/>
              <w:right w:val="single" w:sz="4" w:space="0" w:color="auto"/>
            </w:tcBorders>
            <w:shd w:val="clear" w:color="auto" w:fill="7F7F7F"/>
            <w:vAlign w:val="center"/>
          </w:tcPr>
          <w:p w14:paraId="1CE9D152" w14:textId="3017BC9F" w:rsidR="006D482A" w:rsidRPr="00E06F74" w:rsidRDefault="00C651F1" w:rsidP="00D65CA5">
            <w:pPr>
              <w:jc w:val="right"/>
              <w:rPr>
                <w:rFonts w:cstheme="minorHAnsi"/>
                <w:b/>
                <w:bCs/>
                <w:color w:val="FFFFFF"/>
                <w:lang w:val="en-GB" w:eastAsia="hr-HR"/>
              </w:rPr>
            </w:pPr>
            <w:r>
              <w:rPr>
                <w:rFonts w:cstheme="minorHAnsi"/>
                <w:b/>
                <w:bCs/>
                <w:color w:val="FFFFFF"/>
                <w:lang w:val="en-GB" w:eastAsia="hr-HR"/>
              </w:rPr>
              <w:t>30</w:t>
            </w:r>
            <w:r w:rsidR="006D482A" w:rsidRPr="00E06F74">
              <w:rPr>
                <w:rFonts w:cstheme="minorHAnsi"/>
                <w:b/>
                <w:bCs/>
                <w:color w:val="FFFFFF"/>
                <w:lang w:val="en-GB" w:eastAsia="hr-HR"/>
              </w:rPr>
              <w:t xml:space="preserve"> </w:t>
            </w:r>
            <w:r w:rsidR="00475A08">
              <w:rPr>
                <w:rFonts w:cstheme="minorHAnsi"/>
                <w:b/>
                <w:bCs/>
                <w:color w:val="FFFFFF"/>
                <w:lang w:val="en-GB" w:eastAsia="hr-HR"/>
              </w:rPr>
              <w:t>June</w:t>
            </w:r>
            <w:r w:rsidR="006D482A" w:rsidRPr="00E06F74">
              <w:rPr>
                <w:rFonts w:cstheme="minorHAnsi"/>
                <w:b/>
                <w:bCs/>
                <w:color w:val="FFFFFF"/>
                <w:lang w:val="en-GB" w:eastAsia="hr-HR"/>
              </w:rPr>
              <w:t xml:space="preserve"> 2022</w:t>
            </w:r>
          </w:p>
        </w:tc>
      </w:tr>
      <w:tr w:rsidR="006D482A" w:rsidRPr="001E784A" w14:paraId="4A8CFED3" w14:textId="77777777" w:rsidTr="00D65CA5">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6DB7408D" w14:textId="77777777" w:rsidR="006D482A" w:rsidRPr="00E06F74" w:rsidRDefault="006D482A" w:rsidP="00D65CA5">
            <w:pPr>
              <w:spacing w:after="0"/>
              <w:rPr>
                <w:rFonts w:cstheme="minorHAnsi"/>
                <w:b/>
                <w:bCs/>
                <w:color w:val="000000"/>
                <w:lang w:val="en-GB" w:eastAsia="hr-HR"/>
              </w:rPr>
            </w:pPr>
            <w:r w:rsidRPr="00E06F74">
              <w:rPr>
                <w:rFonts w:cstheme="minorHAnsi"/>
                <w:b/>
                <w:bCs/>
                <w:color w:val="000000"/>
                <w:lang w:val="en-GB" w:eastAsia="hr-HR"/>
              </w:rPr>
              <w:t>Total assets</w:t>
            </w:r>
          </w:p>
        </w:tc>
        <w:tc>
          <w:tcPr>
            <w:tcW w:w="1588" w:type="dxa"/>
            <w:tcBorders>
              <w:top w:val="single" w:sz="4" w:space="0" w:color="auto"/>
              <w:bottom w:val="single" w:sz="4" w:space="0" w:color="auto"/>
            </w:tcBorders>
            <w:shd w:val="clear" w:color="auto" w:fill="FFFFFF"/>
            <w:vAlign w:val="center"/>
          </w:tcPr>
          <w:p w14:paraId="2A3443FB" w14:textId="3EF5469A" w:rsidR="006D482A" w:rsidRPr="00E06F74" w:rsidRDefault="006D482A" w:rsidP="00D65CA5">
            <w:pPr>
              <w:spacing w:after="0"/>
              <w:jc w:val="right"/>
              <w:rPr>
                <w:rFonts w:cstheme="minorHAnsi"/>
                <w:color w:val="000000"/>
                <w:lang w:val="en-GB" w:eastAsia="hr-HR"/>
              </w:rPr>
            </w:pPr>
            <w:r w:rsidRPr="00E06F74">
              <w:rPr>
                <w:rFonts w:cstheme="minorHAnsi"/>
                <w:color w:val="000000"/>
                <w:lang w:val="en-GB" w:eastAsia="hr-HR"/>
              </w:rPr>
              <w:t>28,706.5</w:t>
            </w:r>
          </w:p>
        </w:tc>
        <w:tc>
          <w:tcPr>
            <w:tcW w:w="1755" w:type="dxa"/>
            <w:tcBorders>
              <w:top w:val="single" w:sz="4" w:space="0" w:color="auto"/>
              <w:bottom w:val="single" w:sz="4" w:space="0" w:color="auto"/>
            </w:tcBorders>
            <w:shd w:val="clear" w:color="auto" w:fill="FFFFFF"/>
            <w:vAlign w:val="center"/>
          </w:tcPr>
          <w:p w14:paraId="3220B73F" w14:textId="589627E6" w:rsidR="006D482A" w:rsidRPr="00E06F74" w:rsidRDefault="006D482A" w:rsidP="00D65CA5">
            <w:pPr>
              <w:spacing w:after="0"/>
              <w:jc w:val="right"/>
              <w:rPr>
                <w:rFonts w:cstheme="minorHAnsi"/>
                <w:color w:val="000000"/>
                <w:lang w:val="en-GB" w:eastAsia="hr-HR"/>
              </w:rPr>
            </w:pPr>
            <w:r w:rsidRPr="00E06F74">
              <w:rPr>
                <w:rFonts w:cstheme="minorHAnsi"/>
                <w:color w:val="000000"/>
                <w:lang w:val="en-GB" w:eastAsia="hr-HR"/>
              </w:rPr>
              <w:t>28,278.</w:t>
            </w:r>
            <w:r w:rsidR="006C02BE">
              <w:rPr>
                <w:rFonts w:cstheme="minorHAnsi"/>
                <w:color w:val="000000"/>
                <w:lang w:val="en-GB" w:eastAsia="hr-HR"/>
              </w:rPr>
              <w:t>4</w:t>
            </w:r>
          </w:p>
        </w:tc>
        <w:tc>
          <w:tcPr>
            <w:tcW w:w="1695" w:type="dxa"/>
            <w:tcBorders>
              <w:top w:val="single" w:sz="4" w:space="0" w:color="auto"/>
              <w:bottom w:val="single" w:sz="4" w:space="0" w:color="auto"/>
              <w:right w:val="single" w:sz="4" w:space="0" w:color="auto"/>
            </w:tcBorders>
            <w:vAlign w:val="center"/>
          </w:tcPr>
          <w:p w14:paraId="2C22B52B" w14:textId="4DFF87FF" w:rsidR="006D482A" w:rsidRPr="00E06F74" w:rsidRDefault="006D482A" w:rsidP="00D65CA5">
            <w:pPr>
              <w:spacing w:after="0"/>
              <w:ind w:right="113"/>
              <w:jc w:val="right"/>
              <w:rPr>
                <w:rFonts w:cstheme="minorHAnsi"/>
                <w:color w:val="000000"/>
                <w:lang w:val="en-GB" w:eastAsia="hr-HR"/>
              </w:rPr>
            </w:pPr>
            <w:r w:rsidRPr="001E784A">
              <w:rPr>
                <w:rFonts w:eastAsia="Times New Roman" w:cstheme="minorHAnsi"/>
                <w:lang w:eastAsia="hr-HR"/>
              </w:rPr>
              <w:t>27</w:t>
            </w:r>
            <w:r w:rsidRPr="00E06F74">
              <w:rPr>
                <w:rFonts w:eastAsia="Times New Roman" w:cstheme="minorHAnsi"/>
                <w:lang w:eastAsia="hr-HR"/>
              </w:rPr>
              <w:t>,</w:t>
            </w:r>
            <w:r w:rsidR="00475A08">
              <w:rPr>
                <w:rFonts w:eastAsia="Times New Roman" w:cstheme="minorHAnsi"/>
                <w:lang w:eastAsia="hr-HR"/>
              </w:rPr>
              <w:t>554.9</w:t>
            </w:r>
          </w:p>
        </w:tc>
      </w:tr>
      <w:tr w:rsidR="006D482A" w:rsidRPr="001E784A" w14:paraId="6C979559" w14:textId="77777777" w:rsidTr="00D65CA5">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1E18B414" w14:textId="77777777" w:rsidR="006D482A" w:rsidRPr="00E06F74" w:rsidRDefault="006D482A" w:rsidP="00D65CA5">
            <w:pPr>
              <w:spacing w:after="0"/>
              <w:rPr>
                <w:rFonts w:cstheme="minorHAnsi"/>
                <w:b/>
                <w:bCs/>
                <w:color w:val="000000"/>
                <w:lang w:val="en-GB" w:eastAsia="hr-HR"/>
              </w:rPr>
            </w:pPr>
            <w:r w:rsidRPr="00E06F74">
              <w:rPr>
                <w:rFonts w:cstheme="minorHAnsi"/>
                <w:b/>
                <w:bCs/>
                <w:color w:val="000000"/>
                <w:lang w:val="en-GB" w:eastAsia="hr-HR"/>
              </w:rPr>
              <w:t xml:space="preserve">Gross loans </w:t>
            </w:r>
          </w:p>
        </w:tc>
        <w:tc>
          <w:tcPr>
            <w:tcW w:w="1588" w:type="dxa"/>
            <w:tcBorders>
              <w:top w:val="single" w:sz="4" w:space="0" w:color="auto"/>
              <w:bottom w:val="single" w:sz="4" w:space="0" w:color="auto"/>
            </w:tcBorders>
            <w:shd w:val="clear" w:color="auto" w:fill="FFFFFF"/>
            <w:vAlign w:val="center"/>
          </w:tcPr>
          <w:p w14:paraId="34C12B6C" w14:textId="20C899F9" w:rsidR="006D482A" w:rsidRPr="00E06F74" w:rsidRDefault="006D482A" w:rsidP="00D65CA5">
            <w:pPr>
              <w:spacing w:after="0"/>
              <w:jc w:val="right"/>
              <w:rPr>
                <w:rFonts w:cstheme="minorHAnsi"/>
                <w:color w:val="000000"/>
                <w:lang w:val="en-GB" w:eastAsia="hr-HR"/>
              </w:rPr>
            </w:pPr>
            <w:r w:rsidRPr="00E06F74">
              <w:rPr>
                <w:rFonts w:cstheme="minorHAnsi"/>
                <w:color w:val="000000"/>
                <w:lang w:val="en-GB" w:eastAsia="hr-HR"/>
              </w:rPr>
              <w:t>27,197.</w:t>
            </w:r>
            <w:r w:rsidR="006C02BE">
              <w:rPr>
                <w:rFonts w:cstheme="minorHAnsi"/>
                <w:color w:val="000000"/>
                <w:lang w:val="en-GB" w:eastAsia="hr-HR"/>
              </w:rPr>
              <w:t>3</w:t>
            </w:r>
          </w:p>
        </w:tc>
        <w:tc>
          <w:tcPr>
            <w:tcW w:w="1755" w:type="dxa"/>
            <w:tcBorders>
              <w:top w:val="single" w:sz="4" w:space="0" w:color="auto"/>
              <w:bottom w:val="single" w:sz="4" w:space="0" w:color="auto"/>
            </w:tcBorders>
            <w:shd w:val="clear" w:color="auto" w:fill="FFFFFF"/>
            <w:vAlign w:val="center"/>
          </w:tcPr>
          <w:p w14:paraId="71ABA500" w14:textId="13858790" w:rsidR="006D482A" w:rsidRPr="00E06F74" w:rsidRDefault="006D482A" w:rsidP="00D65CA5">
            <w:pPr>
              <w:spacing w:after="0"/>
              <w:jc w:val="right"/>
              <w:rPr>
                <w:rFonts w:cstheme="minorHAnsi"/>
                <w:color w:val="000000"/>
                <w:lang w:val="en-GB" w:eastAsia="hr-HR"/>
              </w:rPr>
            </w:pPr>
            <w:r w:rsidRPr="00E06F74">
              <w:rPr>
                <w:rFonts w:cstheme="minorHAnsi"/>
                <w:color w:val="000000"/>
                <w:lang w:val="en-GB" w:eastAsia="hr-HR"/>
              </w:rPr>
              <w:t>26,329.3</w:t>
            </w:r>
          </w:p>
        </w:tc>
        <w:tc>
          <w:tcPr>
            <w:tcW w:w="1695" w:type="dxa"/>
            <w:tcBorders>
              <w:top w:val="single" w:sz="4" w:space="0" w:color="auto"/>
              <w:bottom w:val="single" w:sz="4" w:space="0" w:color="auto"/>
              <w:right w:val="single" w:sz="4" w:space="0" w:color="auto"/>
            </w:tcBorders>
            <w:vAlign w:val="center"/>
          </w:tcPr>
          <w:p w14:paraId="60E5D7E0" w14:textId="6594F430" w:rsidR="006D482A" w:rsidRPr="00E06F74" w:rsidRDefault="006D482A" w:rsidP="00D65CA5">
            <w:pPr>
              <w:spacing w:after="0"/>
              <w:ind w:right="113"/>
              <w:jc w:val="right"/>
              <w:rPr>
                <w:rFonts w:cstheme="minorHAnsi"/>
                <w:color w:val="000000"/>
                <w:lang w:val="en-GB" w:eastAsia="hr-HR"/>
              </w:rPr>
            </w:pPr>
            <w:r w:rsidRPr="001E784A">
              <w:rPr>
                <w:rFonts w:eastAsia="Times New Roman" w:cstheme="minorHAnsi"/>
                <w:lang w:eastAsia="hr-HR"/>
              </w:rPr>
              <w:t>2</w:t>
            </w:r>
            <w:r w:rsidR="00AB1448">
              <w:rPr>
                <w:rFonts w:eastAsia="Times New Roman" w:cstheme="minorHAnsi"/>
                <w:lang w:eastAsia="hr-HR"/>
              </w:rPr>
              <w:t>6</w:t>
            </w:r>
            <w:r w:rsidRPr="00E06F74">
              <w:rPr>
                <w:rFonts w:eastAsia="Times New Roman" w:cstheme="minorHAnsi"/>
                <w:lang w:eastAsia="hr-HR"/>
              </w:rPr>
              <w:t>,</w:t>
            </w:r>
            <w:r w:rsidR="00AB1448">
              <w:rPr>
                <w:rFonts w:eastAsia="Times New Roman" w:cstheme="minorHAnsi"/>
                <w:lang w:eastAsia="hr-HR"/>
              </w:rPr>
              <w:t>184.0</w:t>
            </w:r>
          </w:p>
        </w:tc>
      </w:tr>
      <w:tr w:rsidR="006D482A" w:rsidRPr="001E784A" w14:paraId="7D466505" w14:textId="77777777" w:rsidTr="00D65CA5">
        <w:trPr>
          <w:trHeight w:hRule="exac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E496388" w14:textId="77777777" w:rsidR="006D482A" w:rsidRPr="00E06F74" w:rsidRDefault="006D482A" w:rsidP="00D65CA5">
            <w:pPr>
              <w:spacing w:after="0"/>
              <w:rPr>
                <w:rFonts w:cstheme="minorHAnsi"/>
                <w:b/>
                <w:bCs/>
                <w:color w:val="000000"/>
                <w:lang w:val="en-GB" w:eastAsia="hr-HR"/>
              </w:rPr>
            </w:pPr>
            <w:r w:rsidRPr="00E06F74">
              <w:rPr>
                <w:rFonts w:cstheme="minorHAnsi"/>
                <w:b/>
                <w:bCs/>
                <w:color w:val="000000"/>
                <w:lang w:val="en-GB" w:eastAsia="hr-HR"/>
              </w:rPr>
              <w:t>Total equity</w:t>
            </w:r>
          </w:p>
        </w:tc>
        <w:tc>
          <w:tcPr>
            <w:tcW w:w="1588" w:type="dxa"/>
            <w:tcBorders>
              <w:top w:val="single" w:sz="4" w:space="0" w:color="auto"/>
              <w:bottom w:val="single" w:sz="4" w:space="0" w:color="auto"/>
            </w:tcBorders>
            <w:shd w:val="clear" w:color="auto" w:fill="FFFFFF"/>
            <w:vAlign w:val="center"/>
          </w:tcPr>
          <w:p w14:paraId="307C16F9" w14:textId="58B4B2E4" w:rsidR="006D482A" w:rsidRPr="00E06F74" w:rsidRDefault="006D482A" w:rsidP="00D65CA5">
            <w:pPr>
              <w:spacing w:after="0"/>
              <w:jc w:val="right"/>
              <w:rPr>
                <w:rFonts w:cstheme="minorHAnsi"/>
                <w:color w:val="000000"/>
                <w:lang w:val="en-GB" w:eastAsia="hr-HR"/>
              </w:rPr>
            </w:pPr>
            <w:r w:rsidRPr="00E06F74">
              <w:rPr>
                <w:rFonts w:cstheme="minorHAnsi"/>
                <w:color w:val="000000"/>
                <w:lang w:val="en-GB" w:eastAsia="hr-HR"/>
              </w:rPr>
              <w:t>10,363.</w:t>
            </w:r>
            <w:r w:rsidR="006C02BE">
              <w:rPr>
                <w:rFonts w:cstheme="minorHAnsi"/>
                <w:color w:val="000000"/>
                <w:lang w:val="en-GB" w:eastAsia="hr-HR"/>
              </w:rPr>
              <w:t>8</w:t>
            </w:r>
          </w:p>
        </w:tc>
        <w:tc>
          <w:tcPr>
            <w:tcW w:w="1755" w:type="dxa"/>
            <w:tcBorders>
              <w:top w:val="single" w:sz="4" w:space="0" w:color="auto"/>
              <w:bottom w:val="single" w:sz="4" w:space="0" w:color="auto"/>
            </w:tcBorders>
            <w:shd w:val="clear" w:color="auto" w:fill="FFFFFF"/>
            <w:vAlign w:val="center"/>
          </w:tcPr>
          <w:p w14:paraId="238A1BA3" w14:textId="2FA13FC9" w:rsidR="006D482A" w:rsidRPr="00E06F74" w:rsidRDefault="006D482A" w:rsidP="00D65CA5">
            <w:pPr>
              <w:spacing w:after="0"/>
              <w:jc w:val="right"/>
              <w:rPr>
                <w:rFonts w:cstheme="minorHAnsi"/>
                <w:color w:val="000000"/>
                <w:lang w:val="en-GB" w:eastAsia="hr-HR"/>
              </w:rPr>
            </w:pPr>
            <w:r w:rsidRPr="00E06F74">
              <w:rPr>
                <w:rFonts w:cstheme="minorHAnsi"/>
                <w:color w:val="000000"/>
                <w:lang w:val="en-GB" w:eastAsia="hr-HR"/>
              </w:rPr>
              <w:t>10,576.</w:t>
            </w:r>
            <w:r w:rsidR="006C02BE">
              <w:rPr>
                <w:rFonts w:cstheme="minorHAnsi"/>
                <w:color w:val="000000"/>
                <w:lang w:val="en-GB" w:eastAsia="hr-HR"/>
              </w:rPr>
              <w:t>8</w:t>
            </w:r>
          </w:p>
        </w:tc>
        <w:tc>
          <w:tcPr>
            <w:tcW w:w="1695" w:type="dxa"/>
            <w:tcBorders>
              <w:top w:val="single" w:sz="4" w:space="0" w:color="auto"/>
              <w:bottom w:val="single" w:sz="4" w:space="0" w:color="auto"/>
              <w:right w:val="single" w:sz="4" w:space="0" w:color="auto"/>
            </w:tcBorders>
            <w:vAlign w:val="center"/>
          </w:tcPr>
          <w:p w14:paraId="0452F324" w14:textId="01E11CAE" w:rsidR="006D482A" w:rsidRPr="00E06F74" w:rsidRDefault="006D482A" w:rsidP="00D65CA5">
            <w:pPr>
              <w:spacing w:after="0"/>
              <w:ind w:right="113"/>
              <w:jc w:val="right"/>
              <w:rPr>
                <w:rFonts w:cstheme="minorHAnsi"/>
                <w:color w:val="000000"/>
                <w:lang w:val="en-GB" w:eastAsia="hr-HR"/>
              </w:rPr>
            </w:pPr>
            <w:r w:rsidRPr="001E784A">
              <w:rPr>
                <w:rFonts w:eastAsia="Times New Roman" w:cstheme="minorHAnsi"/>
                <w:lang w:eastAsia="hr-HR"/>
              </w:rPr>
              <w:t>10</w:t>
            </w:r>
            <w:r w:rsidRPr="00E06F74">
              <w:rPr>
                <w:rFonts w:eastAsia="Times New Roman" w:cstheme="minorHAnsi"/>
                <w:lang w:eastAsia="hr-HR"/>
              </w:rPr>
              <w:t>,</w:t>
            </w:r>
            <w:r w:rsidR="00AB1448">
              <w:rPr>
                <w:rFonts w:eastAsia="Times New Roman" w:cstheme="minorHAnsi"/>
                <w:lang w:eastAsia="hr-HR"/>
              </w:rPr>
              <w:t>902.7</w:t>
            </w:r>
          </w:p>
        </w:tc>
      </w:tr>
      <w:tr w:rsidR="006D482A" w:rsidRPr="001E784A" w14:paraId="01A75FC3" w14:textId="77777777" w:rsidTr="00D65CA5">
        <w:trPr>
          <w:trHeight w:val="437"/>
          <w:jc w:val="center"/>
        </w:trPr>
        <w:tc>
          <w:tcPr>
            <w:tcW w:w="3456" w:type="dxa"/>
            <w:tcBorders>
              <w:top w:val="single" w:sz="4" w:space="0" w:color="auto"/>
              <w:left w:val="single" w:sz="4" w:space="0" w:color="auto"/>
              <w:bottom w:val="single" w:sz="4" w:space="0" w:color="auto"/>
            </w:tcBorders>
            <w:shd w:val="clear" w:color="auto" w:fill="7F7F7F"/>
            <w:tcMar>
              <w:top w:w="0" w:type="dxa"/>
              <w:left w:w="108" w:type="dxa"/>
              <w:bottom w:w="0" w:type="dxa"/>
              <w:right w:w="108" w:type="dxa"/>
            </w:tcMar>
            <w:vAlign w:val="center"/>
          </w:tcPr>
          <w:p w14:paraId="109E72D2" w14:textId="77777777" w:rsidR="006D482A" w:rsidRPr="00E06F74" w:rsidRDefault="006D482A" w:rsidP="00D65CA5">
            <w:pPr>
              <w:spacing w:after="0"/>
              <w:rPr>
                <w:rFonts w:cstheme="minorHAnsi"/>
                <w:b/>
                <w:bCs/>
                <w:color w:val="000000"/>
                <w:lang w:val="en-GB" w:eastAsia="hr-HR"/>
              </w:rPr>
            </w:pPr>
            <w:r w:rsidRPr="00E06F74">
              <w:rPr>
                <w:rFonts w:cstheme="minorHAnsi"/>
                <w:color w:val="FFFFFF"/>
                <w:lang w:val="en-GB" w:eastAsia="hr-HR"/>
              </w:rPr>
              <w:t> </w:t>
            </w:r>
          </w:p>
        </w:tc>
        <w:tc>
          <w:tcPr>
            <w:tcW w:w="1588" w:type="dxa"/>
            <w:tcBorders>
              <w:top w:val="single" w:sz="4" w:space="0" w:color="auto"/>
              <w:bottom w:val="single" w:sz="4" w:space="0" w:color="auto"/>
            </w:tcBorders>
            <w:shd w:val="clear" w:color="auto" w:fill="7F7F7F"/>
            <w:vAlign w:val="center"/>
          </w:tcPr>
          <w:p w14:paraId="29A79B76" w14:textId="55CD5411" w:rsidR="006D482A" w:rsidRPr="00E06F74" w:rsidRDefault="006D482A" w:rsidP="00D65CA5">
            <w:pPr>
              <w:spacing w:after="0"/>
              <w:jc w:val="right"/>
              <w:rPr>
                <w:rFonts w:cstheme="minorHAnsi"/>
                <w:color w:val="000000"/>
                <w:lang w:val="en-GB" w:eastAsia="hr-HR"/>
              </w:rPr>
            </w:pPr>
            <w:r w:rsidRPr="00E06F74">
              <w:rPr>
                <w:rFonts w:cstheme="minorHAnsi"/>
                <w:b/>
                <w:bCs/>
                <w:color w:val="FFFFFF"/>
                <w:lang w:val="en-GB" w:eastAsia="hr-HR"/>
              </w:rPr>
              <w:t>1 January – 3</w:t>
            </w:r>
            <w:r w:rsidR="00CD5958">
              <w:rPr>
                <w:rFonts w:cstheme="minorHAnsi"/>
                <w:b/>
                <w:bCs/>
                <w:color w:val="FFFFFF"/>
                <w:lang w:val="en-GB" w:eastAsia="hr-HR"/>
              </w:rPr>
              <w:t>0 June</w:t>
            </w:r>
            <w:r w:rsidRPr="00E06F74">
              <w:rPr>
                <w:rFonts w:cstheme="minorHAnsi"/>
                <w:b/>
                <w:bCs/>
                <w:color w:val="FFFFFF"/>
                <w:lang w:val="en-GB" w:eastAsia="hr-HR"/>
              </w:rPr>
              <w:t xml:space="preserve"> 2020</w:t>
            </w:r>
          </w:p>
        </w:tc>
        <w:tc>
          <w:tcPr>
            <w:tcW w:w="1755" w:type="dxa"/>
            <w:tcBorders>
              <w:top w:val="single" w:sz="4" w:space="0" w:color="auto"/>
              <w:bottom w:val="single" w:sz="4" w:space="0" w:color="auto"/>
            </w:tcBorders>
            <w:shd w:val="clear" w:color="auto" w:fill="7F7F7F"/>
            <w:vAlign w:val="center"/>
          </w:tcPr>
          <w:p w14:paraId="1E03C80C" w14:textId="5847802D" w:rsidR="006D482A" w:rsidRPr="00E06F74" w:rsidRDefault="006D482A" w:rsidP="00D65CA5">
            <w:pPr>
              <w:spacing w:after="0"/>
              <w:jc w:val="right"/>
              <w:rPr>
                <w:rFonts w:cstheme="minorHAnsi"/>
                <w:color w:val="000000"/>
                <w:lang w:val="en-GB" w:eastAsia="hr-HR"/>
              </w:rPr>
            </w:pPr>
            <w:r w:rsidRPr="00E06F74">
              <w:rPr>
                <w:rFonts w:cstheme="minorHAnsi"/>
                <w:b/>
                <w:bCs/>
                <w:color w:val="FFFFFF"/>
                <w:lang w:val="en-GB" w:eastAsia="hr-HR"/>
              </w:rPr>
              <w:t xml:space="preserve">1 January – </w:t>
            </w:r>
            <w:r w:rsidR="00CD5958">
              <w:rPr>
                <w:rFonts w:cstheme="minorHAnsi"/>
                <w:b/>
                <w:bCs/>
                <w:color w:val="FFFFFF"/>
                <w:lang w:val="en-GB" w:eastAsia="hr-HR"/>
              </w:rPr>
              <w:t xml:space="preserve">30 June </w:t>
            </w:r>
            <w:r w:rsidRPr="00E06F74">
              <w:rPr>
                <w:rFonts w:cstheme="minorHAnsi"/>
                <w:b/>
                <w:bCs/>
                <w:color w:val="FFFFFF"/>
                <w:lang w:val="en-GB" w:eastAsia="hr-HR"/>
              </w:rPr>
              <w:t>2021</w:t>
            </w:r>
          </w:p>
        </w:tc>
        <w:tc>
          <w:tcPr>
            <w:tcW w:w="1695" w:type="dxa"/>
            <w:tcBorders>
              <w:top w:val="single" w:sz="4" w:space="0" w:color="auto"/>
              <w:bottom w:val="single" w:sz="4" w:space="0" w:color="auto"/>
              <w:right w:val="single" w:sz="4" w:space="0" w:color="auto"/>
            </w:tcBorders>
            <w:shd w:val="clear" w:color="auto" w:fill="7F7F7F"/>
            <w:vAlign w:val="center"/>
          </w:tcPr>
          <w:p w14:paraId="2EA817D7" w14:textId="3291A206" w:rsidR="006D482A" w:rsidRPr="00E06F74" w:rsidRDefault="006D482A">
            <w:pPr>
              <w:spacing w:after="0"/>
              <w:ind w:right="113"/>
              <w:jc w:val="right"/>
              <w:rPr>
                <w:rFonts w:cstheme="minorHAnsi"/>
                <w:color w:val="000000"/>
                <w:lang w:val="en-GB" w:eastAsia="hr-HR"/>
              </w:rPr>
            </w:pPr>
            <w:r w:rsidRPr="00E06F74">
              <w:rPr>
                <w:rFonts w:cstheme="minorHAnsi"/>
                <w:b/>
                <w:bCs/>
                <w:color w:val="FFFFFF"/>
                <w:lang w:val="en-GB" w:eastAsia="hr-HR"/>
              </w:rPr>
              <w:t>1 January – 3</w:t>
            </w:r>
            <w:r w:rsidR="00AB1448">
              <w:rPr>
                <w:rFonts w:cstheme="minorHAnsi"/>
                <w:b/>
                <w:bCs/>
                <w:color w:val="FFFFFF"/>
                <w:lang w:val="en-GB" w:eastAsia="hr-HR"/>
              </w:rPr>
              <w:t>0 June</w:t>
            </w:r>
            <w:r w:rsidRPr="00E06F74">
              <w:rPr>
                <w:rFonts w:cstheme="minorHAnsi"/>
                <w:b/>
                <w:bCs/>
                <w:color w:val="FFFFFF"/>
                <w:lang w:val="en-GB" w:eastAsia="hr-HR"/>
              </w:rPr>
              <w:t xml:space="preserve"> 2022</w:t>
            </w:r>
          </w:p>
        </w:tc>
      </w:tr>
      <w:tr w:rsidR="00EE507D" w:rsidRPr="001E784A" w14:paraId="30C577AA" w14:textId="77777777" w:rsidTr="000B626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D11685A" w14:textId="77777777" w:rsidR="00EE507D" w:rsidRPr="00E06F74" w:rsidRDefault="00EE507D" w:rsidP="00EE507D">
            <w:pPr>
              <w:spacing w:after="0"/>
              <w:rPr>
                <w:rFonts w:cstheme="minorHAnsi"/>
                <w:b/>
                <w:bCs/>
                <w:color w:val="000000"/>
                <w:lang w:val="en-GB" w:eastAsia="hr-HR"/>
              </w:rPr>
            </w:pPr>
            <w:r w:rsidRPr="00E06F74">
              <w:rPr>
                <w:rFonts w:cstheme="minorHAnsi"/>
                <w:b/>
                <w:bCs/>
                <w:color w:val="000000"/>
                <w:lang w:val="en-GB" w:eastAsia="hr-HR"/>
              </w:rPr>
              <w:t xml:space="preserve">Total income </w:t>
            </w:r>
          </w:p>
        </w:tc>
        <w:tc>
          <w:tcPr>
            <w:tcW w:w="1588" w:type="dxa"/>
            <w:tcBorders>
              <w:top w:val="single" w:sz="4" w:space="0" w:color="auto"/>
              <w:left w:val="nil"/>
              <w:bottom w:val="single" w:sz="4" w:space="0" w:color="auto"/>
              <w:right w:val="nil"/>
            </w:tcBorders>
            <w:vAlign w:val="center"/>
          </w:tcPr>
          <w:p w14:paraId="6FDCF420" w14:textId="1D6E2EA6" w:rsidR="00EE507D" w:rsidRPr="00E06F74" w:rsidRDefault="00EE507D" w:rsidP="00EE507D">
            <w:pPr>
              <w:spacing w:after="0"/>
              <w:jc w:val="right"/>
              <w:rPr>
                <w:rFonts w:cstheme="minorHAnsi"/>
                <w:color w:val="000000"/>
                <w:lang w:val="en-GB" w:eastAsia="hr-HR"/>
              </w:rPr>
            </w:pPr>
            <w:r w:rsidRPr="00417DA4">
              <w:t>331</w:t>
            </w:r>
            <w:r>
              <w:t>.</w:t>
            </w:r>
            <w:r w:rsidRPr="00417DA4">
              <w:t>5</w:t>
            </w:r>
          </w:p>
        </w:tc>
        <w:tc>
          <w:tcPr>
            <w:tcW w:w="1755" w:type="dxa"/>
            <w:tcBorders>
              <w:top w:val="single" w:sz="4" w:space="0" w:color="auto"/>
              <w:left w:val="nil"/>
              <w:bottom w:val="single" w:sz="4" w:space="0" w:color="auto"/>
              <w:right w:val="nil"/>
            </w:tcBorders>
            <w:vAlign w:val="center"/>
          </w:tcPr>
          <w:p w14:paraId="0A8E5425" w14:textId="13EEE5EC" w:rsidR="00EE507D" w:rsidRPr="00E06F74" w:rsidRDefault="00EE507D" w:rsidP="00EE507D">
            <w:pPr>
              <w:spacing w:after="0"/>
              <w:jc w:val="right"/>
              <w:rPr>
                <w:rFonts w:cstheme="minorHAnsi"/>
                <w:color w:val="000000"/>
                <w:lang w:val="en-GB" w:eastAsia="hr-HR"/>
              </w:rPr>
            </w:pPr>
            <w:r w:rsidRPr="004D574D">
              <w:t>509</w:t>
            </w:r>
            <w:r w:rsidR="001C5AF7">
              <w:t>.</w:t>
            </w:r>
            <w:r w:rsidRPr="004D574D">
              <w:t>9</w:t>
            </w:r>
          </w:p>
        </w:tc>
        <w:tc>
          <w:tcPr>
            <w:tcW w:w="1695" w:type="dxa"/>
            <w:tcBorders>
              <w:top w:val="single" w:sz="4" w:space="0" w:color="auto"/>
              <w:left w:val="nil"/>
              <w:bottom w:val="single" w:sz="4" w:space="0" w:color="000000"/>
              <w:right w:val="single" w:sz="4" w:space="0" w:color="auto"/>
            </w:tcBorders>
            <w:vAlign w:val="center"/>
          </w:tcPr>
          <w:p w14:paraId="113EC984" w14:textId="30B5E5E2" w:rsidR="00EE507D" w:rsidRPr="00E06F74" w:rsidRDefault="00EE507D" w:rsidP="00EE507D">
            <w:pPr>
              <w:spacing w:after="0"/>
              <w:ind w:right="113"/>
              <w:jc w:val="right"/>
              <w:rPr>
                <w:rFonts w:cstheme="minorHAnsi"/>
                <w:color w:val="000000"/>
                <w:lang w:val="en-GB" w:eastAsia="hr-HR"/>
              </w:rPr>
            </w:pPr>
            <w:r w:rsidRPr="00811414">
              <w:t>566</w:t>
            </w:r>
            <w:r w:rsidR="001C5AF7">
              <w:t>.</w:t>
            </w:r>
            <w:r w:rsidRPr="00811414">
              <w:t>4</w:t>
            </w:r>
          </w:p>
        </w:tc>
      </w:tr>
      <w:tr w:rsidR="00EE507D" w:rsidRPr="001E784A" w14:paraId="308C25CB" w14:textId="77777777" w:rsidTr="000B626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28C7CC4" w14:textId="77777777" w:rsidR="00EE507D" w:rsidRPr="00E06F74" w:rsidRDefault="00EE507D" w:rsidP="00EE507D">
            <w:pPr>
              <w:spacing w:after="0"/>
              <w:rPr>
                <w:rFonts w:cstheme="minorHAnsi"/>
                <w:b/>
                <w:bCs/>
                <w:color w:val="000000"/>
                <w:lang w:val="en-GB" w:eastAsia="hr-HR"/>
              </w:rPr>
            </w:pPr>
            <w:r w:rsidRPr="00E06F74">
              <w:rPr>
                <w:rFonts w:cstheme="minorHAnsi"/>
                <w:b/>
                <w:bCs/>
                <w:color w:val="000000"/>
                <w:lang w:val="en-GB" w:eastAsia="hr-HR"/>
              </w:rPr>
              <w:t>Total expense</w:t>
            </w:r>
          </w:p>
        </w:tc>
        <w:tc>
          <w:tcPr>
            <w:tcW w:w="1588" w:type="dxa"/>
            <w:tcBorders>
              <w:top w:val="single" w:sz="4" w:space="0" w:color="auto"/>
              <w:left w:val="nil"/>
              <w:bottom w:val="single" w:sz="4" w:space="0" w:color="auto"/>
              <w:right w:val="nil"/>
            </w:tcBorders>
            <w:vAlign w:val="center"/>
          </w:tcPr>
          <w:p w14:paraId="029B340A" w14:textId="532EBF47" w:rsidR="00EE507D" w:rsidRPr="00E06F74" w:rsidRDefault="003037DC" w:rsidP="00EE507D">
            <w:pPr>
              <w:spacing w:after="0"/>
              <w:jc w:val="right"/>
              <w:rPr>
                <w:rFonts w:cstheme="minorHAnsi"/>
                <w:color w:val="000000"/>
                <w:lang w:val="en-GB" w:eastAsia="hr-HR"/>
              </w:rPr>
            </w:pPr>
            <w:r>
              <w:t>(</w:t>
            </w:r>
            <w:r w:rsidR="00EE507D" w:rsidRPr="00417DA4">
              <w:t>314</w:t>
            </w:r>
            <w:r w:rsidR="00EE507D">
              <w:t>.</w:t>
            </w:r>
            <w:r w:rsidR="00EE507D" w:rsidRPr="00417DA4">
              <w:t>1</w:t>
            </w:r>
            <w:r>
              <w:t>)</w:t>
            </w:r>
          </w:p>
        </w:tc>
        <w:tc>
          <w:tcPr>
            <w:tcW w:w="1755" w:type="dxa"/>
            <w:tcBorders>
              <w:top w:val="single" w:sz="4" w:space="0" w:color="auto"/>
              <w:left w:val="nil"/>
              <w:bottom w:val="single" w:sz="4" w:space="0" w:color="auto"/>
              <w:right w:val="nil"/>
            </w:tcBorders>
            <w:shd w:val="clear" w:color="auto" w:fill="FFFFFF"/>
            <w:vAlign w:val="center"/>
          </w:tcPr>
          <w:p w14:paraId="17280607" w14:textId="0165C441" w:rsidR="00EE507D" w:rsidRPr="00E06F74" w:rsidRDefault="00EE507D" w:rsidP="00EE507D">
            <w:pPr>
              <w:spacing w:after="0"/>
              <w:jc w:val="right"/>
              <w:rPr>
                <w:rFonts w:cstheme="minorHAnsi"/>
                <w:color w:val="000000"/>
                <w:lang w:val="en-GB" w:eastAsia="hr-HR"/>
              </w:rPr>
            </w:pPr>
            <w:r w:rsidRPr="004D574D">
              <w:t>(197</w:t>
            </w:r>
            <w:r w:rsidR="001C5AF7">
              <w:t>.</w:t>
            </w:r>
            <w:r w:rsidRPr="004D574D">
              <w:t>0)</w:t>
            </w:r>
          </w:p>
        </w:tc>
        <w:tc>
          <w:tcPr>
            <w:tcW w:w="1695" w:type="dxa"/>
            <w:tcBorders>
              <w:top w:val="single" w:sz="4" w:space="0" w:color="000000"/>
              <w:left w:val="nil"/>
              <w:bottom w:val="single" w:sz="4" w:space="0" w:color="000000"/>
              <w:right w:val="single" w:sz="4" w:space="0" w:color="auto"/>
            </w:tcBorders>
            <w:vAlign w:val="center"/>
          </w:tcPr>
          <w:p w14:paraId="757BFC54" w14:textId="4B807664" w:rsidR="00EE507D" w:rsidRPr="00E06F74" w:rsidRDefault="00EE507D" w:rsidP="00EE507D">
            <w:pPr>
              <w:spacing w:after="0"/>
              <w:ind w:right="113"/>
              <w:jc w:val="right"/>
              <w:rPr>
                <w:rFonts w:cstheme="minorHAnsi"/>
                <w:color w:val="000000"/>
                <w:lang w:val="en-GB" w:eastAsia="hr-HR"/>
              </w:rPr>
            </w:pPr>
            <w:r w:rsidRPr="00811414">
              <w:t>(194</w:t>
            </w:r>
            <w:r w:rsidR="001C5AF7">
              <w:t>.</w:t>
            </w:r>
            <w:r w:rsidRPr="00811414">
              <w:t>3)</w:t>
            </w:r>
          </w:p>
        </w:tc>
      </w:tr>
      <w:tr w:rsidR="00EE507D" w:rsidRPr="001E784A" w14:paraId="2207F084" w14:textId="77777777" w:rsidTr="000B626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0B929937" w14:textId="77777777" w:rsidR="00EE507D" w:rsidRPr="00E06F74" w:rsidRDefault="00EE507D" w:rsidP="00EE507D">
            <w:pPr>
              <w:spacing w:after="0"/>
              <w:rPr>
                <w:rFonts w:cstheme="minorHAnsi"/>
                <w:b/>
                <w:bCs/>
                <w:color w:val="000000"/>
                <w:lang w:val="en-GB" w:eastAsia="hr-HR"/>
              </w:rPr>
            </w:pPr>
            <w:r w:rsidRPr="00E06F74">
              <w:rPr>
                <w:rFonts w:cstheme="minorHAnsi"/>
                <w:b/>
                <w:bCs/>
                <w:color w:val="000000"/>
                <w:lang w:val="en-GB" w:eastAsia="hr-HR"/>
              </w:rPr>
              <w:t xml:space="preserve">Profit </w:t>
            </w:r>
          </w:p>
        </w:tc>
        <w:tc>
          <w:tcPr>
            <w:tcW w:w="1588" w:type="dxa"/>
            <w:tcBorders>
              <w:top w:val="single" w:sz="4" w:space="0" w:color="auto"/>
              <w:left w:val="nil"/>
              <w:bottom w:val="single" w:sz="4" w:space="0" w:color="auto"/>
              <w:right w:val="nil"/>
            </w:tcBorders>
            <w:vAlign w:val="center"/>
          </w:tcPr>
          <w:p w14:paraId="120C9CDD" w14:textId="6036ED36" w:rsidR="00EE507D" w:rsidRPr="00E06F74" w:rsidRDefault="00EE507D" w:rsidP="00EE507D">
            <w:pPr>
              <w:spacing w:after="0"/>
              <w:jc w:val="right"/>
              <w:rPr>
                <w:rFonts w:cstheme="minorHAnsi"/>
                <w:color w:val="000000"/>
                <w:lang w:val="en-GB" w:eastAsia="hr-HR"/>
              </w:rPr>
            </w:pPr>
            <w:r w:rsidRPr="00417DA4">
              <w:t>17</w:t>
            </w:r>
            <w:r>
              <w:t>.</w:t>
            </w:r>
            <w:r w:rsidRPr="00417DA4">
              <w:t>4</w:t>
            </w:r>
          </w:p>
        </w:tc>
        <w:tc>
          <w:tcPr>
            <w:tcW w:w="1755" w:type="dxa"/>
            <w:tcBorders>
              <w:top w:val="single" w:sz="4" w:space="0" w:color="auto"/>
              <w:left w:val="nil"/>
              <w:bottom w:val="single" w:sz="4" w:space="0" w:color="auto"/>
              <w:right w:val="nil"/>
            </w:tcBorders>
            <w:shd w:val="clear" w:color="auto" w:fill="FFFFFF"/>
            <w:vAlign w:val="center"/>
          </w:tcPr>
          <w:p w14:paraId="08EA8183" w14:textId="3EC8E752" w:rsidR="00EE507D" w:rsidRPr="00E06F74" w:rsidRDefault="00EE507D" w:rsidP="00EE507D">
            <w:pPr>
              <w:spacing w:after="0"/>
              <w:jc w:val="right"/>
              <w:rPr>
                <w:rFonts w:cstheme="minorHAnsi"/>
                <w:color w:val="000000"/>
                <w:lang w:val="en-GB" w:eastAsia="hr-HR"/>
              </w:rPr>
            </w:pPr>
            <w:r w:rsidRPr="004D574D">
              <w:t>312</w:t>
            </w:r>
            <w:r w:rsidR="001C5AF7">
              <w:t>.</w:t>
            </w:r>
            <w:r w:rsidRPr="004D574D">
              <w:t>9</w:t>
            </w:r>
          </w:p>
        </w:tc>
        <w:tc>
          <w:tcPr>
            <w:tcW w:w="1695" w:type="dxa"/>
            <w:tcBorders>
              <w:top w:val="single" w:sz="4" w:space="0" w:color="000000"/>
              <w:left w:val="nil"/>
              <w:bottom w:val="single" w:sz="4" w:space="0" w:color="000000"/>
              <w:right w:val="single" w:sz="4" w:space="0" w:color="auto"/>
            </w:tcBorders>
            <w:vAlign w:val="center"/>
          </w:tcPr>
          <w:p w14:paraId="27772D0C" w14:textId="418E088F" w:rsidR="00EE507D" w:rsidRPr="00E06F74" w:rsidRDefault="00EE507D" w:rsidP="00EE507D">
            <w:pPr>
              <w:spacing w:after="0"/>
              <w:ind w:right="113"/>
              <w:jc w:val="right"/>
              <w:rPr>
                <w:rFonts w:cstheme="minorHAnsi"/>
                <w:color w:val="000000"/>
                <w:lang w:val="en-GB" w:eastAsia="hr-HR"/>
              </w:rPr>
            </w:pPr>
            <w:r w:rsidRPr="00811414">
              <w:t>372</w:t>
            </w:r>
            <w:r w:rsidR="003037DC">
              <w:t>.</w:t>
            </w:r>
            <w:r w:rsidRPr="00811414">
              <w:t>1</w:t>
            </w:r>
          </w:p>
        </w:tc>
      </w:tr>
      <w:tr w:rsidR="00EE507D" w:rsidRPr="001E784A" w14:paraId="378B71A2" w14:textId="77777777" w:rsidTr="000B6268">
        <w:trPr>
          <w:trHeight w:val="891"/>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5A2B28D" w14:textId="77777777" w:rsidR="00EE507D" w:rsidRPr="00E06F74" w:rsidRDefault="00EE507D" w:rsidP="00EE507D">
            <w:pPr>
              <w:spacing w:after="0"/>
              <w:rPr>
                <w:rFonts w:cstheme="minorHAnsi"/>
                <w:b/>
                <w:bCs/>
                <w:color w:val="000000"/>
                <w:lang w:val="en-GB" w:eastAsia="hr-HR"/>
              </w:rPr>
            </w:pPr>
            <w:r w:rsidRPr="00E06F74">
              <w:rPr>
                <w:rFonts w:cstheme="minorHAnsi"/>
                <w:b/>
                <w:bCs/>
                <w:color w:val="000000"/>
                <w:lang w:val="en-GB" w:eastAsia="hr-HR"/>
              </w:rPr>
              <w:t xml:space="preserve">Interest income calculated </w:t>
            </w:r>
            <w:proofErr w:type="gramStart"/>
            <w:r w:rsidRPr="00E06F74">
              <w:rPr>
                <w:rFonts w:cstheme="minorHAnsi"/>
                <w:b/>
                <w:bCs/>
                <w:color w:val="000000"/>
                <w:lang w:val="en-GB" w:eastAsia="hr-HR"/>
              </w:rPr>
              <w:t>on the basis of</w:t>
            </w:r>
            <w:proofErr w:type="gramEnd"/>
            <w:r w:rsidRPr="00E06F74">
              <w:rPr>
                <w:rFonts w:cstheme="minorHAnsi"/>
                <w:b/>
                <w:bCs/>
                <w:color w:val="000000"/>
                <w:lang w:val="en-GB" w:eastAsia="hr-HR"/>
              </w:rPr>
              <w:t xml:space="preserve"> effective interest rate method</w:t>
            </w:r>
          </w:p>
        </w:tc>
        <w:tc>
          <w:tcPr>
            <w:tcW w:w="1588" w:type="dxa"/>
            <w:tcBorders>
              <w:top w:val="single" w:sz="4" w:space="0" w:color="auto"/>
              <w:left w:val="nil"/>
              <w:bottom w:val="single" w:sz="4" w:space="0" w:color="auto"/>
              <w:right w:val="nil"/>
            </w:tcBorders>
            <w:vAlign w:val="center"/>
          </w:tcPr>
          <w:p w14:paraId="6DA88058" w14:textId="79A17046" w:rsidR="00EE507D" w:rsidRPr="00E06F74" w:rsidRDefault="00EE507D" w:rsidP="00EE507D">
            <w:pPr>
              <w:spacing w:after="0"/>
              <w:jc w:val="right"/>
              <w:rPr>
                <w:rFonts w:cstheme="minorHAnsi"/>
                <w:color w:val="000000"/>
                <w:lang w:val="en-GB" w:eastAsia="hr-HR"/>
              </w:rPr>
            </w:pPr>
            <w:r w:rsidRPr="00417DA4">
              <w:t>312</w:t>
            </w:r>
            <w:r>
              <w:t>.</w:t>
            </w:r>
            <w:r w:rsidRPr="00417DA4">
              <w:t>1</w:t>
            </w:r>
          </w:p>
        </w:tc>
        <w:tc>
          <w:tcPr>
            <w:tcW w:w="1755" w:type="dxa"/>
            <w:tcBorders>
              <w:top w:val="single" w:sz="4" w:space="0" w:color="auto"/>
              <w:left w:val="nil"/>
              <w:bottom w:val="single" w:sz="4" w:space="0" w:color="auto"/>
              <w:right w:val="nil"/>
            </w:tcBorders>
            <w:shd w:val="clear" w:color="auto" w:fill="FFFFFF"/>
            <w:vAlign w:val="center"/>
          </w:tcPr>
          <w:p w14:paraId="7450A7DA" w14:textId="252E6EC2" w:rsidR="00EE507D" w:rsidRPr="00E06F74" w:rsidRDefault="00EE507D" w:rsidP="00EE507D">
            <w:pPr>
              <w:spacing w:after="0"/>
              <w:jc w:val="right"/>
              <w:rPr>
                <w:rFonts w:cstheme="minorHAnsi"/>
                <w:color w:val="000000"/>
                <w:lang w:val="en-GB" w:eastAsia="hr-HR"/>
              </w:rPr>
            </w:pPr>
            <w:r w:rsidRPr="004D574D">
              <w:t>338</w:t>
            </w:r>
            <w:r w:rsidR="001C5AF7">
              <w:t>.</w:t>
            </w:r>
            <w:r w:rsidRPr="004D574D">
              <w:t>0</w:t>
            </w:r>
          </w:p>
        </w:tc>
        <w:tc>
          <w:tcPr>
            <w:tcW w:w="1695" w:type="dxa"/>
            <w:tcBorders>
              <w:top w:val="single" w:sz="4" w:space="0" w:color="000000"/>
              <w:left w:val="nil"/>
              <w:bottom w:val="single" w:sz="4" w:space="0" w:color="000000"/>
              <w:right w:val="single" w:sz="4" w:space="0" w:color="auto"/>
            </w:tcBorders>
            <w:vAlign w:val="center"/>
          </w:tcPr>
          <w:p w14:paraId="55444803" w14:textId="5B5B559F" w:rsidR="00EE507D" w:rsidRPr="00E06F74" w:rsidRDefault="00EE507D" w:rsidP="00EE507D">
            <w:pPr>
              <w:spacing w:after="0"/>
              <w:ind w:right="113"/>
              <w:jc w:val="right"/>
              <w:rPr>
                <w:rFonts w:cstheme="minorHAnsi"/>
                <w:color w:val="000000"/>
                <w:lang w:val="en-GB" w:eastAsia="hr-HR"/>
              </w:rPr>
            </w:pPr>
            <w:r w:rsidRPr="00811414">
              <w:t>329</w:t>
            </w:r>
            <w:r w:rsidR="003037DC">
              <w:t>.</w:t>
            </w:r>
            <w:r w:rsidRPr="00811414">
              <w:t>0</w:t>
            </w:r>
          </w:p>
        </w:tc>
      </w:tr>
      <w:tr w:rsidR="00EE507D" w:rsidRPr="001E784A" w14:paraId="17CCE75A" w14:textId="77777777" w:rsidTr="000B626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7B9325D2" w14:textId="77777777" w:rsidR="00EE507D" w:rsidRPr="00E06F74" w:rsidRDefault="00EE507D" w:rsidP="00EE507D">
            <w:pPr>
              <w:spacing w:after="0"/>
              <w:rPr>
                <w:rFonts w:cstheme="minorHAnsi"/>
                <w:b/>
                <w:bCs/>
                <w:color w:val="000000"/>
                <w:lang w:val="en-GB" w:eastAsia="hr-HR"/>
              </w:rPr>
            </w:pPr>
            <w:r w:rsidRPr="00E06F74">
              <w:rPr>
                <w:rFonts w:cstheme="minorHAnsi"/>
                <w:b/>
                <w:bCs/>
                <w:color w:val="000000"/>
                <w:lang w:val="en-GB" w:eastAsia="hr-HR"/>
              </w:rPr>
              <w:t xml:space="preserve">Interest expense </w:t>
            </w:r>
          </w:p>
        </w:tc>
        <w:tc>
          <w:tcPr>
            <w:tcW w:w="1588" w:type="dxa"/>
            <w:tcBorders>
              <w:top w:val="single" w:sz="4" w:space="0" w:color="auto"/>
              <w:left w:val="nil"/>
              <w:bottom w:val="single" w:sz="4" w:space="0" w:color="auto"/>
              <w:right w:val="nil"/>
            </w:tcBorders>
            <w:vAlign w:val="center"/>
          </w:tcPr>
          <w:p w14:paraId="571EDE8D" w14:textId="099CE801" w:rsidR="00EE507D" w:rsidRPr="00E06F74" w:rsidRDefault="003037DC" w:rsidP="00EE507D">
            <w:pPr>
              <w:spacing w:after="0"/>
              <w:jc w:val="right"/>
              <w:rPr>
                <w:rFonts w:cstheme="minorHAnsi"/>
                <w:color w:val="000000"/>
                <w:lang w:val="en-GB" w:eastAsia="hr-HR"/>
              </w:rPr>
            </w:pPr>
            <w:r>
              <w:t>(</w:t>
            </w:r>
            <w:r w:rsidR="00EE507D" w:rsidRPr="00417DA4">
              <w:t>134</w:t>
            </w:r>
            <w:r w:rsidR="001C5AF7">
              <w:t>.</w:t>
            </w:r>
            <w:r w:rsidR="00EE507D" w:rsidRPr="00417DA4">
              <w:t>4</w:t>
            </w:r>
            <w:r>
              <w:t>)</w:t>
            </w:r>
          </w:p>
        </w:tc>
        <w:tc>
          <w:tcPr>
            <w:tcW w:w="1755" w:type="dxa"/>
            <w:tcBorders>
              <w:top w:val="single" w:sz="4" w:space="0" w:color="auto"/>
              <w:left w:val="nil"/>
              <w:bottom w:val="single" w:sz="4" w:space="0" w:color="auto"/>
              <w:right w:val="nil"/>
            </w:tcBorders>
            <w:vAlign w:val="center"/>
          </w:tcPr>
          <w:p w14:paraId="564CAB67" w14:textId="39F55267" w:rsidR="00EE507D" w:rsidRPr="00E06F74" w:rsidRDefault="00EE507D" w:rsidP="00EE507D">
            <w:pPr>
              <w:spacing w:after="0"/>
              <w:jc w:val="right"/>
              <w:rPr>
                <w:rFonts w:cstheme="minorHAnsi"/>
                <w:color w:val="000000"/>
                <w:lang w:val="en-GB" w:eastAsia="hr-HR"/>
              </w:rPr>
            </w:pPr>
            <w:r w:rsidRPr="004D574D">
              <w:t>(97</w:t>
            </w:r>
            <w:r w:rsidR="001C5AF7">
              <w:t>.</w:t>
            </w:r>
            <w:r w:rsidRPr="004D574D">
              <w:t>2)</w:t>
            </w:r>
          </w:p>
        </w:tc>
        <w:tc>
          <w:tcPr>
            <w:tcW w:w="1695" w:type="dxa"/>
            <w:tcBorders>
              <w:top w:val="single" w:sz="4" w:space="0" w:color="000000"/>
              <w:left w:val="nil"/>
              <w:bottom w:val="single" w:sz="4" w:space="0" w:color="000000"/>
              <w:right w:val="single" w:sz="4" w:space="0" w:color="auto"/>
            </w:tcBorders>
            <w:vAlign w:val="center"/>
          </w:tcPr>
          <w:p w14:paraId="565862A3" w14:textId="7CB2860B" w:rsidR="00EE507D" w:rsidRPr="00E06F74" w:rsidRDefault="00EE507D" w:rsidP="00EE507D">
            <w:pPr>
              <w:spacing w:after="0"/>
              <w:ind w:right="113"/>
              <w:jc w:val="right"/>
              <w:rPr>
                <w:rFonts w:cstheme="minorHAnsi"/>
                <w:color w:val="000000"/>
                <w:lang w:val="en-GB" w:eastAsia="hr-HR"/>
              </w:rPr>
            </w:pPr>
            <w:r w:rsidRPr="00811414">
              <w:t>(79</w:t>
            </w:r>
            <w:r w:rsidR="003037DC">
              <w:t>.</w:t>
            </w:r>
            <w:r w:rsidRPr="00811414">
              <w:t>4)</w:t>
            </w:r>
          </w:p>
        </w:tc>
      </w:tr>
      <w:tr w:rsidR="00EE507D" w:rsidRPr="001E784A" w14:paraId="22608B1C" w14:textId="77777777" w:rsidTr="000B6268">
        <w:trPr>
          <w:trHeight w:val="437"/>
          <w:jc w:val="center"/>
        </w:trPr>
        <w:tc>
          <w:tcPr>
            <w:tcW w:w="3456"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tcPr>
          <w:p w14:paraId="2AD41CE5" w14:textId="77777777" w:rsidR="00EE507D" w:rsidRPr="00E06F74" w:rsidRDefault="00EE507D" w:rsidP="00EE507D">
            <w:pPr>
              <w:spacing w:after="0"/>
              <w:rPr>
                <w:rFonts w:cstheme="minorHAnsi"/>
                <w:b/>
                <w:bCs/>
                <w:color w:val="000000"/>
                <w:lang w:val="en-GB" w:eastAsia="hr-HR"/>
              </w:rPr>
            </w:pPr>
            <w:r w:rsidRPr="00E06F74">
              <w:rPr>
                <w:rFonts w:cstheme="minorHAnsi"/>
                <w:b/>
                <w:bCs/>
                <w:color w:val="000000"/>
                <w:lang w:val="en-GB" w:eastAsia="hr-HR"/>
              </w:rPr>
              <w:t xml:space="preserve">Net interest income </w:t>
            </w:r>
          </w:p>
        </w:tc>
        <w:tc>
          <w:tcPr>
            <w:tcW w:w="1588" w:type="dxa"/>
            <w:tcBorders>
              <w:top w:val="single" w:sz="4" w:space="0" w:color="auto"/>
              <w:left w:val="nil"/>
              <w:bottom w:val="single" w:sz="4" w:space="0" w:color="auto"/>
              <w:right w:val="nil"/>
            </w:tcBorders>
            <w:vAlign w:val="center"/>
          </w:tcPr>
          <w:p w14:paraId="266555AF" w14:textId="5E437FA2" w:rsidR="00EE507D" w:rsidRPr="00E06F74" w:rsidRDefault="00EE507D" w:rsidP="00EE507D">
            <w:pPr>
              <w:spacing w:after="0"/>
              <w:jc w:val="right"/>
              <w:rPr>
                <w:rFonts w:cstheme="minorHAnsi"/>
                <w:color w:val="000000"/>
                <w:lang w:val="en-GB" w:eastAsia="hr-HR"/>
              </w:rPr>
            </w:pPr>
            <w:r w:rsidRPr="00417DA4">
              <w:t>177</w:t>
            </w:r>
            <w:r w:rsidR="001C5AF7">
              <w:t>.</w:t>
            </w:r>
            <w:r w:rsidRPr="00417DA4">
              <w:t>7</w:t>
            </w:r>
          </w:p>
        </w:tc>
        <w:tc>
          <w:tcPr>
            <w:tcW w:w="1755" w:type="dxa"/>
            <w:tcBorders>
              <w:top w:val="single" w:sz="4" w:space="0" w:color="auto"/>
              <w:left w:val="nil"/>
              <w:bottom w:val="single" w:sz="4" w:space="0" w:color="auto"/>
              <w:right w:val="nil"/>
            </w:tcBorders>
            <w:shd w:val="clear" w:color="auto" w:fill="FFFFFF"/>
            <w:vAlign w:val="center"/>
          </w:tcPr>
          <w:p w14:paraId="1894E1E9" w14:textId="7629734A" w:rsidR="00EE507D" w:rsidRPr="00E06F74" w:rsidRDefault="00EE507D" w:rsidP="00EE507D">
            <w:pPr>
              <w:spacing w:after="0"/>
              <w:jc w:val="right"/>
              <w:rPr>
                <w:rFonts w:cstheme="minorHAnsi"/>
                <w:color w:val="000000"/>
                <w:lang w:val="en-GB" w:eastAsia="hr-HR"/>
              </w:rPr>
            </w:pPr>
            <w:r w:rsidRPr="004D574D">
              <w:t>240</w:t>
            </w:r>
            <w:r w:rsidR="001C5AF7">
              <w:t>.</w:t>
            </w:r>
            <w:r w:rsidRPr="004D574D">
              <w:t>8</w:t>
            </w:r>
          </w:p>
        </w:tc>
        <w:tc>
          <w:tcPr>
            <w:tcW w:w="1695" w:type="dxa"/>
            <w:tcBorders>
              <w:top w:val="single" w:sz="4" w:space="0" w:color="000000"/>
              <w:left w:val="nil"/>
              <w:bottom w:val="single" w:sz="4" w:space="0" w:color="000000"/>
              <w:right w:val="single" w:sz="4" w:space="0" w:color="auto"/>
            </w:tcBorders>
            <w:vAlign w:val="center"/>
          </w:tcPr>
          <w:p w14:paraId="22AB5820" w14:textId="4AAE1FA7" w:rsidR="00EE507D" w:rsidRPr="00E06F74" w:rsidRDefault="00EE507D" w:rsidP="00EE507D">
            <w:pPr>
              <w:spacing w:after="0"/>
              <w:ind w:right="113"/>
              <w:jc w:val="right"/>
              <w:rPr>
                <w:rFonts w:cstheme="minorHAnsi"/>
                <w:color w:val="000000"/>
                <w:lang w:val="en-GB" w:eastAsia="hr-HR"/>
              </w:rPr>
            </w:pPr>
            <w:r w:rsidRPr="00811414">
              <w:t>249</w:t>
            </w:r>
            <w:r w:rsidR="003037DC">
              <w:t>.</w:t>
            </w:r>
            <w:r w:rsidRPr="00811414">
              <w:t>6</w:t>
            </w:r>
          </w:p>
        </w:tc>
      </w:tr>
    </w:tbl>
    <w:p w14:paraId="53508816" w14:textId="53818896" w:rsidR="006D482A" w:rsidRDefault="006D482A"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25CAC597" w14:textId="1CA3F5DC" w:rsidR="00B57CA1" w:rsidRDefault="00414671"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2F595673" wp14:editId="73FD2F1F">
            <wp:extent cx="2852749" cy="2050108"/>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264" cy="2055509"/>
                    </a:xfrm>
                    <a:prstGeom prst="rect">
                      <a:avLst/>
                    </a:prstGeom>
                    <a:noFill/>
                  </pic:spPr>
                </pic:pic>
              </a:graphicData>
            </a:graphic>
          </wp:inline>
        </w:drawing>
      </w:r>
      <w:r w:rsidR="00085CBD">
        <w:rPr>
          <w:rFonts w:eastAsia="Times New Roman" w:cs="Calibri"/>
          <w:b/>
          <w:caps/>
          <w:spacing w:val="-3"/>
          <w:szCs w:val="26"/>
          <w:lang w:val="en-GB" w:eastAsia="hr-HR"/>
        </w:rPr>
        <w:t xml:space="preserve">     </w:t>
      </w:r>
      <w:r w:rsidR="00085CBD">
        <w:rPr>
          <w:rFonts w:eastAsia="Times New Roman" w:cs="Calibri"/>
          <w:b/>
          <w:caps/>
          <w:noProof/>
          <w:spacing w:val="-3"/>
          <w:szCs w:val="26"/>
          <w:lang w:val="en-GB" w:eastAsia="hr-HR"/>
        </w:rPr>
        <w:drawing>
          <wp:inline distT="0" distB="0" distL="0" distR="0" wp14:anchorId="7A2090E2" wp14:editId="42A2EA08">
            <wp:extent cx="2857806" cy="2053743"/>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8501" cy="2061429"/>
                    </a:xfrm>
                    <a:prstGeom prst="rect">
                      <a:avLst/>
                    </a:prstGeom>
                    <a:noFill/>
                  </pic:spPr>
                </pic:pic>
              </a:graphicData>
            </a:graphic>
          </wp:inline>
        </w:drawing>
      </w:r>
    </w:p>
    <w:p w14:paraId="591BB3E4" w14:textId="77777777" w:rsidR="00173F9B" w:rsidRDefault="00173F9B"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6D92657E" w14:textId="58EEE2D1" w:rsidR="00414671" w:rsidRDefault="00173F9B" w:rsidP="001D2396">
      <w:pPr>
        <w:tabs>
          <w:tab w:val="left" w:pos="-720"/>
          <w:tab w:val="left" w:pos="426"/>
        </w:tabs>
        <w:suppressAutoHyphens/>
        <w:spacing w:after="0" w:line="240" w:lineRule="auto"/>
        <w:jc w:val="both"/>
        <w:rPr>
          <w:rFonts w:eastAsia="Times New Roman" w:cs="Calibri"/>
          <w:b/>
          <w:caps/>
          <w:noProof/>
          <w:spacing w:val="-3"/>
          <w:szCs w:val="26"/>
          <w:lang w:val="en-GB" w:eastAsia="hr-HR"/>
        </w:rPr>
      </w:pPr>
      <w:r>
        <w:rPr>
          <w:rFonts w:eastAsia="Times New Roman" w:cs="Calibri"/>
          <w:b/>
          <w:caps/>
          <w:noProof/>
          <w:spacing w:val="-3"/>
          <w:szCs w:val="26"/>
          <w:lang w:val="en-GB" w:eastAsia="hr-HR"/>
        </w:rPr>
        <w:drawing>
          <wp:inline distT="0" distB="0" distL="0" distR="0" wp14:anchorId="77FC6075" wp14:editId="778FEBB4">
            <wp:extent cx="2852344" cy="196469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9401" cy="1990215"/>
                    </a:xfrm>
                    <a:prstGeom prst="rect">
                      <a:avLst/>
                    </a:prstGeom>
                    <a:noFill/>
                  </pic:spPr>
                </pic:pic>
              </a:graphicData>
            </a:graphic>
          </wp:inline>
        </w:drawing>
      </w:r>
      <w:r>
        <w:rPr>
          <w:rFonts w:eastAsia="Times New Roman" w:cs="Calibri"/>
          <w:b/>
          <w:caps/>
          <w:noProof/>
          <w:spacing w:val="-3"/>
          <w:szCs w:val="26"/>
          <w:lang w:val="en-GB" w:eastAsia="hr-HR"/>
        </w:rPr>
        <w:t xml:space="preserve">     </w:t>
      </w:r>
      <w:r w:rsidR="00B57CA1">
        <w:rPr>
          <w:rFonts w:eastAsia="Times New Roman" w:cs="Calibri"/>
          <w:b/>
          <w:caps/>
          <w:noProof/>
          <w:spacing w:val="-3"/>
          <w:szCs w:val="26"/>
          <w:lang w:val="en-GB" w:eastAsia="hr-HR"/>
        </w:rPr>
        <w:drawing>
          <wp:inline distT="0" distB="0" distL="0" distR="0" wp14:anchorId="2346D927" wp14:editId="1A95D816">
            <wp:extent cx="2905125" cy="19854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522" cy="2021282"/>
                    </a:xfrm>
                    <a:prstGeom prst="rect">
                      <a:avLst/>
                    </a:prstGeom>
                    <a:noFill/>
                  </pic:spPr>
                </pic:pic>
              </a:graphicData>
            </a:graphic>
          </wp:inline>
        </w:drawing>
      </w:r>
    </w:p>
    <w:p w14:paraId="652CF262" w14:textId="4486E05A" w:rsidR="003E6652" w:rsidRDefault="003E6652" w:rsidP="001D2396">
      <w:pPr>
        <w:tabs>
          <w:tab w:val="left" w:pos="-720"/>
          <w:tab w:val="left" w:pos="426"/>
        </w:tabs>
        <w:suppressAutoHyphens/>
        <w:spacing w:after="0" w:line="240" w:lineRule="auto"/>
        <w:jc w:val="both"/>
        <w:rPr>
          <w:rFonts w:eastAsia="Times New Roman" w:cs="Calibri"/>
          <w:b/>
          <w:caps/>
          <w:spacing w:val="-3"/>
          <w:szCs w:val="26"/>
          <w:lang w:val="en-GB" w:eastAsia="hr-HR"/>
        </w:rPr>
        <w:sectPr w:rsidR="003E6652" w:rsidSect="00811935">
          <w:footerReference w:type="default" r:id="rId16"/>
          <w:footerReference w:type="first" r:id="rId17"/>
          <w:pgSz w:w="11906" w:h="16838" w:code="9"/>
          <w:pgMar w:top="-383" w:right="1134" w:bottom="567" w:left="1418" w:header="709" w:footer="709" w:gutter="0"/>
          <w:pgNumType w:start="4"/>
          <w:cols w:space="708"/>
          <w:titlePg/>
          <w:docGrid w:linePitch="360"/>
        </w:sectPr>
      </w:pPr>
    </w:p>
    <w:p w14:paraId="7D2C795D" w14:textId="5193CB2F" w:rsidR="00A22253" w:rsidRDefault="001A1DF0"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Pr>
          <w:rFonts w:eastAsia="Times New Roman" w:cs="Calibri"/>
          <w:b/>
          <w:caps/>
          <w:noProof/>
          <w:spacing w:val="-3"/>
          <w:szCs w:val="26"/>
          <w:lang w:val="en-GB" w:eastAsia="hr-HR"/>
        </w:rPr>
        <w:t xml:space="preserve"> </w:t>
      </w: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47627B56"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In the period 1 January – 3</w:t>
      </w:r>
      <w:r w:rsidR="00880354">
        <w:rPr>
          <w:rFonts w:cstheme="minorHAnsi"/>
          <w:sz w:val="24"/>
          <w:szCs w:val="24"/>
          <w:lang w:val="en-GB"/>
        </w:rPr>
        <w:t>0</w:t>
      </w:r>
      <w:r w:rsidRPr="0005777B">
        <w:rPr>
          <w:rFonts w:cstheme="minorHAnsi"/>
          <w:sz w:val="24"/>
          <w:szCs w:val="24"/>
          <w:lang w:val="en-GB"/>
        </w:rPr>
        <w:t xml:space="preserve"> </w:t>
      </w:r>
      <w:r w:rsidR="00880354">
        <w:rPr>
          <w:rFonts w:cstheme="minorHAnsi"/>
          <w:sz w:val="24"/>
          <w:szCs w:val="24"/>
          <w:lang w:val="en-GB"/>
        </w:rPr>
        <w:t>June</w:t>
      </w:r>
      <w:r w:rsidRPr="0005777B">
        <w:rPr>
          <w:rFonts w:cstheme="minorHAnsi"/>
          <w:sz w:val="24"/>
          <w:szCs w:val="24"/>
          <w:lang w:val="en-GB"/>
        </w:rPr>
        <w:t xml:space="preserve"> </w:t>
      </w:r>
      <w:r w:rsidR="001101C0" w:rsidRPr="00041197">
        <w:rPr>
          <w:rFonts w:cstheme="minorHAnsi"/>
          <w:sz w:val="24"/>
          <w:szCs w:val="24"/>
          <w:lang w:val="en-GB"/>
        </w:rPr>
        <w:t>20</w:t>
      </w:r>
      <w:r w:rsidR="00C02F4E">
        <w:rPr>
          <w:rFonts w:cstheme="minorHAnsi"/>
          <w:sz w:val="24"/>
          <w:szCs w:val="24"/>
          <w:lang w:val="en-GB"/>
        </w:rPr>
        <w:t>2</w:t>
      </w:r>
      <w:r w:rsidR="00B94AE8">
        <w:rPr>
          <w:rFonts w:cstheme="minorHAnsi"/>
          <w:sz w:val="24"/>
          <w:szCs w:val="24"/>
          <w:lang w:val="en-GB"/>
        </w:rPr>
        <w:t>2</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F42D38">
        <w:rPr>
          <w:rFonts w:cstheme="minorHAnsi"/>
          <w:sz w:val="24"/>
          <w:szCs w:val="24"/>
          <w:lang w:val="en-GB"/>
        </w:rPr>
        <w:t>3</w:t>
      </w:r>
      <w:r w:rsidR="00BD500F">
        <w:rPr>
          <w:rFonts w:cstheme="minorHAnsi"/>
          <w:sz w:val="24"/>
          <w:szCs w:val="24"/>
          <w:lang w:val="en-GB"/>
        </w:rPr>
        <w:t>72.1</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7DD0FA5B"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80354">
        <w:rPr>
          <w:rFonts w:cstheme="minorHAnsi"/>
          <w:sz w:val="24"/>
          <w:szCs w:val="24"/>
          <w:lang w:val="en-GB"/>
        </w:rPr>
        <w:t>June</w:t>
      </w:r>
      <w:r w:rsidR="00880354" w:rsidRPr="0005777B">
        <w:rPr>
          <w:rFonts w:cstheme="minorHAnsi"/>
          <w:sz w:val="24"/>
          <w:szCs w:val="24"/>
          <w:lang w:val="en-GB"/>
        </w:rPr>
        <w:t xml:space="preserve"> </w:t>
      </w:r>
      <w:r>
        <w:rPr>
          <w:rFonts w:cstheme="minorHAnsi"/>
          <w:sz w:val="24"/>
          <w:szCs w:val="24"/>
          <w:lang w:val="en-GB"/>
        </w:rPr>
        <w:t>20</w:t>
      </w:r>
      <w:r w:rsidR="00C66DD7">
        <w:rPr>
          <w:rFonts w:cstheme="minorHAnsi"/>
          <w:sz w:val="24"/>
          <w:szCs w:val="24"/>
          <w:lang w:val="en-GB"/>
        </w:rPr>
        <w:t>2</w:t>
      </w:r>
      <w:r w:rsidR="00BD500F">
        <w:rPr>
          <w:rFonts w:cstheme="minorHAnsi"/>
          <w:sz w:val="24"/>
          <w:szCs w:val="24"/>
          <w:lang w:val="en-GB"/>
        </w:rPr>
        <w:t>2</w:t>
      </w:r>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F42D38">
        <w:rPr>
          <w:rFonts w:cstheme="minorHAnsi"/>
          <w:sz w:val="24"/>
          <w:szCs w:val="24"/>
          <w:lang w:val="en-GB"/>
        </w:rPr>
        <w:t>5</w:t>
      </w:r>
      <w:r w:rsidR="00142A9D">
        <w:rPr>
          <w:rFonts w:cstheme="minorHAnsi"/>
          <w:sz w:val="24"/>
          <w:szCs w:val="24"/>
          <w:lang w:val="en-GB"/>
        </w:rPr>
        <w:t>66</w:t>
      </w:r>
      <w:r w:rsidR="00914021" w:rsidRPr="00041197">
        <w:rPr>
          <w:rFonts w:cstheme="minorHAnsi"/>
          <w:sz w:val="24"/>
          <w:szCs w:val="24"/>
          <w:lang w:val="en-GB"/>
        </w:rPr>
        <w:t>.</w:t>
      </w:r>
      <w:r w:rsidR="00142A9D">
        <w:rPr>
          <w:rFonts w:cstheme="minorHAnsi"/>
          <w:sz w:val="24"/>
          <w:szCs w:val="24"/>
          <w:lang w:val="en-GB"/>
        </w:rPr>
        <w:t>4</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F42D38">
        <w:rPr>
          <w:rFonts w:cstheme="minorHAnsi"/>
          <w:sz w:val="24"/>
          <w:szCs w:val="24"/>
          <w:lang w:val="en-GB"/>
        </w:rPr>
        <w:t>19</w:t>
      </w:r>
      <w:r w:rsidR="00142A9D">
        <w:rPr>
          <w:rFonts w:cstheme="minorHAnsi"/>
          <w:sz w:val="24"/>
          <w:szCs w:val="24"/>
          <w:lang w:val="en-GB"/>
        </w:rPr>
        <w:t>4</w:t>
      </w:r>
      <w:r>
        <w:rPr>
          <w:rFonts w:cstheme="minorHAnsi"/>
          <w:sz w:val="24"/>
          <w:szCs w:val="24"/>
          <w:lang w:val="en-GB"/>
        </w:rPr>
        <w:t>.</w:t>
      </w:r>
      <w:r w:rsidR="00142A9D">
        <w:rPr>
          <w:rFonts w:cstheme="minorHAnsi"/>
          <w:sz w:val="24"/>
          <w:szCs w:val="24"/>
          <w:lang w:val="en-GB"/>
        </w:rPr>
        <w:t>3</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55241955"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sidR="00F42D38">
        <w:rPr>
          <w:rFonts w:cstheme="minorHAnsi"/>
          <w:sz w:val="24"/>
          <w:szCs w:val="24"/>
          <w:lang w:val="en-GB"/>
        </w:rPr>
        <w:t>in</w:t>
      </w:r>
      <w:r>
        <w:rPr>
          <w:rFonts w:cstheme="minorHAnsi"/>
          <w:sz w:val="24"/>
          <w:szCs w:val="24"/>
          <w:lang w:val="en-GB"/>
        </w:rPr>
        <w:t>creased by</w:t>
      </w:r>
      <w:r w:rsidR="00794772" w:rsidRPr="00041197">
        <w:rPr>
          <w:rFonts w:cstheme="minorHAnsi"/>
          <w:sz w:val="24"/>
          <w:szCs w:val="24"/>
          <w:lang w:val="en-GB"/>
        </w:rPr>
        <w:t xml:space="preserve"> </w:t>
      </w:r>
      <w:r w:rsidR="00142A9D">
        <w:rPr>
          <w:rFonts w:cstheme="minorHAnsi"/>
          <w:sz w:val="24"/>
          <w:szCs w:val="24"/>
          <w:lang w:val="en-GB"/>
        </w:rPr>
        <w:t>11</w:t>
      </w:r>
      <w:r w:rsidR="001805FF">
        <w:rPr>
          <w:rFonts w:cstheme="minorHAnsi"/>
          <w:sz w:val="24"/>
          <w:szCs w:val="24"/>
          <w:lang w:val="en-GB"/>
        </w:rPr>
        <w:t>.</w:t>
      </w:r>
      <w:r w:rsidR="00B756CA">
        <w:rPr>
          <w:rFonts w:cstheme="minorHAnsi"/>
          <w:sz w:val="24"/>
          <w:szCs w:val="24"/>
          <w:lang w:val="en-GB"/>
        </w:rPr>
        <w:t>1</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whereas total expenses</w:t>
      </w:r>
      <w:r w:rsidR="003A289A">
        <w:rPr>
          <w:rFonts w:cstheme="minorHAnsi"/>
          <w:sz w:val="24"/>
          <w:szCs w:val="24"/>
          <w:lang w:val="en-GB"/>
        </w:rPr>
        <w:t xml:space="preserve"> </w:t>
      </w:r>
      <w:r w:rsidR="008E50F6">
        <w:rPr>
          <w:rFonts w:cstheme="minorHAnsi"/>
          <w:sz w:val="24"/>
          <w:szCs w:val="24"/>
          <w:lang w:val="en-GB"/>
        </w:rPr>
        <w:t>decreased</w:t>
      </w:r>
      <w:r w:rsidRPr="0005777B">
        <w:rPr>
          <w:rFonts w:cstheme="minorHAnsi"/>
          <w:sz w:val="24"/>
          <w:szCs w:val="24"/>
          <w:lang w:val="en-GB"/>
        </w:rPr>
        <w:t xml:space="preserve"> by </w:t>
      </w:r>
      <w:r w:rsidR="00B756CA">
        <w:rPr>
          <w:rFonts w:cstheme="minorHAnsi"/>
          <w:sz w:val="24"/>
          <w:szCs w:val="24"/>
          <w:lang w:val="en-GB"/>
        </w:rPr>
        <w:t>1.4</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651D33AE"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w:t>
      </w:r>
      <w:proofErr w:type="gramStart"/>
      <w:r w:rsidRPr="0005777B">
        <w:rPr>
          <w:rFonts w:cstheme="minorHAnsi"/>
          <w:sz w:val="24"/>
          <w:szCs w:val="24"/>
          <w:lang w:val="en-GB"/>
        </w:rPr>
        <w:t>i.e.</w:t>
      </w:r>
      <w:proofErr w:type="gramEnd"/>
      <w:r w:rsidRPr="0005777B">
        <w:rPr>
          <w:rFonts w:cstheme="minorHAnsi"/>
          <w:sz w:val="24"/>
          <w:szCs w:val="24"/>
          <w:lang w:val="en-GB"/>
        </w:rPr>
        <w:t xml:space="preserve"> </w:t>
      </w:r>
      <w:r w:rsidR="00524200">
        <w:rPr>
          <w:rFonts w:cstheme="minorHAnsi"/>
          <w:sz w:val="24"/>
          <w:szCs w:val="24"/>
          <w:lang w:val="en-GB"/>
        </w:rPr>
        <w:t>58</w:t>
      </w:r>
      <w:r w:rsidR="001805FF">
        <w:rPr>
          <w:rFonts w:cstheme="minorHAnsi"/>
          <w:sz w:val="24"/>
          <w:szCs w:val="24"/>
          <w:lang w:val="en-GB"/>
        </w:rPr>
        <w:t>.</w:t>
      </w:r>
      <w:r w:rsidR="00524200">
        <w:rPr>
          <w:rFonts w:cstheme="minorHAnsi"/>
          <w:sz w:val="24"/>
          <w:szCs w:val="24"/>
          <w:lang w:val="en-GB"/>
        </w:rPr>
        <w:t>1</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interest income as a result of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0FEB79E9" w:rsidR="00794772" w:rsidRPr="00041197" w:rsidRDefault="00E842F7" w:rsidP="00794772">
      <w:pPr>
        <w:spacing w:after="0" w:line="240" w:lineRule="auto"/>
        <w:jc w:val="both"/>
        <w:rPr>
          <w:rFonts w:cstheme="minorHAnsi"/>
          <w:sz w:val="24"/>
          <w:szCs w:val="24"/>
          <w:lang w:val="en-GB"/>
        </w:rPr>
      </w:pPr>
      <w:proofErr w:type="gramStart"/>
      <w:r w:rsidRPr="0005777B">
        <w:rPr>
          <w:rFonts w:cstheme="minorHAnsi"/>
          <w:sz w:val="24"/>
          <w:szCs w:val="24"/>
          <w:lang w:val="en-GB"/>
        </w:rPr>
        <w:t>The</w:t>
      </w:r>
      <w:proofErr w:type="gramEnd"/>
      <w:r w:rsidRPr="0005777B">
        <w:rPr>
          <w:rFonts w:cstheme="minorHAnsi"/>
          <w:sz w:val="24"/>
          <w:szCs w:val="24"/>
          <w:lang w:val="en-GB"/>
        </w:rPr>
        <w:t xml:space="preserve"> major part of total expenses, i.e.</w:t>
      </w:r>
      <w:r>
        <w:rPr>
          <w:rFonts w:cstheme="minorHAnsi"/>
          <w:sz w:val="24"/>
          <w:szCs w:val="24"/>
          <w:lang w:val="en-GB"/>
        </w:rPr>
        <w:t xml:space="preserve"> </w:t>
      </w:r>
      <w:r w:rsidR="00014F0B">
        <w:rPr>
          <w:rFonts w:cstheme="minorHAnsi"/>
          <w:sz w:val="24"/>
          <w:szCs w:val="24"/>
          <w:lang w:val="en-GB"/>
        </w:rPr>
        <w:t>58.1</w:t>
      </w:r>
      <w:r>
        <w:rPr>
          <w:rFonts w:cstheme="minorHAnsi"/>
          <w:sz w:val="24"/>
          <w:szCs w:val="24"/>
          <w:lang w:val="en-GB"/>
        </w:rPr>
        <w:t xml:space="preserve"> percent</w:t>
      </w:r>
      <w:r w:rsidR="00794772" w:rsidRPr="00041197">
        <w:rPr>
          <w:rFonts w:cstheme="minorHAnsi"/>
          <w:sz w:val="24"/>
          <w:szCs w:val="24"/>
          <w:lang w:val="en-GB"/>
        </w:rPr>
        <w:t xml:space="preserve">, </w:t>
      </w:r>
      <w:r>
        <w:rPr>
          <w:rFonts w:cstheme="minorHAnsi"/>
          <w:sz w:val="24"/>
          <w:szCs w:val="24"/>
          <w:lang w:val="en-GB"/>
        </w:rPr>
        <w:t xml:space="preserve">relates to </w:t>
      </w:r>
      <w:r w:rsidR="00DE0A81" w:rsidRPr="00340396">
        <w:rPr>
          <w:rFonts w:cstheme="minorHAnsi"/>
          <w:sz w:val="24"/>
          <w:szCs w:val="24"/>
          <w:lang w:val="en-GB"/>
        </w:rPr>
        <w:t xml:space="preserve">operating expenses </w:t>
      </w:r>
      <w:r>
        <w:rPr>
          <w:rFonts w:cstheme="minorHAnsi"/>
          <w:sz w:val="24"/>
          <w:szCs w:val="24"/>
          <w:lang w:val="en-GB"/>
        </w:rPr>
        <w:t>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2D61CE6A"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The consolidated operating expenses in the period 1 January – 3</w:t>
      </w:r>
      <w:r w:rsidR="002277BB">
        <w:rPr>
          <w:rFonts w:cstheme="minorHAnsi"/>
          <w:sz w:val="24"/>
          <w:szCs w:val="24"/>
          <w:lang w:val="en-GB"/>
        </w:rPr>
        <w:t>0</w:t>
      </w:r>
      <w:r w:rsidRPr="0005777B">
        <w:rPr>
          <w:rFonts w:cstheme="minorHAnsi"/>
          <w:sz w:val="24"/>
          <w:szCs w:val="24"/>
          <w:lang w:val="en-GB"/>
        </w:rPr>
        <w:t xml:space="preserve"> </w:t>
      </w:r>
      <w:r w:rsidR="002277BB">
        <w:rPr>
          <w:rFonts w:cstheme="minorHAnsi"/>
          <w:sz w:val="24"/>
          <w:szCs w:val="24"/>
          <w:lang w:val="en-GB"/>
        </w:rPr>
        <w:t>June</w:t>
      </w:r>
      <w:r w:rsidRPr="0005777B">
        <w:rPr>
          <w:rFonts w:cstheme="minorHAnsi"/>
          <w:sz w:val="24"/>
          <w:szCs w:val="24"/>
          <w:lang w:val="en-GB"/>
        </w:rPr>
        <w:t xml:space="preserve"> </w:t>
      </w:r>
      <w:r w:rsidR="001101C0" w:rsidRPr="00041197">
        <w:rPr>
          <w:rFonts w:cstheme="minorHAnsi"/>
          <w:sz w:val="24"/>
          <w:szCs w:val="24"/>
          <w:lang w:val="en-GB"/>
        </w:rPr>
        <w:t>20</w:t>
      </w:r>
      <w:r w:rsidR="00C66DD7">
        <w:rPr>
          <w:rFonts w:cstheme="minorHAnsi"/>
          <w:sz w:val="24"/>
          <w:szCs w:val="24"/>
          <w:lang w:val="en-GB"/>
        </w:rPr>
        <w:t>2</w:t>
      </w:r>
      <w:r w:rsidR="00FD36D5">
        <w:rPr>
          <w:rFonts w:cstheme="minorHAnsi"/>
          <w:sz w:val="24"/>
          <w:szCs w:val="24"/>
          <w:lang w:val="en-GB"/>
        </w:rPr>
        <w:t>2</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FD36D5">
        <w:rPr>
          <w:rFonts w:cstheme="minorHAnsi"/>
          <w:sz w:val="24"/>
          <w:szCs w:val="24"/>
          <w:lang w:val="en-GB"/>
        </w:rPr>
        <w:t>113</w:t>
      </w:r>
      <w:r>
        <w:rPr>
          <w:rFonts w:cstheme="minorHAnsi"/>
          <w:sz w:val="24"/>
          <w:szCs w:val="24"/>
          <w:lang w:val="en-GB"/>
        </w:rPr>
        <w:t>.</w:t>
      </w:r>
      <w:r w:rsidR="001805FF">
        <w:rPr>
          <w:rFonts w:cstheme="minorHAnsi"/>
          <w:sz w:val="24"/>
          <w:szCs w:val="24"/>
          <w:lang w:val="en-GB"/>
        </w:rPr>
        <w:t>0</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05E0497B" w:rsidR="00DB5770" w:rsidRPr="00DB5770" w:rsidRDefault="00DB5770" w:rsidP="00DB5770">
      <w:pPr>
        <w:jc w:val="both"/>
        <w:rPr>
          <w:sz w:val="24"/>
          <w:szCs w:val="24"/>
          <w:lang w:val="en-GB"/>
        </w:rPr>
      </w:pPr>
      <w:r w:rsidRPr="00DB5770">
        <w:rPr>
          <w:sz w:val="24"/>
          <w:szCs w:val="24"/>
          <w:lang w:val="en-GB"/>
        </w:rPr>
        <w:t>On 3</w:t>
      </w:r>
      <w:r w:rsidR="002277BB">
        <w:rPr>
          <w:sz w:val="24"/>
          <w:szCs w:val="24"/>
          <w:lang w:val="en-GB"/>
        </w:rPr>
        <w:t>0</w:t>
      </w:r>
      <w:r w:rsidRPr="00DB5770">
        <w:rPr>
          <w:sz w:val="24"/>
          <w:szCs w:val="24"/>
          <w:lang w:val="en-GB"/>
        </w:rPr>
        <w:t xml:space="preserve"> </w:t>
      </w:r>
      <w:r w:rsidR="002277BB">
        <w:rPr>
          <w:sz w:val="24"/>
          <w:szCs w:val="24"/>
          <w:lang w:val="en-GB"/>
        </w:rPr>
        <w:t>June</w:t>
      </w:r>
      <w:r w:rsidRPr="00DB5770">
        <w:rPr>
          <w:sz w:val="24"/>
          <w:szCs w:val="24"/>
          <w:lang w:val="en-GB"/>
        </w:rPr>
        <w:t xml:space="preserve"> 20</w:t>
      </w:r>
      <w:r w:rsidR="00C66DD7">
        <w:rPr>
          <w:sz w:val="24"/>
          <w:szCs w:val="24"/>
          <w:lang w:val="en-GB"/>
        </w:rPr>
        <w:t>2</w:t>
      </w:r>
      <w:r w:rsidR="00FD36D5">
        <w:rPr>
          <w:sz w:val="24"/>
          <w:szCs w:val="24"/>
          <w:lang w:val="en-GB"/>
        </w:rPr>
        <w:t>2</w:t>
      </w:r>
      <w:r w:rsidRPr="00DB5770">
        <w:rPr>
          <w:sz w:val="24"/>
          <w:szCs w:val="24"/>
          <w:lang w:val="en-GB"/>
        </w:rPr>
        <w:t>, the Group had 3</w:t>
      </w:r>
      <w:r w:rsidR="00FD36D5">
        <w:rPr>
          <w:sz w:val="24"/>
          <w:szCs w:val="24"/>
          <w:lang w:val="en-GB"/>
        </w:rPr>
        <w:t>9</w:t>
      </w:r>
      <w:r w:rsidR="001805FF">
        <w:rPr>
          <w:sz w:val="24"/>
          <w:szCs w:val="24"/>
          <w:lang w:val="en-GB"/>
        </w:rPr>
        <w:t>2</w:t>
      </w:r>
      <w:r w:rsidRPr="00DB5770">
        <w:rPr>
          <w:sz w:val="24"/>
          <w:szCs w:val="24"/>
          <w:lang w:val="en-GB"/>
        </w:rPr>
        <w:t xml:space="preserve"> employees (on 3</w:t>
      </w:r>
      <w:r w:rsidR="002277BB">
        <w:rPr>
          <w:sz w:val="24"/>
          <w:szCs w:val="24"/>
          <w:lang w:val="en-GB"/>
        </w:rPr>
        <w:t>0 June</w:t>
      </w:r>
      <w:r w:rsidRPr="00DB5770">
        <w:rPr>
          <w:sz w:val="24"/>
          <w:szCs w:val="24"/>
          <w:lang w:val="en-GB"/>
        </w:rPr>
        <w:t xml:space="preserve"> 20</w:t>
      </w:r>
      <w:r w:rsidR="001805FF">
        <w:rPr>
          <w:sz w:val="24"/>
          <w:szCs w:val="24"/>
          <w:lang w:val="en-GB"/>
        </w:rPr>
        <w:t>2</w:t>
      </w:r>
      <w:r w:rsidR="00FD36D5">
        <w:rPr>
          <w:sz w:val="24"/>
          <w:szCs w:val="24"/>
          <w:lang w:val="en-GB"/>
        </w:rPr>
        <w:t>1</w:t>
      </w:r>
      <w:r w:rsidRPr="00DB5770">
        <w:rPr>
          <w:sz w:val="24"/>
          <w:szCs w:val="24"/>
          <w:lang w:val="en-GB"/>
        </w:rPr>
        <w:t>: 3</w:t>
      </w:r>
      <w:r w:rsidR="00C66DD7">
        <w:rPr>
          <w:sz w:val="24"/>
          <w:szCs w:val="24"/>
          <w:lang w:val="en-GB"/>
        </w:rPr>
        <w:t>8</w:t>
      </w:r>
      <w:r w:rsidR="00FD36D5">
        <w:rPr>
          <w:sz w:val="24"/>
          <w:szCs w:val="24"/>
          <w:lang w:val="en-GB"/>
        </w:rPr>
        <w:t>2</w:t>
      </w:r>
      <w:r w:rsidRPr="00DB5770">
        <w:rPr>
          <w:sz w:val="24"/>
          <w:szCs w:val="24"/>
          <w:lang w:val="en-GB"/>
        </w:rPr>
        <w:t xml:space="preserve"> 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64E3A8F4"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w:t>
      </w:r>
      <w:r w:rsidR="00DF2232">
        <w:rPr>
          <w:rFonts w:cstheme="minorHAnsi"/>
          <w:sz w:val="24"/>
          <w:szCs w:val="24"/>
          <w:lang w:val="en-GB"/>
        </w:rPr>
        <w:t>7</w:t>
      </w:r>
      <w:r>
        <w:rPr>
          <w:rFonts w:cstheme="minorHAnsi"/>
          <w:sz w:val="24"/>
          <w:szCs w:val="24"/>
          <w:lang w:val="en-GB"/>
        </w:rPr>
        <w:t>,</w:t>
      </w:r>
      <w:r w:rsidR="00D82413">
        <w:rPr>
          <w:rFonts w:cstheme="minorHAnsi"/>
          <w:sz w:val="24"/>
          <w:szCs w:val="24"/>
          <w:lang w:val="en-GB"/>
        </w:rPr>
        <w:t>554</w:t>
      </w:r>
      <w:r>
        <w:rPr>
          <w:rFonts w:cstheme="minorHAnsi"/>
          <w:sz w:val="24"/>
          <w:szCs w:val="24"/>
          <w:lang w:val="en-GB"/>
        </w:rPr>
        <w:t>.</w:t>
      </w:r>
      <w:r w:rsidR="00D82413">
        <w:rPr>
          <w:rFonts w:cstheme="minorHAnsi"/>
          <w:sz w:val="24"/>
          <w:szCs w:val="24"/>
          <w:lang w:val="en-GB"/>
        </w:rPr>
        <w:t>9</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xml:space="preserve">, a </w:t>
      </w:r>
      <w:r w:rsidR="001805FF">
        <w:rPr>
          <w:rFonts w:cstheme="minorHAnsi"/>
          <w:sz w:val="24"/>
          <w:szCs w:val="24"/>
          <w:lang w:val="en-GB"/>
        </w:rPr>
        <w:t>de</w:t>
      </w:r>
      <w:r w:rsidR="00630BEF">
        <w:rPr>
          <w:rFonts w:cstheme="minorHAnsi"/>
          <w:sz w:val="24"/>
          <w:szCs w:val="24"/>
          <w:lang w:val="en-GB"/>
        </w:rPr>
        <w:t>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1805FF">
        <w:rPr>
          <w:rFonts w:cstheme="minorHAnsi"/>
          <w:sz w:val="24"/>
          <w:szCs w:val="24"/>
          <w:lang w:val="en-GB"/>
        </w:rPr>
        <w:t>2</w:t>
      </w:r>
      <w:r w:rsidR="00DF2232">
        <w:rPr>
          <w:rFonts w:cstheme="minorHAnsi"/>
          <w:sz w:val="24"/>
          <w:szCs w:val="24"/>
          <w:lang w:val="en-GB"/>
        </w:rPr>
        <w:t>.</w:t>
      </w:r>
      <w:r w:rsidR="001805FF">
        <w:rPr>
          <w:rFonts w:cstheme="minorHAnsi"/>
          <w:sz w:val="24"/>
          <w:szCs w:val="24"/>
          <w:lang w:val="en-GB"/>
        </w:rPr>
        <w:t>6</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212CD0C7"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xml:space="preserve">, </w:t>
      </w:r>
      <w:proofErr w:type="gramStart"/>
      <w:r>
        <w:rPr>
          <w:rFonts w:cstheme="minorHAnsi"/>
          <w:sz w:val="24"/>
          <w:szCs w:val="24"/>
          <w:lang w:val="en-GB"/>
        </w:rPr>
        <w:t>i.e.</w:t>
      </w:r>
      <w:proofErr w:type="gramEnd"/>
      <w:r>
        <w:rPr>
          <w:rFonts w:cstheme="minorHAnsi"/>
          <w:sz w:val="24"/>
          <w:szCs w:val="24"/>
          <w:lang w:val="en-GB"/>
        </w:rPr>
        <w:t xml:space="preserv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w:t>
      </w:r>
      <w:r w:rsidR="001805FF">
        <w:rPr>
          <w:rFonts w:cstheme="minorHAnsi"/>
          <w:sz w:val="24"/>
          <w:szCs w:val="24"/>
          <w:lang w:val="en-GB"/>
        </w:rPr>
        <w:t>3</w:t>
      </w:r>
      <w:r>
        <w:rPr>
          <w:rFonts w:cstheme="minorHAnsi"/>
          <w:sz w:val="24"/>
          <w:szCs w:val="24"/>
          <w:lang w:val="en-GB"/>
        </w:rPr>
        <w:t>.</w:t>
      </w:r>
      <w:r w:rsidR="001805FF">
        <w:rPr>
          <w:rFonts w:cstheme="minorHAnsi"/>
          <w:sz w:val="24"/>
          <w:szCs w:val="24"/>
          <w:lang w:val="en-GB"/>
        </w:rPr>
        <w:t>6</w:t>
      </w:r>
      <w:r w:rsidR="00D3254D" w:rsidRPr="00041197">
        <w:rPr>
          <w:rFonts w:cstheme="minorHAnsi"/>
          <w:sz w:val="24"/>
          <w:szCs w:val="24"/>
          <w:lang w:val="en-GB"/>
        </w:rPr>
        <w:t xml:space="preserve"> 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6C5A2D08"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w:t>
      </w:r>
      <w:proofErr w:type="gramStart"/>
      <w:r w:rsidRPr="0005777B">
        <w:rPr>
          <w:rFonts w:eastAsia="Times New Roman" w:cs="Calibri"/>
          <w:spacing w:val="-3"/>
          <w:sz w:val="24"/>
          <w:szCs w:val="24"/>
          <w:lang w:val="en-GB" w:eastAsia="hr-HR"/>
        </w:rPr>
        <w:t>at</w:t>
      </w:r>
      <w:proofErr w:type="gramEnd"/>
      <w:r w:rsidRPr="0005777B">
        <w:rPr>
          <w:rFonts w:eastAsia="Times New Roman" w:cs="Calibri"/>
          <w:spacing w:val="-3"/>
          <w:sz w:val="24"/>
          <w:szCs w:val="24"/>
          <w:lang w:val="en-GB" w:eastAsia="hr-HR"/>
        </w:rPr>
        <w:t xml:space="preserve">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80354">
        <w:rPr>
          <w:rFonts w:cstheme="minorHAnsi"/>
          <w:sz w:val="24"/>
          <w:szCs w:val="24"/>
          <w:lang w:val="en-GB"/>
        </w:rPr>
        <w:t>June</w:t>
      </w:r>
      <w:r w:rsidR="00880354" w:rsidRPr="0005777B">
        <w:rPr>
          <w:rFonts w:cstheme="minorHAnsi"/>
          <w:sz w:val="24"/>
          <w:szCs w:val="24"/>
          <w:lang w:val="en-GB"/>
        </w:rPr>
        <w:t xml:space="preserve"> </w:t>
      </w:r>
      <w:r w:rsidR="00880354">
        <w:rPr>
          <w:rFonts w:cstheme="minorHAnsi"/>
          <w:sz w:val="24"/>
          <w:szCs w:val="24"/>
          <w:lang w:val="en-GB"/>
        </w:rPr>
        <w:t>202</w:t>
      </w:r>
      <w:r w:rsidR="00F64448">
        <w:rPr>
          <w:rFonts w:cstheme="minorHAnsi"/>
          <w:sz w:val="24"/>
          <w:szCs w:val="24"/>
          <w:lang w:val="en-GB"/>
        </w:rPr>
        <w:t>2</w:t>
      </w:r>
      <w:r w:rsidR="00880354">
        <w:rPr>
          <w:rFonts w:cstheme="minorHAnsi"/>
          <w:sz w:val="24"/>
          <w:szCs w:val="24"/>
          <w:lang w:val="en-GB"/>
        </w:rPr>
        <w:t xml:space="preserve">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2</w:t>
      </w:r>
      <w:r w:rsidR="00C95164">
        <w:rPr>
          <w:rFonts w:eastAsia="Times New Roman" w:cs="Calibri"/>
          <w:spacing w:val="-3"/>
          <w:sz w:val="24"/>
          <w:szCs w:val="24"/>
          <w:lang w:val="en-GB" w:eastAsia="hr-HR"/>
        </w:rPr>
        <w:t>7</w:t>
      </w:r>
      <w:r>
        <w:rPr>
          <w:rFonts w:eastAsia="Times New Roman" w:cs="Calibri"/>
          <w:spacing w:val="-3"/>
          <w:sz w:val="24"/>
          <w:szCs w:val="24"/>
          <w:lang w:val="en-GB" w:eastAsia="hr-HR"/>
        </w:rPr>
        <w:t>,</w:t>
      </w:r>
      <w:r w:rsidR="00F64448">
        <w:rPr>
          <w:rFonts w:eastAsia="Times New Roman" w:cs="Calibri"/>
          <w:spacing w:val="-3"/>
          <w:sz w:val="24"/>
          <w:szCs w:val="24"/>
          <w:lang w:val="en-GB" w:eastAsia="hr-HR"/>
        </w:rPr>
        <w:t>554</w:t>
      </w:r>
      <w:r>
        <w:rPr>
          <w:rFonts w:eastAsia="Times New Roman" w:cs="Calibri"/>
          <w:spacing w:val="-3"/>
          <w:sz w:val="24"/>
          <w:szCs w:val="24"/>
          <w:lang w:val="en-GB" w:eastAsia="hr-HR"/>
        </w:rPr>
        <w:t>.</w:t>
      </w:r>
      <w:r w:rsidR="00F64448">
        <w:rPr>
          <w:rFonts w:eastAsia="Times New Roman" w:cs="Calibri"/>
          <w:spacing w:val="-3"/>
          <w:sz w:val="24"/>
          <w:szCs w:val="24"/>
          <w:lang w:val="en-GB" w:eastAsia="hr-HR"/>
        </w:rPr>
        <w:t>9</w:t>
      </w:r>
      <w:r w:rsidR="001C3F5F" w:rsidRPr="00041197">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w:t>
      </w:r>
      <w:r w:rsidR="00F64448">
        <w:rPr>
          <w:rFonts w:eastAsia="Times New Roman" w:cs="Calibri"/>
          <w:spacing w:val="-3"/>
          <w:sz w:val="24"/>
          <w:szCs w:val="24"/>
          <w:lang w:val="en-GB" w:eastAsia="hr-HR"/>
        </w:rPr>
        <w:t>6</w:t>
      </w:r>
      <w:r>
        <w:rPr>
          <w:rFonts w:eastAsia="Times New Roman" w:cs="Calibri"/>
          <w:spacing w:val="-3"/>
          <w:sz w:val="24"/>
          <w:szCs w:val="24"/>
          <w:lang w:val="en-GB" w:eastAsia="hr-HR"/>
        </w:rPr>
        <w:t>,</w:t>
      </w:r>
      <w:r w:rsidR="00F64448">
        <w:rPr>
          <w:rFonts w:eastAsia="Times New Roman" w:cs="Calibri"/>
          <w:spacing w:val="-3"/>
          <w:sz w:val="24"/>
          <w:szCs w:val="24"/>
          <w:lang w:val="en-GB" w:eastAsia="hr-HR"/>
        </w:rPr>
        <w:t>652</w:t>
      </w:r>
      <w:r>
        <w:rPr>
          <w:rFonts w:eastAsia="Times New Roman" w:cs="Calibri"/>
          <w:spacing w:val="-3"/>
          <w:sz w:val="24"/>
          <w:szCs w:val="24"/>
          <w:lang w:val="en-GB" w:eastAsia="hr-HR"/>
        </w:rPr>
        <w:t>.</w:t>
      </w:r>
      <w:r w:rsidR="00F64448">
        <w:rPr>
          <w:rFonts w:eastAsia="Times New Roman" w:cs="Calibri"/>
          <w:spacing w:val="-3"/>
          <w:sz w:val="24"/>
          <w:szCs w:val="24"/>
          <w:lang w:val="en-GB" w:eastAsia="hr-HR"/>
        </w:rPr>
        <w:t>2</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F64448">
        <w:rPr>
          <w:rFonts w:eastAsia="Times New Roman" w:cs="Calibri"/>
          <w:spacing w:val="-3"/>
          <w:sz w:val="24"/>
          <w:szCs w:val="24"/>
          <w:lang w:val="en-GB" w:eastAsia="hr-HR"/>
        </w:rPr>
        <w:t>0.4</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41621C0F"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w:t>
      </w:r>
      <w:proofErr w:type="gramStart"/>
      <w:r w:rsidRPr="0005777B">
        <w:rPr>
          <w:rFonts w:cstheme="minorHAnsi"/>
          <w:sz w:val="24"/>
          <w:szCs w:val="24"/>
          <w:lang w:val="en-GB"/>
        </w:rPr>
        <w:t>i.e.</w:t>
      </w:r>
      <w:proofErr w:type="gramEnd"/>
      <w:r w:rsidRPr="0005777B">
        <w:rPr>
          <w:rFonts w:cstheme="minorHAnsi"/>
          <w:sz w:val="24"/>
          <w:szCs w:val="24"/>
          <w:lang w:val="en-GB"/>
        </w:rPr>
        <w:t xml:space="preserve"> </w:t>
      </w:r>
      <w:r w:rsidR="00DE700B" w:rsidRPr="00041197">
        <w:rPr>
          <w:rFonts w:cstheme="minorHAnsi"/>
          <w:sz w:val="24"/>
          <w:szCs w:val="24"/>
          <w:lang w:val="en-GB"/>
        </w:rPr>
        <w:t>5</w:t>
      </w:r>
      <w:r w:rsidR="001805FF">
        <w:rPr>
          <w:rFonts w:cstheme="minorHAnsi"/>
          <w:sz w:val="24"/>
          <w:szCs w:val="24"/>
          <w:lang w:val="en-GB"/>
        </w:rPr>
        <w:t>6</w:t>
      </w:r>
      <w:r>
        <w:rPr>
          <w:rFonts w:cstheme="minorHAnsi"/>
          <w:sz w:val="24"/>
          <w:szCs w:val="24"/>
          <w:lang w:val="en-GB"/>
        </w:rPr>
        <w:t>.</w:t>
      </w:r>
      <w:r w:rsidR="00F64448">
        <w:rPr>
          <w:rFonts w:cstheme="minorHAnsi"/>
          <w:sz w:val="24"/>
          <w:szCs w:val="24"/>
          <w:lang w:val="en-GB"/>
        </w:rPr>
        <w:t>8</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1FE1F9AC"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8"/>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A231C7">
        <w:rPr>
          <w:rFonts w:cstheme="minorHAnsi"/>
          <w:sz w:val="24"/>
          <w:szCs w:val="24"/>
          <w:lang w:val="en-GB"/>
        </w:rPr>
        <w:t>902</w:t>
      </w:r>
      <w:r>
        <w:rPr>
          <w:rFonts w:cstheme="minorHAnsi"/>
          <w:sz w:val="24"/>
          <w:szCs w:val="24"/>
          <w:lang w:val="en-GB"/>
        </w:rPr>
        <w:t>.</w:t>
      </w:r>
      <w:r w:rsidR="00A231C7">
        <w:rPr>
          <w:rFonts w:cstheme="minorHAnsi"/>
          <w:sz w:val="24"/>
          <w:szCs w:val="24"/>
          <w:lang w:val="en-GB"/>
        </w:rPr>
        <w:t>7</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A231C7">
        <w:rPr>
          <w:rFonts w:cstheme="minorHAnsi"/>
          <w:sz w:val="24"/>
          <w:szCs w:val="24"/>
          <w:lang w:val="en-GB"/>
        </w:rPr>
        <w:t>9.6</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57BDDBAA" w:rsidR="00E43402" w:rsidRPr="001607DE" w:rsidRDefault="00E43402"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580D58">
        <w:rPr>
          <w:rFonts w:cstheme="minorHAnsi"/>
          <w:sz w:val="24"/>
          <w:szCs w:val="24"/>
        </w:rPr>
        <w:t xml:space="preserve">   </w:t>
      </w:r>
      <w:r w:rsidR="00436C10">
        <w:rPr>
          <w:rFonts w:cstheme="minorHAnsi"/>
          <w:sz w:val="24"/>
          <w:szCs w:val="24"/>
        </w:rPr>
        <w:t xml:space="preserve"> </w:t>
      </w:r>
      <w:r w:rsidR="00FB2E14">
        <w:rPr>
          <w:rFonts w:cstheme="minorHAnsi"/>
          <w:noProof/>
          <w:sz w:val="24"/>
          <w:szCs w:val="24"/>
        </w:rPr>
        <w:drawing>
          <wp:inline distT="0" distB="0" distL="0" distR="0" wp14:anchorId="625756B4" wp14:editId="068CBEFE">
            <wp:extent cx="2743178" cy="3059137"/>
            <wp:effectExtent l="0" t="0" r="63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4131" cy="3071352"/>
                    </a:xfrm>
                    <a:prstGeom prst="rect">
                      <a:avLst/>
                    </a:prstGeom>
                    <a:noFill/>
                  </pic:spPr>
                </pic:pic>
              </a:graphicData>
            </a:graphic>
          </wp:inline>
        </w:drawing>
      </w:r>
      <w:r w:rsidR="00077437">
        <w:rPr>
          <w:rFonts w:cstheme="minorHAnsi"/>
          <w:sz w:val="24"/>
          <w:szCs w:val="24"/>
        </w:rPr>
        <w:t xml:space="preserve"> </w:t>
      </w:r>
      <w:r w:rsidR="00FB2E14">
        <w:rPr>
          <w:rFonts w:cstheme="minorHAnsi"/>
          <w:sz w:val="24"/>
          <w:szCs w:val="24"/>
        </w:rPr>
        <w:t xml:space="preserve">  </w:t>
      </w:r>
      <w:r w:rsidR="00077437">
        <w:rPr>
          <w:rFonts w:cstheme="minorHAnsi"/>
          <w:sz w:val="24"/>
          <w:szCs w:val="24"/>
        </w:rPr>
        <w:t xml:space="preserve">  </w:t>
      </w:r>
      <w:r w:rsidR="00077437">
        <w:rPr>
          <w:rFonts w:cstheme="minorHAnsi"/>
          <w:noProof/>
          <w:sz w:val="24"/>
          <w:szCs w:val="24"/>
        </w:rPr>
        <w:drawing>
          <wp:inline distT="0" distB="0" distL="0" distR="0" wp14:anchorId="157C04CF" wp14:editId="7F420954">
            <wp:extent cx="2760107" cy="3063392"/>
            <wp:effectExtent l="0" t="0" r="254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3150" cy="3088967"/>
                    </a:xfrm>
                    <a:prstGeom prst="rect">
                      <a:avLst/>
                    </a:prstGeom>
                    <a:noFill/>
                  </pic:spPr>
                </pic:pic>
              </a:graphicData>
            </a:graphic>
          </wp:inline>
        </w:drawing>
      </w:r>
      <w:r w:rsidR="00077437">
        <w:rPr>
          <w:rFonts w:cstheme="minorHAnsi"/>
          <w:sz w:val="24"/>
          <w:szCs w:val="24"/>
        </w:rPr>
        <w:t xml:space="preserve"> </w:t>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3EBD19EF" w:rsidR="00E43402" w:rsidRPr="00041197" w:rsidRDefault="00E43402" w:rsidP="00E43402">
      <w:pPr>
        <w:spacing w:after="0" w:line="240" w:lineRule="auto"/>
        <w:ind w:left="-284" w:right="-42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t xml:space="preserve"> </w:t>
      </w:r>
      <w:r w:rsidRPr="001607DE">
        <w:rPr>
          <w:rFonts w:cstheme="minorHAnsi"/>
          <w:sz w:val="24"/>
          <w:szCs w:val="24"/>
        </w:rPr>
        <w:t xml:space="preserve"> </w:t>
      </w:r>
      <w:r w:rsidR="00786FAA">
        <w:rPr>
          <w:rFonts w:cstheme="minorHAnsi"/>
          <w:noProof/>
          <w:sz w:val="24"/>
          <w:szCs w:val="24"/>
        </w:rPr>
        <w:drawing>
          <wp:inline distT="0" distB="0" distL="0" distR="0" wp14:anchorId="3D4B671E" wp14:editId="48D9BBC0">
            <wp:extent cx="2834401" cy="3424262"/>
            <wp:effectExtent l="0" t="0" r="4445"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3878" cy="3435712"/>
                    </a:xfrm>
                    <a:prstGeom prst="rect">
                      <a:avLst/>
                    </a:prstGeom>
                    <a:noFill/>
                  </pic:spPr>
                </pic:pic>
              </a:graphicData>
            </a:graphic>
          </wp:inline>
        </w:drawing>
      </w:r>
      <w:r w:rsidR="005E754D">
        <w:rPr>
          <w:rFonts w:cstheme="minorHAnsi"/>
          <w:sz w:val="24"/>
          <w:szCs w:val="24"/>
        </w:rPr>
        <w:t xml:space="preserve">    </w:t>
      </w:r>
      <w:r w:rsidR="005E754D">
        <w:rPr>
          <w:rFonts w:cstheme="minorHAnsi"/>
          <w:noProof/>
          <w:sz w:val="24"/>
          <w:szCs w:val="24"/>
        </w:rPr>
        <w:drawing>
          <wp:inline distT="0" distB="0" distL="0" distR="0" wp14:anchorId="3087D78C" wp14:editId="055CE9C2">
            <wp:extent cx="2808116" cy="3428804"/>
            <wp:effectExtent l="0" t="0" r="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8186" cy="3441100"/>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02DA58B7"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w:t>
      </w:r>
      <w:r w:rsidR="00D26484">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048C91C7"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A37829">
        <w:rPr>
          <w:rFonts w:eastAsia="Times New Roman" w:cs="Calibri"/>
          <w:color w:val="7F7F7F" w:themeColor="text1" w:themeTint="80"/>
          <w:spacing w:val="-3"/>
          <w:sz w:val="18"/>
          <w:szCs w:val="18"/>
          <w:lang w:val="en-GB" w:eastAsia="hr-HR"/>
        </w:rPr>
        <w:t>Provisioning includes provisioning for guarantees</w:t>
      </w:r>
      <w:r w:rsidRPr="002A10E9">
        <w:rPr>
          <w:rFonts w:eastAsia="Times New Roman" w:cs="Calibri"/>
          <w:color w:val="7F7F7F" w:themeColor="text1" w:themeTint="80"/>
          <w:spacing w:val="-3"/>
          <w:sz w:val="18"/>
          <w:szCs w:val="18"/>
          <w:lang w:val="en-GB" w:eastAsia="hr-HR"/>
        </w:rPr>
        <w:t xml:space="preserve">, </w:t>
      </w:r>
      <w:proofErr w:type="gramStart"/>
      <w:r w:rsidR="00A37829">
        <w:rPr>
          <w:rFonts w:eastAsia="Times New Roman" w:cs="Calibri"/>
          <w:color w:val="7F7F7F" w:themeColor="text1" w:themeTint="80"/>
          <w:spacing w:val="-3"/>
          <w:sz w:val="18"/>
          <w:szCs w:val="18"/>
          <w:lang w:val="en-GB" w:eastAsia="hr-HR"/>
        </w:rPr>
        <w:t>commitment</w:t>
      </w:r>
      <w:r w:rsidR="00CB3057">
        <w:rPr>
          <w:rFonts w:eastAsia="Times New Roman" w:cs="Calibri"/>
          <w:color w:val="7F7F7F" w:themeColor="text1" w:themeTint="80"/>
          <w:spacing w:val="-3"/>
          <w:sz w:val="18"/>
          <w:szCs w:val="18"/>
          <w:lang w:val="en-GB" w:eastAsia="hr-HR"/>
        </w:rPr>
        <w:t>s</w:t>
      </w:r>
      <w:proofErr w:type="gramEnd"/>
      <w:r w:rsidR="00CB3057">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and other liabilities</w:t>
      </w:r>
      <w:r w:rsidRPr="00041197">
        <w:rPr>
          <w:rFonts w:eastAsia="Times New Roman" w:cs="Calibri"/>
          <w:color w:val="7F7F7F" w:themeColor="text1" w:themeTint="80"/>
          <w:spacing w:val="-3"/>
          <w:sz w:val="18"/>
          <w:szCs w:val="18"/>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3"/>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4"/>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395073" w:rsidRDefault="00A37829" w:rsidP="00A37829">
      <w:pPr>
        <w:keepNext/>
        <w:spacing w:after="0" w:line="240" w:lineRule="auto"/>
        <w:jc w:val="center"/>
        <w:outlineLvl w:val="1"/>
        <w:rPr>
          <w:rFonts w:ascii="Calibri" w:hAnsi="Calibri" w:cs="Calibri"/>
          <w:b/>
          <w:bCs/>
          <w:sz w:val="24"/>
          <w:szCs w:val="24"/>
          <w:lang w:val="en-GB" w:eastAsia="x-none"/>
        </w:rPr>
      </w:pPr>
      <w:r w:rsidRPr="00395073">
        <w:rPr>
          <w:rFonts w:ascii="Calibri" w:hAnsi="Calibri" w:cs="Calibri"/>
          <w:b/>
          <w:bCs/>
          <w:sz w:val="24"/>
          <w:szCs w:val="24"/>
          <w:lang w:val="en-GB" w:eastAsia="x-none"/>
        </w:rPr>
        <w:t>OVERVIEW OF FINANCIAL PERFORMANCE OF HBOR</w:t>
      </w:r>
      <w:bookmarkEnd w:id="1"/>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6ED15B10"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C95164">
        <w:rPr>
          <w:rFonts w:cstheme="minorHAnsi"/>
          <w:spacing w:val="-3"/>
          <w:sz w:val="24"/>
          <w:szCs w:val="24"/>
          <w:lang w:val="en-GB"/>
        </w:rPr>
        <w:t>0</w:t>
      </w:r>
      <w:r>
        <w:rPr>
          <w:rFonts w:cstheme="minorHAnsi"/>
          <w:spacing w:val="-3"/>
          <w:sz w:val="24"/>
          <w:szCs w:val="24"/>
          <w:lang w:val="en-GB"/>
        </w:rPr>
        <w:t xml:space="preserve"> </w:t>
      </w:r>
      <w:r w:rsidR="00C95164">
        <w:rPr>
          <w:rFonts w:cstheme="minorHAnsi"/>
          <w:spacing w:val="-3"/>
          <w:sz w:val="24"/>
          <w:szCs w:val="24"/>
          <w:lang w:val="en-GB"/>
        </w:rPr>
        <w:t>June</w:t>
      </w:r>
      <w:r>
        <w:rPr>
          <w:rFonts w:cstheme="minorHAnsi"/>
          <w:spacing w:val="-3"/>
          <w:sz w:val="24"/>
          <w:szCs w:val="24"/>
          <w:lang w:val="en-GB"/>
        </w:rPr>
        <w:t xml:space="preserve"> </w:t>
      </w:r>
      <w:r w:rsidR="00BF17D9" w:rsidRPr="00041197">
        <w:rPr>
          <w:rFonts w:cstheme="minorHAnsi"/>
          <w:spacing w:val="-3"/>
          <w:sz w:val="24"/>
          <w:szCs w:val="24"/>
          <w:lang w:val="en-GB"/>
        </w:rPr>
        <w:t>20</w:t>
      </w:r>
      <w:r w:rsidR="00630BEF">
        <w:rPr>
          <w:rFonts w:cstheme="minorHAnsi"/>
          <w:spacing w:val="-3"/>
          <w:sz w:val="24"/>
          <w:szCs w:val="24"/>
          <w:lang w:val="en-GB"/>
        </w:rPr>
        <w:t>2</w:t>
      </w:r>
      <w:r w:rsidR="0030628B">
        <w:rPr>
          <w:rFonts w:cstheme="minorHAnsi"/>
          <w:spacing w:val="-3"/>
          <w:sz w:val="24"/>
          <w:szCs w:val="24"/>
          <w:lang w:val="en-GB"/>
        </w:rPr>
        <w:t>2</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C76F55">
        <w:rPr>
          <w:rFonts w:cstheme="minorHAnsi"/>
          <w:spacing w:val="-3"/>
          <w:sz w:val="24"/>
          <w:szCs w:val="24"/>
          <w:lang w:val="en-GB"/>
        </w:rPr>
        <w:t>5</w:t>
      </w:r>
      <w:r w:rsidR="0030628B">
        <w:rPr>
          <w:rFonts w:cstheme="minorHAnsi"/>
          <w:spacing w:val="-3"/>
          <w:sz w:val="24"/>
          <w:szCs w:val="24"/>
          <w:lang w:val="en-GB"/>
        </w:rPr>
        <w:t>58</w:t>
      </w:r>
      <w:r>
        <w:rPr>
          <w:rFonts w:cstheme="minorHAnsi"/>
          <w:spacing w:val="-3"/>
          <w:sz w:val="24"/>
          <w:szCs w:val="24"/>
          <w:lang w:val="en-GB"/>
        </w:rPr>
        <w:t>.</w:t>
      </w:r>
      <w:r w:rsidR="0030628B">
        <w:rPr>
          <w:rFonts w:cstheme="minorHAnsi"/>
          <w:spacing w:val="-3"/>
          <w:sz w:val="24"/>
          <w:szCs w:val="24"/>
          <w:lang w:val="en-GB"/>
        </w:rPr>
        <w:t>6</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C76F55">
        <w:rPr>
          <w:rFonts w:cstheme="minorHAnsi"/>
          <w:spacing w:val="-3"/>
          <w:sz w:val="24"/>
          <w:szCs w:val="24"/>
          <w:lang w:val="en-GB"/>
        </w:rPr>
        <w:t>1</w:t>
      </w:r>
      <w:r w:rsidR="0030628B">
        <w:rPr>
          <w:rFonts w:cstheme="minorHAnsi"/>
          <w:spacing w:val="-3"/>
          <w:sz w:val="24"/>
          <w:szCs w:val="24"/>
          <w:lang w:val="en-GB"/>
        </w:rPr>
        <w:t>87</w:t>
      </w:r>
      <w:r>
        <w:rPr>
          <w:rFonts w:cstheme="minorHAnsi"/>
          <w:spacing w:val="-3"/>
          <w:sz w:val="24"/>
          <w:szCs w:val="24"/>
          <w:lang w:val="en-GB"/>
        </w:rPr>
        <w:t>.</w:t>
      </w:r>
      <w:r w:rsidR="00C76F55">
        <w:rPr>
          <w:rFonts w:cstheme="minorHAnsi"/>
          <w:spacing w:val="-3"/>
          <w:sz w:val="24"/>
          <w:szCs w:val="24"/>
          <w:lang w:val="en-GB"/>
        </w:rPr>
        <w:t>6</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C76F55">
        <w:rPr>
          <w:rFonts w:cstheme="minorHAnsi"/>
          <w:spacing w:val="-3"/>
          <w:sz w:val="24"/>
          <w:szCs w:val="24"/>
          <w:lang w:val="en-GB"/>
        </w:rPr>
        <w:t>3</w:t>
      </w:r>
      <w:r w:rsidR="0030628B">
        <w:rPr>
          <w:rFonts w:cstheme="minorHAnsi"/>
          <w:spacing w:val="-3"/>
          <w:sz w:val="24"/>
          <w:szCs w:val="24"/>
          <w:lang w:val="en-GB"/>
        </w:rPr>
        <w:t>7</w:t>
      </w:r>
      <w:r w:rsidR="00C76F55">
        <w:rPr>
          <w:rFonts w:cstheme="minorHAnsi"/>
          <w:spacing w:val="-3"/>
          <w:sz w:val="24"/>
          <w:szCs w:val="24"/>
          <w:lang w:val="en-GB"/>
        </w:rPr>
        <w:t>1</w:t>
      </w:r>
      <w:r>
        <w:rPr>
          <w:rFonts w:cstheme="minorHAnsi"/>
          <w:spacing w:val="-3"/>
          <w:sz w:val="24"/>
          <w:szCs w:val="24"/>
          <w:lang w:val="en-GB"/>
        </w:rPr>
        <w:t>.</w:t>
      </w:r>
      <w:r w:rsidR="0030628B">
        <w:rPr>
          <w:rFonts w:cstheme="minorHAnsi"/>
          <w:spacing w:val="-3"/>
          <w:sz w:val="24"/>
          <w:szCs w:val="24"/>
          <w:lang w:val="en-GB"/>
        </w:rPr>
        <w:t>0</w:t>
      </w:r>
      <w:r w:rsidR="00BF17D9" w:rsidRPr="00041197">
        <w:rPr>
          <w:rFonts w:cstheme="minorHAnsi"/>
          <w:spacing w:val="-3"/>
          <w:sz w:val="24"/>
          <w:szCs w:val="24"/>
          <w:lang w:val="en-GB"/>
        </w:rPr>
        <w:t xml:space="preserve"> 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C76F55">
        <w:rPr>
          <w:rFonts w:cstheme="minorHAnsi"/>
          <w:spacing w:val="-3"/>
          <w:sz w:val="24"/>
          <w:szCs w:val="24"/>
          <w:lang w:val="en-GB"/>
        </w:rPr>
        <w:t>in</w:t>
      </w:r>
      <w:r w:rsidRPr="00395073">
        <w:rPr>
          <w:rFonts w:cstheme="minorHAnsi"/>
          <w:spacing w:val="-3"/>
          <w:sz w:val="24"/>
          <w:szCs w:val="24"/>
          <w:lang w:val="en-GB"/>
        </w:rPr>
        <w:t xml:space="preserve">creased by HRK </w:t>
      </w:r>
      <w:r w:rsidR="0030628B">
        <w:rPr>
          <w:rFonts w:cstheme="minorHAnsi"/>
          <w:spacing w:val="-3"/>
          <w:sz w:val="24"/>
          <w:szCs w:val="24"/>
          <w:lang w:val="en-GB"/>
        </w:rPr>
        <w:t>58.6</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compared with the profit generated in the same period last year</w:t>
      </w:r>
      <w:r w:rsidR="00BF17D9" w:rsidRPr="00041197">
        <w:rPr>
          <w:rFonts w:cstheme="minorHAnsi"/>
          <w:spacing w:val="-3"/>
          <w:sz w:val="24"/>
          <w:szCs w:val="24"/>
          <w:lang w:val="en-GB"/>
        </w:rPr>
        <w:t>.</w:t>
      </w:r>
    </w:p>
    <w:p w14:paraId="584F49AA" w14:textId="314391E5" w:rsidR="00BF17D9" w:rsidRDefault="00BF17D9" w:rsidP="00BF17D9">
      <w:pPr>
        <w:tabs>
          <w:tab w:val="left" w:pos="-720"/>
        </w:tabs>
        <w:suppressAutoHyphens/>
        <w:spacing w:after="0" w:line="240" w:lineRule="auto"/>
        <w:jc w:val="both"/>
        <w:rPr>
          <w:rFonts w:cstheme="minorHAnsi"/>
          <w:spacing w:val="-3"/>
          <w:sz w:val="24"/>
          <w:szCs w:val="24"/>
          <w:lang w:val="en-GB"/>
        </w:rPr>
      </w:pPr>
    </w:p>
    <w:p w14:paraId="28BDFA0C" w14:textId="0F4294FF" w:rsidR="00427715" w:rsidRDefault="00427715" w:rsidP="00427715">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w:t>
      </w:r>
      <w:r>
        <w:rPr>
          <w:sz w:val="24"/>
          <w:szCs w:val="24"/>
          <w:lang w:val="en"/>
        </w:rPr>
        <w:t>in</w:t>
      </w:r>
      <w:r w:rsidRPr="004861F7">
        <w:rPr>
          <w:sz w:val="24"/>
          <w:szCs w:val="24"/>
          <w:lang w:val="en"/>
        </w:rPr>
        <w:t xml:space="preserve">crease in profit in the period </w:t>
      </w:r>
      <w:r>
        <w:rPr>
          <w:sz w:val="24"/>
          <w:szCs w:val="24"/>
          <w:lang w:val="en"/>
        </w:rPr>
        <w:t>from 1 January to 30 June 202</w:t>
      </w:r>
      <w:r w:rsidR="0030628B">
        <w:rPr>
          <w:sz w:val="24"/>
          <w:szCs w:val="24"/>
          <w:lang w:val="en"/>
        </w:rPr>
        <w:t>2</w:t>
      </w:r>
      <w:r>
        <w:rPr>
          <w:sz w:val="24"/>
          <w:szCs w:val="24"/>
          <w:lang w:val="en"/>
        </w:rPr>
        <w:t xml:space="preserve"> </w:t>
      </w:r>
      <w:r w:rsidRPr="004861F7">
        <w:rPr>
          <w:sz w:val="24"/>
          <w:szCs w:val="24"/>
          <w:lang w:val="en"/>
        </w:rPr>
        <w:t xml:space="preserve">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a</w:t>
      </w:r>
      <w:r w:rsidR="00310590">
        <w:rPr>
          <w:sz w:val="24"/>
          <w:szCs w:val="24"/>
          <w:lang w:val="en"/>
        </w:rPr>
        <w:t>n</w:t>
      </w:r>
      <w:r w:rsidRPr="004861F7">
        <w:rPr>
          <w:sz w:val="24"/>
          <w:szCs w:val="24"/>
          <w:lang w:val="en"/>
        </w:rPr>
        <w:t xml:space="preserve"> </w:t>
      </w:r>
      <w:r>
        <w:rPr>
          <w:sz w:val="24"/>
          <w:szCs w:val="24"/>
          <w:lang w:val="en"/>
        </w:rPr>
        <w:t>in</w:t>
      </w:r>
      <w:r w:rsidRPr="004861F7">
        <w:rPr>
          <w:sz w:val="24"/>
          <w:szCs w:val="24"/>
          <w:lang w:val="en"/>
        </w:rPr>
        <w:t xml:space="preserve">crease in total </w:t>
      </w:r>
      <w:r>
        <w:rPr>
          <w:sz w:val="24"/>
          <w:szCs w:val="24"/>
          <w:lang w:val="en"/>
        </w:rPr>
        <w:t>income</w:t>
      </w:r>
      <w:r w:rsidRPr="004861F7">
        <w:rPr>
          <w:sz w:val="24"/>
          <w:szCs w:val="24"/>
          <w:lang w:val="en"/>
        </w:rPr>
        <w:t xml:space="preserve"> by HRK </w:t>
      </w:r>
      <w:r w:rsidR="00921AB9">
        <w:rPr>
          <w:sz w:val="24"/>
          <w:szCs w:val="24"/>
          <w:lang w:val="en"/>
        </w:rPr>
        <w:t>5</w:t>
      </w:r>
      <w:r w:rsidR="003F245D">
        <w:rPr>
          <w:sz w:val="24"/>
          <w:szCs w:val="24"/>
          <w:lang w:val="en"/>
        </w:rPr>
        <w:t>4</w:t>
      </w:r>
      <w:r w:rsidR="00921AB9">
        <w:rPr>
          <w:sz w:val="24"/>
          <w:szCs w:val="24"/>
          <w:lang w:val="en"/>
        </w:rPr>
        <w:t>.6</w:t>
      </w:r>
      <w:r w:rsidRPr="004861F7">
        <w:rPr>
          <w:sz w:val="24"/>
          <w:szCs w:val="24"/>
          <w:lang w:val="en"/>
        </w:rPr>
        <w:t xml:space="preserve"> million and a </w:t>
      </w:r>
      <w:r>
        <w:rPr>
          <w:sz w:val="24"/>
          <w:szCs w:val="24"/>
          <w:lang w:val="en"/>
        </w:rPr>
        <w:t>de</w:t>
      </w:r>
      <w:r w:rsidRPr="0087260B">
        <w:rPr>
          <w:sz w:val="24"/>
          <w:szCs w:val="24"/>
          <w:lang w:val="en"/>
        </w:rPr>
        <w:t>crease</w:t>
      </w:r>
      <w:r w:rsidRPr="004861F7">
        <w:rPr>
          <w:sz w:val="24"/>
          <w:szCs w:val="24"/>
          <w:lang w:val="en"/>
        </w:rPr>
        <w:t xml:space="preserve"> in total expenses by HRK </w:t>
      </w:r>
      <w:r w:rsidR="003F245D">
        <w:rPr>
          <w:sz w:val="24"/>
          <w:szCs w:val="24"/>
          <w:lang w:val="en"/>
        </w:rPr>
        <w:t>4.0</w:t>
      </w:r>
      <w:r w:rsidRPr="004861F7">
        <w:rPr>
          <w:sz w:val="24"/>
          <w:szCs w:val="24"/>
          <w:lang w:val="en"/>
        </w:rPr>
        <w:t xml:space="preserve"> million.</w:t>
      </w:r>
      <w:r w:rsidRPr="00041197">
        <w:rPr>
          <w:rFonts w:cstheme="minorHAnsi"/>
          <w:spacing w:val="-3"/>
          <w:sz w:val="24"/>
          <w:szCs w:val="24"/>
          <w:lang w:val="en-GB"/>
        </w:rPr>
        <w:t xml:space="preserve"> </w:t>
      </w:r>
    </w:p>
    <w:p w14:paraId="4B779D1F" w14:textId="77777777" w:rsidR="0092128B" w:rsidRDefault="0092128B" w:rsidP="00BF17D9">
      <w:pPr>
        <w:tabs>
          <w:tab w:val="left" w:pos="-720"/>
        </w:tabs>
        <w:suppressAutoHyphens/>
        <w:spacing w:after="0" w:line="240" w:lineRule="auto"/>
        <w:jc w:val="both"/>
        <w:rPr>
          <w:sz w:val="24"/>
          <w:szCs w:val="24"/>
          <w:lang w:val="en"/>
        </w:rPr>
      </w:pPr>
    </w:p>
    <w:p w14:paraId="74C9EB1A" w14:textId="086FA8D0"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The circumstances that affected the financial result achieved in the </w:t>
      </w:r>
      <w:r w:rsidR="00D85A7D">
        <w:rPr>
          <w:rFonts w:cstheme="minorHAnsi"/>
          <w:spacing w:val="-3"/>
          <w:sz w:val="24"/>
          <w:szCs w:val="24"/>
          <w:lang w:val="en-GB"/>
        </w:rPr>
        <w:t>six</w:t>
      </w:r>
      <w:r>
        <w:rPr>
          <w:rFonts w:cstheme="minorHAnsi"/>
          <w:spacing w:val="-3"/>
          <w:sz w:val="24"/>
          <w:szCs w:val="24"/>
          <w:lang w:val="en-GB"/>
        </w:rPr>
        <w:t xml:space="preserve">-month reporting period </w:t>
      </w:r>
      <w:r w:rsidR="00BF17D9" w:rsidRPr="00041197">
        <w:rPr>
          <w:rFonts w:cstheme="minorHAnsi"/>
          <w:spacing w:val="-3"/>
          <w:sz w:val="24"/>
          <w:szCs w:val="24"/>
          <w:lang w:val="en-GB"/>
        </w:rPr>
        <w:t>20</w:t>
      </w:r>
      <w:r w:rsidR="004861F7">
        <w:rPr>
          <w:rFonts w:cstheme="minorHAnsi"/>
          <w:spacing w:val="-3"/>
          <w:sz w:val="24"/>
          <w:szCs w:val="24"/>
          <w:lang w:val="en-GB"/>
        </w:rPr>
        <w:t>2</w:t>
      </w:r>
      <w:r w:rsidR="001C2FB0">
        <w:rPr>
          <w:rFonts w:cstheme="minorHAnsi"/>
          <w:spacing w:val="-3"/>
          <w:sz w:val="24"/>
          <w:szCs w:val="24"/>
          <w:lang w:val="en-GB"/>
        </w:rPr>
        <w:t>2</w:t>
      </w:r>
      <w:r>
        <w:rPr>
          <w:rFonts w:cstheme="minorHAnsi"/>
          <w:spacing w:val="-3"/>
          <w:sz w:val="24"/>
          <w:szCs w:val="24"/>
          <w:lang w:val="en-GB"/>
        </w:rPr>
        <w:t xml:space="preserve"> compared to the </w:t>
      </w:r>
      <w:r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w:t>
      </w:r>
      <w:r w:rsidR="00AA1EBB">
        <w:rPr>
          <w:rFonts w:cstheme="minorHAnsi"/>
          <w:spacing w:val="-3"/>
          <w:sz w:val="24"/>
          <w:szCs w:val="24"/>
          <w:lang w:val="en-GB"/>
        </w:rPr>
        <w:t>2</w:t>
      </w:r>
      <w:r w:rsidR="003F245D">
        <w:rPr>
          <w:rFonts w:cstheme="minorHAnsi"/>
          <w:spacing w:val="-3"/>
          <w:sz w:val="24"/>
          <w:szCs w:val="24"/>
          <w:lang w:val="en-GB"/>
        </w:rPr>
        <w:t>1</w:t>
      </w:r>
      <w:r>
        <w:rPr>
          <w:rFonts w:cstheme="minorHAnsi"/>
          <w:spacing w:val="-3"/>
          <w:sz w:val="24"/>
          <w:szCs w:val="24"/>
          <w:lang w:val="en-GB"/>
        </w:rPr>
        <w:t xml:space="preserve"> are</w:t>
      </w:r>
      <w:r w:rsidR="00BF17D9" w:rsidRPr="00041197">
        <w:rPr>
          <w:rFonts w:cstheme="minorHAnsi"/>
          <w:spacing w:val="-3"/>
          <w:sz w:val="24"/>
          <w:szCs w:val="24"/>
          <w:lang w:val="en-GB"/>
        </w:rPr>
        <w:t>:</w:t>
      </w:r>
    </w:p>
    <w:p w14:paraId="0A4FBD13" w14:textId="2629439A" w:rsidR="00DB7995" w:rsidRPr="00AA1EBB" w:rsidRDefault="00D85A7D"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w:t>
      </w:r>
      <w:r w:rsidR="003F245D">
        <w:rPr>
          <w:rFonts w:asciiTheme="minorHAnsi" w:hAnsiTheme="minorHAnsi" w:cstheme="minorHAnsi"/>
          <w:bCs/>
          <w:spacing w:val="-3"/>
          <w:lang w:val="en-GB"/>
        </w:rPr>
        <w:t>-</w:t>
      </w:r>
      <w:r>
        <w:rPr>
          <w:rFonts w:asciiTheme="minorHAnsi" w:hAnsiTheme="minorHAnsi" w:cstheme="minorHAnsi"/>
          <w:bCs/>
          <w:spacing w:val="-3"/>
          <w:lang w:val="en-GB"/>
        </w:rPr>
        <w:t xml:space="preserve">) </w:t>
      </w:r>
      <w:r w:rsidR="00E65965">
        <w:rPr>
          <w:rFonts w:asciiTheme="minorHAnsi" w:hAnsiTheme="minorHAnsi" w:cstheme="minorHAnsi"/>
          <w:bCs/>
          <w:spacing w:val="-3"/>
          <w:lang w:val="en-GB"/>
        </w:rPr>
        <w:t>de</w:t>
      </w:r>
      <w:r w:rsidR="003D5E90" w:rsidRPr="00395073">
        <w:rPr>
          <w:rFonts w:asciiTheme="minorHAnsi" w:hAnsiTheme="minorHAnsi" w:cstheme="minorHAnsi"/>
          <w:bCs/>
          <w:spacing w:val="-3"/>
          <w:lang w:val="en-GB"/>
        </w:rPr>
        <w:t xml:space="preserve">crease in interest income of HRK </w:t>
      </w:r>
      <w:r w:rsidR="00E65965">
        <w:rPr>
          <w:rFonts w:asciiTheme="minorHAnsi" w:hAnsiTheme="minorHAnsi" w:cstheme="minorHAnsi"/>
          <w:bCs/>
          <w:spacing w:val="-3"/>
          <w:lang w:val="en-GB"/>
        </w:rPr>
        <w:t>9.2</w:t>
      </w:r>
      <w:r w:rsidR="0059334C" w:rsidRPr="00041197">
        <w:rPr>
          <w:rFonts w:asciiTheme="minorHAnsi" w:hAnsiTheme="minorHAnsi" w:cstheme="minorHAnsi"/>
          <w:bCs/>
          <w:spacing w:val="-3"/>
          <w:lang w:val="en-GB"/>
        </w:rPr>
        <w:t xml:space="preserve"> mil</w:t>
      </w:r>
      <w:r w:rsidR="003D5E90">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proofErr w:type="gramStart"/>
      <w:r w:rsidR="003D5E90">
        <w:rPr>
          <w:rFonts w:asciiTheme="minorHAnsi" w:hAnsiTheme="minorHAnsi" w:cstheme="minorHAnsi"/>
          <w:bCs/>
          <w:spacing w:val="-3"/>
          <w:lang w:val="en-GB"/>
        </w:rPr>
        <w:t>i.e.</w:t>
      </w:r>
      <w:proofErr w:type="gramEnd"/>
      <w:r w:rsidR="003D5E90">
        <w:rPr>
          <w:rFonts w:asciiTheme="minorHAnsi" w:hAnsiTheme="minorHAnsi" w:cstheme="minorHAnsi"/>
          <w:bCs/>
          <w:spacing w:val="-3"/>
          <w:lang w:val="en-GB"/>
        </w:rPr>
        <w:t xml:space="preserve"> by</w:t>
      </w:r>
      <w:r w:rsidR="00B81116" w:rsidRPr="00041197">
        <w:rPr>
          <w:rFonts w:asciiTheme="minorHAnsi" w:hAnsiTheme="minorHAnsi" w:cstheme="minorHAnsi"/>
          <w:bCs/>
          <w:spacing w:val="-3"/>
          <w:lang w:val="en-GB"/>
        </w:rPr>
        <w:t xml:space="preserve"> </w:t>
      </w:r>
      <w:r w:rsidR="00E65965">
        <w:rPr>
          <w:rFonts w:asciiTheme="minorHAnsi" w:hAnsiTheme="minorHAnsi" w:cstheme="minorHAnsi"/>
          <w:bCs/>
          <w:spacing w:val="-3"/>
          <w:lang w:val="en-GB"/>
        </w:rPr>
        <w:t>2</w:t>
      </w:r>
      <w:r w:rsidR="003D5E90">
        <w:rPr>
          <w:rFonts w:asciiTheme="minorHAnsi" w:hAnsiTheme="minorHAnsi" w:cstheme="minorHAnsi"/>
          <w:bCs/>
          <w:spacing w:val="-3"/>
          <w:lang w:val="en-GB"/>
        </w:rPr>
        <w:t>.</w:t>
      </w:r>
      <w:r w:rsidR="00E65965">
        <w:rPr>
          <w:rFonts w:asciiTheme="minorHAnsi" w:hAnsiTheme="minorHAnsi" w:cstheme="minorHAnsi"/>
          <w:bCs/>
          <w:spacing w:val="-3"/>
          <w:lang w:val="en-GB"/>
        </w:rPr>
        <w:t>7</w:t>
      </w:r>
      <w:r w:rsidR="00B81116" w:rsidRPr="00041197">
        <w:rPr>
          <w:rFonts w:asciiTheme="minorHAnsi" w:hAnsiTheme="minorHAnsi" w:cstheme="minorHAnsi"/>
          <w:bCs/>
          <w:spacing w:val="-3"/>
          <w:lang w:val="en-GB"/>
        </w:rPr>
        <w:t xml:space="preserve"> p</w:t>
      </w:r>
      <w:r w:rsidR="003D5E90">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5936991A" w14:textId="621B6EB1" w:rsidR="00AA1EBB" w:rsidRPr="00D85A7D" w:rsidRDefault="00AA1EBB" w:rsidP="00AA1EBB">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de</w:t>
      </w:r>
      <w:r w:rsidRPr="00395073">
        <w:rPr>
          <w:rFonts w:asciiTheme="minorHAnsi" w:hAnsiTheme="minorHAnsi" w:cstheme="minorHAnsi"/>
          <w:bCs/>
          <w:spacing w:val="-3"/>
          <w:lang w:val="en-GB"/>
        </w:rPr>
        <w:t xml:space="preserve">crease in interest </w:t>
      </w:r>
      <w:r>
        <w:rPr>
          <w:rFonts w:asciiTheme="minorHAnsi" w:hAnsiTheme="minorHAnsi" w:cstheme="minorHAnsi"/>
          <w:bCs/>
          <w:spacing w:val="-3"/>
          <w:lang w:val="en-GB"/>
        </w:rPr>
        <w:t>expenses</w:t>
      </w:r>
      <w:r w:rsidRPr="00395073">
        <w:rPr>
          <w:rFonts w:asciiTheme="minorHAnsi" w:hAnsiTheme="minorHAnsi" w:cstheme="minorHAnsi"/>
          <w:bCs/>
          <w:spacing w:val="-3"/>
          <w:lang w:val="en-GB"/>
        </w:rPr>
        <w:t xml:space="preserve"> of HRK </w:t>
      </w:r>
      <w:r w:rsidR="00E65965">
        <w:rPr>
          <w:rFonts w:asciiTheme="minorHAnsi" w:hAnsiTheme="minorHAnsi" w:cstheme="minorHAnsi"/>
          <w:bCs/>
          <w:spacing w:val="-3"/>
          <w:lang w:val="en-GB"/>
        </w:rPr>
        <w:t>17.8</w:t>
      </w:r>
      <w:r w:rsidRPr="00041197">
        <w:rPr>
          <w:rFonts w:asciiTheme="minorHAnsi" w:hAnsiTheme="minorHAnsi" w:cstheme="minorHAnsi"/>
          <w:bCs/>
          <w:spacing w:val="-3"/>
          <w:lang w:val="en-GB"/>
        </w:rPr>
        <w:t xml:space="preserve"> mil</w:t>
      </w:r>
      <w:r>
        <w:rPr>
          <w:rFonts w:asciiTheme="minorHAnsi" w:hAnsiTheme="minorHAnsi" w:cstheme="minorHAnsi"/>
          <w:bCs/>
          <w:spacing w:val="-3"/>
          <w:lang w:val="en-GB"/>
        </w:rPr>
        <w:t>lion</w:t>
      </w:r>
      <w:r w:rsidRPr="00041197">
        <w:rPr>
          <w:rFonts w:asciiTheme="minorHAnsi" w:hAnsiTheme="minorHAnsi" w:cstheme="minorHAnsi"/>
          <w:bCs/>
          <w:spacing w:val="-3"/>
          <w:lang w:val="en-GB"/>
        </w:rPr>
        <w:t xml:space="preserve">, </w:t>
      </w:r>
      <w:proofErr w:type="gramStart"/>
      <w:r>
        <w:rPr>
          <w:rFonts w:asciiTheme="minorHAnsi" w:hAnsiTheme="minorHAnsi" w:cstheme="minorHAnsi"/>
          <w:bCs/>
          <w:spacing w:val="-3"/>
          <w:lang w:val="en-GB"/>
        </w:rPr>
        <w:t>i.e.</w:t>
      </w:r>
      <w:proofErr w:type="gramEnd"/>
      <w:r>
        <w:rPr>
          <w:rFonts w:asciiTheme="minorHAnsi" w:hAnsiTheme="minorHAnsi" w:cstheme="minorHAnsi"/>
          <w:bCs/>
          <w:spacing w:val="-3"/>
          <w:lang w:val="en-GB"/>
        </w:rPr>
        <w:t xml:space="preserve"> by</w:t>
      </w:r>
      <w:r w:rsidRPr="00041197">
        <w:rPr>
          <w:rFonts w:asciiTheme="minorHAnsi" w:hAnsiTheme="minorHAnsi" w:cstheme="minorHAnsi"/>
          <w:bCs/>
          <w:spacing w:val="-3"/>
          <w:lang w:val="en-GB"/>
        </w:rPr>
        <w:t xml:space="preserve"> </w:t>
      </w:r>
      <w:r w:rsidR="00E65965">
        <w:rPr>
          <w:rFonts w:asciiTheme="minorHAnsi" w:hAnsiTheme="minorHAnsi" w:cstheme="minorHAnsi"/>
          <w:bCs/>
          <w:spacing w:val="-3"/>
          <w:lang w:val="en-GB"/>
        </w:rPr>
        <w:t>18.3</w:t>
      </w:r>
      <w:r w:rsidRPr="00041197">
        <w:rPr>
          <w:rFonts w:asciiTheme="minorHAnsi" w:hAnsiTheme="minorHAnsi" w:cstheme="minorHAnsi"/>
          <w:bCs/>
          <w:spacing w:val="-3"/>
          <w:lang w:val="en-GB"/>
        </w:rPr>
        <w:t xml:space="preserve"> p</w:t>
      </w:r>
      <w:r>
        <w:rPr>
          <w:rFonts w:asciiTheme="minorHAnsi" w:hAnsiTheme="minorHAnsi" w:cstheme="minorHAnsi"/>
          <w:bCs/>
          <w:spacing w:val="-3"/>
          <w:lang w:val="en-GB"/>
        </w:rPr>
        <w:t>ercent</w:t>
      </w:r>
      <w:r w:rsidRPr="00041197">
        <w:rPr>
          <w:rFonts w:asciiTheme="minorHAnsi" w:hAnsiTheme="minorHAnsi" w:cstheme="minorHAnsi"/>
          <w:bCs/>
          <w:spacing w:val="-3"/>
          <w:lang w:val="en-GB"/>
        </w:rPr>
        <w:t>,</w:t>
      </w:r>
    </w:p>
    <w:p w14:paraId="0436E904" w14:textId="1860A8A4" w:rsidR="004861F7"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E65965">
        <w:rPr>
          <w:rFonts w:asciiTheme="minorHAnsi" w:hAnsiTheme="minorHAnsi" w:cstheme="minorHAnsi"/>
          <w:spacing w:val="-3"/>
          <w:lang w:val="en-GB"/>
        </w:rPr>
        <w:t>+</w:t>
      </w:r>
      <w:r>
        <w:rPr>
          <w:rFonts w:asciiTheme="minorHAnsi" w:hAnsiTheme="minorHAnsi" w:cstheme="minorHAnsi"/>
          <w:spacing w:val="-3"/>
          <w:lang w:val="en-GB"/>
        </w:rPr>
        <w:t xml:space="preserve">) </w:t>
      </w:r>
      <w:r w:rsidR="00E65965">
        <w:rPr>
          <w:rFonts w:asciiTheme="minorHAnsi" w:hAnsiTheme="minorHAnsi" w:cstheme="minorHAnsi"/>
          <w:spacing w:val="-3"/>
          <w:lang w:val="en-GB"/>
        </w:rPr>
        <w:t>in</w:t>
      </w:r>
      <w:r w:rsidR="004861F7">
        <w:rPr>
          <w:rFonts w:asciiTheme="minorHAnsi" w:hAnsiTheme="minorHAnsi" w:cstheme="minorHAnsi"/>
          <w:spacing w:val="-3"/>
          <w:lang w:val="en-GB"/>
        </w:rPr>
        <w:t xml:space="preserve">crease in net income from fees and commissions of HRK </w:t>
      </w:r>
      <w:r w:rsidR="0080655F">
        <w:rPr>
          <w:rFonts w:asciiTheme="minorHAnsi" w:hAnsiTheme="minorHAnsi" w:cstheme="minorHAnsi"/>
          <w:spacing w:val="-3"/>
          <w:lang w:val="en-GB"/>
        </w:rPr>
        <w:t>1.1</w:t>
      </w:r>
      <w:r w:rsidR="004861F7">
        <w:rPr>
          <w:rFonts w:asciiTheme="minorHAnsi" w:hAnsiTheme="minorHAnsi" w:cstheme="minorHAnsi"/>
          <w:spacing w:val="-3"/>
          <w:lang w:val="en-GB"/>
        </w:rPr>
        <w:t xml:space="preserve"> million, </w:t>
      </w:r>
      <w:proofErr w:type="gramStart"/>
      <w:r w:rsidR="004861F7">
        <w:rPr>
          <w:rFonts w:asciiTheme="minorHAnsi" w:hAnsiTheme="minorHAnsi" w:cstheme="minorHAnsi"/>
          <w:spacing w:val="-3"/>
          <w:lang w:val="en-GB"/>
        </w:rPr>
        <w:t>i.e.</w:t>
      </w:r>
      <w:proofErr w:type="gramEnd"/>
      <w:r w:rsidR="004861F7">
        <w:rPr>
          <w:rFonts w:asciiTheme="minorHAnsi" w:hAnsiTheme="minorHAnsi" w:cstheme="minorHAnsi"/>
          <w:spacing w:val="-3"/>
          <w:lang w:val="en-GB"/>
        </w:rPr>
        <w:t xml:space="preserve"> by </w:t>
      </w:r>
      <w:r w:rsidR="0080655F">
        <w:rPr>
          <w:rFonts w:asciiTheme="minorHAnsi" w:hAnsiTheme="minorHAnsi" w:cstheme="minorHAnsi"/>
          <w:spacing w:val="-3"/>
          <w:lang w:val="en-GB"/>
        </w:rPr>
        <w:t>11.7</w:t>
      </w:r>
      <w:r w:rsidR="004861F7">
        <w:rPr>
          <w:rFonts w:asciiTheme="minorHAnsi" w:hAnsiTheme="minorHAnsi" w:cstheme="minorHAnsi"/>
          <w:spacing w:val="-3"/>
          <w:lang w:val="en-GB"/>
        </w:rPr>
        <w:t xml:space="preserve"> percent,</w:t>
      </w:r>
    </w:p>
    <w:p w14:paraId="6C884319" w14:textId="32FE458E" w:rsidR="004861F7" w:rsidRPr="00AA1EBB"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lang w:val="en"/>
        </w:rPr>
        <w:t>(</w:t>
      </w:r>
      <w:r w:rsidR="00AA1EBB">
        <w:rPr>
          <w:rFonts w:asciiTheme="minorHAnsi" w:hAnsiTheme="minorHAnsi" w:cstheme="minorHAnsi"/>
          <w:lang w:val="en"/>
        </w:rPr>
        <w:t>+</w:t>
      </w:r>
      <w:r>
        <w:rPr>
          <w:rFonts w:asciiTheme="minorHAnsi" w:hAnsiTheme="minorHAnsi" w:cstheme="minorHAnsi"/>
          <w:lang w:val="en"/>
        </w:rPr>
        <w:t xml:space="preserve">) </w:t>
      </w:r>
      <w:r w:rsidR="00FC15D3">
        <w:rPr>
          <w:rFonts w:asciiTheme="minorHAnsi" w:hAnsiTheme="minorHAnsi" w:cstheme="minorHAnsi"/>
          <w:lang w:val="en"/>
        </w:rPr>
        <w:t>in</w:t>
      </w:r>
      <w:r>
        <w:rPr>
          <w:rFonts w:asciiTheme="minorHAnsi" w:hAnsiTheme="minorHAnsi" w:cstheme="minorHAnsi"/>
          <w:lang w:val="en"/>
        </w:rPr>
        <w:t xml:space="preserve">crease in net </w:t>
      </w:r>
      <w:r w:rsidR="00FC15D3">
        <w:rPr>
          <w:rFonts w:asciiTheme="minorHAnsi" w:hAnsiTheme="minorHAnsi" w:cstheme="minorHAnsi"/>
          <w:lang w:val="en"/>
        </w:rPr>
        <w:t>gain</w:t>
      </w:r>
      <w:r w:rsidR="004F32A1">
        <w:rPr>
          <w:rFonts w:asciiTheme="minorHAnsi" w:hAnsiTheme="minorHAnsi" w:cstheme="minorHAnsi"/>
          <w:lang w:val="en"/>
        </w:rPr>
        <w:t xml:space="preserve">s </w:t>
      </w:r>
      <w:r>
        <w:rPr>
          <w:rFonts w:asciiTheme="minorHAnsi" w:hAnsiTheme="minorHAnsi" w:cstheme="minorHAnsi"/>
          <w:lang w:val="en"/>
        </w:rPr>
        <w:t>from</w:t>
      </w:r>
      <w:r w:rsidR="00990EF1" w:rsidRPr="00990EF1">
        <w:rPr>
          <w:rFonts w:asciiTheme="minorHAnsi" w:hAnsiTheme="minorHAnsi" w:cstheme="minorHAnsi"/>
          <w:lang w:val="en"/>
        </w:rPr>
        <w:t xml:space="preserve"> financial activities in the amount of HRK </w:t>
      </w:r>
      <w:r w:rsidR="00FC15D3">
        <w:rPr>
          <w:rFonts w:asciiTheme="minorHAnsi" w:hAnsiTheme="minorHAnsi" w:cstheme="minorHAnsi"/>
          <w:lang w:val="en"/>
        </w:rPr>
        <w:t>22.1</w:t>
      </w:r>
      <w:r w:rsidR="00990EF1" w:rsidRPr="00990EF1">
        <w:rPr>
          <w:rFonts w:asciiTheme="minorHAnsi" w:hAnsiTheme="minorHAnsi" w:cstheme="minorHAnsi"/>
          <w:lang w:val="en"/>
        </w:rPr>
        <w:t xml:space="preserve"> million</w:t>
      </w:r>
      <w:r w:rsidR="00AA1EBB">
        <w:rPr>
          <w:rFonts w:asciiTheme="minorHAnsi" w:hAnsiTheme="minorHAnsi" w:cstheme="minorHAnsi"/>
          <w:lang w:val="en"/>
        </w:rPr>
        <w:t>,</w:t>
      </w:r>
    </w:p>
    <w:p w14:paraId="45B16797" w14:textId="46E294A7" w:rsidR="00AA1EBB" w:rsidRPr="00AA1EBB" w:rsidRDefault="00AA1EBB" w:rsidP="00AA1EBB">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585EF8">
        <w:rPr>
          <w:rFonts w:asciiTheme="minorHAnsi" w:hAnsiTheme="minorHAnsi" w:cstheme="minorHAnsi"/>
          <w:spacing w:val="-3"/>
          <w:lang w:val="en-GB"/>
        </w:rPr>
        <w:t>-</w:t>
      </w:r>
      <w:r>
        <w:rPr>
          <w:rFonts w:asciiTheme="minorHAnsi" w:hAnsiTheme="minorHAnsi" w:cstheme="minorHAnsi"/>
          <w:spacing w:val="-3"/>
          <w:lang w:val="en-GB"/>
        </w:rPr>
        <w:t xml:space="preserve">) </w:t>
      </w:r>
      <w:r w:rsidR="00585EF8">
        <w:rPr>
          <w:rFonts w:asciiTheme="minorHAnsi" w:hAnsiTheme="minorHAnsi" w:cstheme="minorHAnsi"/>
          <w:spacing w:val="-3"/>
          <w:lang w:val="en-GB"/>
        </w:rPr>
        <w:t>de</w:t>
      </w:r>
      <w:r>
        <w:rPr>
          <w:rFonts w:asciiTheme="minorHAnsi" w:hAnsiTheme="minorHAnsi" w:cstheme="minorHAnsi"/>
          <w:spacing w:val="-3"/>
          <w:lang w:val="en-GB"/>
        </w:rPr>
        <w:t>c</w:t>
      </w:r>
      <w:r w:rsidRPr="0017099C">
        <w:rPr>
          <w:rFonts w:asciiTheme="minorHAnsi" w:hAnsiTheme="minorHAnsi" w:cstheme="minorHAnsi"/>
          <w:lang w:val="en-GB"/>
        </w:rPr>
        <w:t>reas</w:t>
      </w:r>
      <w:r w:rsidRPr="00395073">
        <w:rPr>
          <w:rFonts w:asciiTheme="minorHAnsi" w:hAnsiTheme="minorHAnsi"/>
          <w:lang w:val="en-GB"/>
        </w:rPr>
        <w:t xml:space="preserve">e in </w:t>
      </w:r>
      <w:r>
        <w:rPr>
          <w:rFonts w:asciiTheme="minorHAnsi" w:hAnsiTheme="minorHAnsi"/>
          <w:lang w:val="en-GB"/>
        </w:rPr>
        <w:t xml:space="preserve">other income of HRK </w:t>
      </w:r>
      <w:r w:rsidR="00585EF8">
        <w:rPr>
          <w:rFonts w:asciiTheme="minorHAnsi" w:hAnsiTheme="minorHAnsi"/>
          <w:lang w:val="en-GB"/>
        </w:rPr>
        <w:t>9.4</w:t>
      </w:r>
      <w:r>
        <w:rPr>
          <w:rFonts w:asciiTheme="minorHAnsi" w:hAnsiTheme="minorHAnsi"/>
          <w:lang w:val="en-GB"/>
        </w:rPr>
        <w:t xml:space="preserve"> million,</w:t>
      </w:r>
    </w:p>
    <w:p w14:paraId="059186F3" w14:textId="3EABDEB9" w:rsidR="00AA1EBB" w:rsidRPr="00AA1EBB" w:rsidRDefault="00AA1EBB" w:rsidP="00AA1EBB">
      <w:pPr>
        <w:numPr>
          <w:ilvl w:val="0"/>
          <w:numId w:val="13"/>
        </w:numPr>
        <w:spacing w:after="0" w:line="240" w:lineRule="auto"/>
        <w:ind w:left="709" w:hanging="283"/>
        <w:contextualSpacing/>
        <w:jc w:val="both"/>
        <w:rPr>
          <w:spacing w:val="-3"/>
          <w:sz w:val="24"/>
          <w:szCs w:val="24"/>
          <w:lang w:val="en-GB" w:eastAsia="hr-HR"/>
        </w:rPr>
      </w:pPr>
      <w:r w:rsidRPr="00F9428F">
        <w:rPr>
          <w:spacing w:val="-3"/>
          <w:sz w:val="24"/>
          <w:szCs w:val="24"/>
          <w:lang w:val="en-GB" w:eastAsia="hr-HR"/>
        </w:rPr>
        <w:t xml:space="preserve">(+) </w:t>
      </w:r>
      <w:r w:rsidR="00585EF8">
        <w:rPr>
          <w:spacing w:val="-3"/>
          <w:sz w:val="24"/>
          <w:szCs w:val="24"/>
          <w:lang w:val="en-GB" w:eastAsia="hr-HR"/>
        </w:rPr>
        <w:t>increase in</w:t>
      </w:r>
      <w:r w:rsidRPr="00F9428F">
        <w:rPr>
          <w:spacing w:val="-3"/>
          <w:sz w:val="24"/>
          <w:szCs w:val="24"/>
          <w:lang w:val="en-GB" w:eastAsia="hr-HR"/>
        </w:rPr>
        <w:t xml:space="preserve"> </w:t>
      </w:r>
      <w:r w:rsidR="002D6AD9">
        <w:rPr>
          <w:spacing w:val="-3"/>
          <w:sz w:val="24"/>
          <w:szCs w:val="24"/>
          <w:lang w:val="en-GB" w:eastAsia="hr-HR"/>
        </w:rPr>
        <w:t>impairment gain and provisions</w:t>
      </w:r>
      <w:r w:rsidR="006750F2">
        <w:rPr>
          <w:spacing w:val="-3"/>
          <w:sz w:val="24"/>
          <w:szCs w:val="24"/>
          <w:lang w:val="en-GB" w:eastAsia="hr-HR"/>
        </w:rPr>
        <w:t xml:space="preserve"> b</w:t>
      </w:r>
      <w:r w:rsidRPr="00F9428F">
        <w:rPr>
          <w:spacing w:val="-3"/>
          <w:sz w:val="24"/>
          <w:szCs w:val="24"/>
          <w:lang w:val="en-GB" w:eastAsia="hr-HR"/>
        </w:rPr>
        <w:t xml:space="preserve">y HRK </w:t>
      </w:r>
      <w:r w:rsidR="006750F2">
        <w:rPr>
          <w:spacing w:val="-3"/>
          <w:sz w:val="24"/>
          <w:szCs w:val="24"/>
          <w:lang w:val="en-GB" w:eastAsia="hr-HR"/>
        </w:rPr>
        <w:t>55.7</w:t>
      </w:r>
      <w:r w:rsidRPr="00F9428F">
        <w:rPr>
          <w:spacing w:val="-3"/>
          <w:sz w:val="24"/>
          <w:szCs w:val="24"/>
          <w:lang w:val="en-GB" w:eastAsia="hr-HR"/>
        </w:rPr>
        <w:t xml:space="preserve"> million compared to the same period in</w:t>
      </w:r>
      <w:r w:rsidRPr="00F9428F">
        <w:rPr>
          <w:spacing w:val="-3"/>
          <w:sz w:val="24"/>
          <w:szCs w:val="24"/>
          <w:lang w:val="en-GB"/>
        </w:rPr>
        <w:t xml:space="preserve"> 202</w:t>
      </w:r>
      <w:r w:rsidR="001C2FB0">
        <w:rPr>
          <w:spacing w:val="-3"/>
          <w:sz w:val="24"/>
          <w:szCs w:val="24"/>
          <w:lang w:val="en-GB"/>
        </w:rPr>
        <w:t>1</w:t>
      </w:r>
      <w:r w:rsidRPr="00F9428F">
        <w:rPr>
          <w:spacing w:val="-3"/>
          <w:sz w:val="24"/>
          <w:szCs w:val="24"/>
          <w:lang w:val="en-GB"/>
        </w:rPr>
        <w:t>,</w:t>
      </w:r>
    </w:p>
    <w:p w14:paraId="6DE13AE2" w14:textId="76E0A387" w:rsidR="00B81116" w:rsidRPr="00041197" w:rsidRDefault="00D85A7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AA1EBB">
        <w:rPr>
          <w:rFonts w:asciiTheme="minorHAnsi" w:hAnsiTheme="minorHAnsi" w:cstheme="minorHAnsi"/>
          <w:spacing w:val="-3"/>
          <w:lang w:val="en-GB"/>
        </w:rPr>
        <w:t>-</w:t>
      </w:r>
      <w:r>
        <w:rPr>
          <w:rFonts w:asciiTheme="minorHAnsi" w:hAnsiTheme="minorHAnsi" w:cstheme="minorHAnsi"/>
          <w:spacing w:val="-3"/>
          <w:lang w:val="en-GB"/>
        </w:rPr>
        <w:t xml:space="preserve">) </w:t>
      </w:r>
      <w:r w:rsidR="00AA1EBB">
        <w:rPr>
          <w:rFonts w:asciiTheme="minorHAnsi" w:hAnsiTheme="minorHAnsi" w:cstheme="minorHAnsi"/>
          <w:spacing w:val="-3"/>
          <w:lang w:val="en-GB"/>
        </w:rPr>
        <w:t>in</w:t>
      </w:r>
      <w:r w:rsidR="00781556" w:rsidRPr="0017099C">
        <w:rPr>
          <w:rFonts w:asciiTheme="minorHAnsi" w:hAnsiTheme="minorHAnsi" w:cstheme="minorHAnsi"/>
          <w:lang w:val="en-GB"/>
        </w:rPr>
        <w:t>creas</w:t>
      </w:r>
      <w:r w:rsidR="00781556" w:rsidRPr="00395073">
        <w:rPr>
          <w:rFonts w:asciiTheme="minorHAnsi" w:hAnsiTheme="minorHAnsi"/>
          <w:lang w:val="en-GB"/>
        </w:rPr>
        <w:t xml:space="preserve">e in operating expenses of HRK </w:t>
      </w:r>
      <w:r w:rsidR="00AA1EBB">
        <w:rPr>
          <w:rFonts w:asciiTheme="minorHAnsi" w:hAnsiTheme="minorHAnsi"/>
          <w:lang w:val="en-GB"/>
        </w:rPr>
        <w:t>1</w:t>
      </w:r>
      <w:r w:rsidR="006750F2">
        <w:rPr>
          <w:rFonts w:asciiTheme="minorHAnsi" w:hAnsiTheme="minorHAnsi"/>
          <w:lang w:val="en-GB"/>
        </w:rPr>
        <w:t>9</w:t>
      </w:r>
      <w:r w:rsidR="00781556">
        <w:rPr>
          <w:rFonts w:asciiTheme="minorHAnsi" w:hAnsiTheme="minorHAnsi" w:cstheme="minorHAnsi"/>
          <w:spacing w:val="-3"/>
          <w:lang w:val="en-GB"/>
        </w:rPr>
        <w:t>.</w:t>
      </w:r>
      <w:r w:rsidR="006750F2">
        <w:rPr>
          <w:rFonts w:asciiTheme="minorHAnsi" w:hAnsiTheme="minorHAnsi" w:cstheme="minorHAnsi"/>
          <w:spacing w:val="-3"/>
          <w:lang w:val="en-GB"/>
        </w:rPr>
        <w:t>5</w:t>
      </w:r>
      <w:r w:rsidR="00B81116" w:rsidRPr="00041197">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w:t>
      </w:r>
      <w:proofErr w:type="gramStart"/>
      <w:r w:rsidR="00781556">
        <w:rPr>
          <w:rFonts w:asciiTheme="minorHAnsi" w:hAnsiTheme="minorHAnsi" w:cstheme="minorHAnsi"/>
          <w:spacing w:val="-3"/>
          <w:lang w:val="en-GB"/>
        </w:rPr>
        <w:t>i.e.</w:t>
      </w:r>
      <w:proofErr w:type="gramEnd"/>
      <w:r w:rsidR="00781556">
        <w:rPr>
          <w:rFonts w:asciiTheme="minorHAnsi" w:hAnsiTheme="minorHAnsi" w:cstheme="minorHAnsi"/>
          <w:spacing w:val="-3"/>
          <w:lang w:val="en-GB"/>
        </w:rPr>
        <w:t xml:space="preserve"> by </w:t>
      </w:r>
      <w:r w:rsidR="00AA1EBB">
        <w:rPr>
          <w:rFonts w:asciiTheme="minorHAnsi" w:hAnsiTheme="minorHAnsi" w:cstheme="minorHAnsi"/>
          <w:spacing w:val="-3"/>
          <w:lang w:val="en-GB"/>
        </w:rPr>
        <w:t>2</w:t>
      </w:r>
      <w:r w:rsidR="006750F2">
        <w:rPr>
          <w:rFonts w:asciiTheme="minorHAnsi" w:hAnsiTheme="minorHAnsi" w:cstheme="minorHAnsi"/>
          <w:spacing w:val="-3"/>
          <w:lang w:val="en-GB"/>
        </w:rPr>
        <w:t>2</w:t>
      </w:r>
      <w:r w:rsidR="00781556">
        <w:rPr>
          <w:rFonts w:asciiTheme="minorHAnsi" w:hAnsiTheme="minorHAnsi" w:cstheme="minorHAnsi"/>
          <w:spacing w:val="-3"/>
          <w:lang w:val="en-GB"/>
        </w:rPr>
        <w:t>.</w:t>
      </w:r>
      <w:r w:rsidR="006750F2">
        <w:rPr>
          <w:rFonts w:asciiTheme="minorHAnsi" w:hAnsiTheme="minorHAnsi" w:cstheme="minorHAnsi"/>
          <w:spacing w:val="-3"/>
          <w:lang w:val="en-GB"/>
        </w:rPr>
        <w:t>5</w:t>
      </w:r>
      <w:r w:rsidR="00B81116" w:rsidRPr="00041197">
        <w:rPr>
          <w:rFonts w:asciiTheme="minorHAnsi" w:hAnsiTheme="minorHAnsi" w:cstheme="minorHAnsi"/>
          <w:spacing w:val="-3"/>
          <w:lang w:val="en-GB"/>
        </w:rPr>
        <w:t xml:space="preserve"> p</w:t>
      </w:r>
      <w:r w:rsidR="00781556">
        <w:rPr>
          <w:rFonts w:asciiTheme="minorHAnsi" w:hAnsiTheme="minorHAnsi" w:cstheme="minorHAnsi"/>
          <w:spacing w:val="-3"/>
          <w:lang w:val="en-GB"/>
        </w:rPr>
        <w:t>ercent</w:t>
      </w:r>
      <w:r w:rsidR="00990EF1">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5"/>
          <w:pgSz w:w="11906" w:h="16838"/>
          <w:pgMar w:top="1417" w:right="1417" w:bottom="1417" w:left="1276" w:header="708" w:footer="708" w:gutter="0"/>
          <w:cols w:space="708"/>
          <w:docGrid w:linePitch="360"/>
        </w:sectPr>
      </w:pPr>
    </w:p>
    <w:p w14:paraId="53746224" w14:textId="2EC5C311"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18"/>
          <w:szCs w:val="24"/>
          <w:lang w:val="en-GB" w:eastAsia="hr-HR"/>
        </w:rPr>
        <w:t xml:space="preserve"> </w:t>
      </w:r>
      <w:r w:rsidR="00551404">
        <w:rPr>
          <w:rFonts w:eastAsia="Times New Roman" w:cs="Calibri"/>
          <w:b/>
          <w:i/>
          <w:spacing w:val="-3"/>
          <w:sz w:val="18"/>
          <w:szCs w:val="24"/>
          <w:lang w:val="en-GB" w:eastAsia="hr-HR"/>
        </w:rPr>
        <w:t xml:space="preserve">   </w:t>
      </w:r>
      <w:r w:rsidR="00F718B1">
        <w:rPr>
          <w:noProof/>
        </w:rPr>
        <w:t xml:space="preserve">  </w:t>
      </w:r>
      <w:r w:rsidR="00833082">
        <w:rPr>
          <w:noProof/>
        </w:rPr>
        <w:drawing>
          <wp:inline distT="0" distB="0" distL="0" distR="0" wp14:anchorId="38E162CE" wp14:editId="583B54FA">
            <wp:extent cx="2868659" cy="3543300"/>
            <wp:effectExtent l="0" t="0" r="825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80638" cy="3558096"/>
                    </a:xfrm>
                    <a:prstGeom prst="rect">
                      <a:avLst/>
                    </a:prstGeom>
                    <a:noFill/>
                  </pic:spPr>
                </pic:pic>
              </a:graphicData>
            </a:graphic>
          </wp:inline>
        </w:drawing>
      </w:r>
      <w:r w:rsidR="00DD4CA8">
        <w:rPr>
          <w:noProof/>
        </w:rPr>
        <w:t xml:space="preserve">  </w:t>
      </w:r>
      <w:r w:rsidR="00F718B1">
        <w:rPr>
          <w:noProof/>
        </w:rPr>
        <w:t xml:space="preserve"> </w:t>
      </w:r>
      <w:r w:rsidR="00DD4CA8">
        <w:rPr>
          <w:noProof/>
        </w:rPr>
        <w:drawing>
          <wp:inline distT="0" distB="0" distL="0" distR="0" wp14:anchorId="069D920F" wp14:editId="487622B7">
            <wp:extent cx="2952750" cy="3533523"/>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64224" cy="3547253"/>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18C0CBA1" w:rsidR="00E43402" w:rsidRPr="00041197" w:rsidRDefault="00217A10" w:rsidP="000B6268">
      <w:pPr>
        <w:tabs>
          <w:tab w:val="left" w:pos="-720"/>
        </w:tabs>
        <w:suppressAutoHyphens/>
        <w:spacing w:after="0" w:line="240" w:lineRule="auto"/>
        <w:ind w:right="-285"/>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8965FA">
        <w:rPr>
          <w:rFonts w:eastAsia="Times New Roman" w:cs="Calibri"/>
          <w:b/>
          <w:i/>
          <w:noProof/>
          <w:spacing w:val="-3"/>
          <w:sz w:val="24"/>
          <w:szCs w:val="24"/>
          <w:lang w:val="en-GB" w:eastAsia="hr-HR"/>
        </w:rPr>
        <w:drawing>
          <wp:inline distT="0" distB="0" distL="0" distR="0" wp14:anchorId="08C54B16" wp14:editId="12C804A7">
            <wp:extent cx="2790825" cy="3676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0825" cy="3676650"/>
                    </a:xfrm>
                    <a:prstGeom prst="rect">
                      <a:avLst/>
                    </a:prstGeom>
                    <a:noFill/>
                  </pic:spPr>
                </pic:pic>
              </a:graphicData>
            </a:graphic>
          </wp:inline>
        </w:drawing>
      </w:r>
      <w:r w:rsidR="00F427B5">
        <w:rPr>
          <w:rFonts w:eastAsia="Times New Roman" w:cs="Calibri"/>
          <w:b/>
          <w:i/>
          <w:spacing w:val="-3"/>
          <w:sz w:val="24"/>
          <w:szCs w:val="24"/>
          <w:lang w:val="en-GB" w:eastAsia="hr-HR"/>
        </w:rPr>
        <w:t xml:space="preserve"> </w:t>
      </w:r>
      <w:r w:rsidR="00267EEB">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4D1AF5">
        <w:rPr>
          <w:rFonts w:eastAsia="Times New Roman" w:cs="Calibri"/>
          <w:b/>
          <w:i/>
          <w:noProof/>
          <w:spacing w:val="-3"/>
          <w:sz w:val="24"/>
          <w:szCs w:val="24"/>
          <w:lang w:val="en-GB" w:eastAsia="hr-HR"/>
        </w:rPr>
        <w:drawing>
          <wp:inline distT="0" distB="0" distL="0" distR="0" wp14:anchorId="2F480601" wp14:editId="073D2093">
            <wp:extent cx="2943225" cy="36766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0153" cy="3685304"/>
                    </a:xfrm>
                    <a:prstGeom prst="rect">
                      <a:avLst/>
                    </a:prstGeom>
                    <a:noFill/>
                  </pic:spPr>
                </pic:pic>
              </a:graphicData>
            </a:graphic>
          </wp:inline>
        </w:drawing>
      </w:r>
    </w:p>
    <w:p w14:paraId="39D4D1E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p>
    <w:p w14:paraId="1EA24E9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30"/>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1F36BF13" w:rsidR="00BF17D9" w:rsidRPr="00041197" w:rsidRDefault="0038011D" w:rsidP="00D83EB3">
      <w:pPr>
        <w:tabs>
          <w:tab w:val="left" w:pos="-720"/>
          <w:tab w:val="left" w:pos="9072"/>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2B58C5">
        <w:rPr>
          <w:rFonts w:cs="Calibri"/>
          <w:spacing w:val="-3"/>
          <w:sz w:val="24"/>
          <w:szCs w:val="24"/>
          <w:lang w:val="en-GB"/>
        </w:rPr>
        <w:t>24</w:t>
      </w:r>
      <w:r w:rsidR="00F57348">
        <w:rPr>
          <w:rFonts w:cs="Calibri"/>
          <w:spacing w:val="-3"/>
          <w:sz w:val="24"/>
          <w:szCs w:val="24"/>
          <w:lang w:val="en-GB"/>
        </w:rPr>
        <w:t>8</w:t>
      </w:r>
      <w:r>
        <w:rPr>
          <w:rFonts w:cstheme="minorHAnsi"/>
          <w:spacing w:val="-3"/>
          <w:sz w:val="24"/>
          <w:szCs w:val="24"/>
          <w:lang w:val="en-GB"/>
        </w:rPr>
        <w:t>.</w:t>
      </w:r>
      <w:r w:rsidR="00F57348">
        <w:rPr>
          <w:rFonts w:cstheme="minorHAnsi"/>
          <w:spacing w:val="-3"/>
          <w:sz w:val="24"/>
          <w:szCs w:val="24"/>
          <w:lang w:val="en-GB"/>
        </w:rPr>
        <w:t>8</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234612">
        <w:rPr>
          <w:rFonts w:cstheme="minorHAnsi"/>
          <w:spacing w:val="-3"/>
          <w:sz w:val="24"/>
          <w:szCs w:val="24"/>
          <w:lang w:val="en-GB"/>
        </w:rPr>
        <w:t>3.6</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w:t>
      </w:r>
      <w:r w:rsidR="00D83EB3">
        <w:rPr>
          <w:rFonts w:cstheme="minorHAnsi"/>
          <w:spacing w:val="-3"/>
          <w:sz w:val="24"/>
          <w:szCs w:val="24"/>
          <w:lang w:val="en-GB"/>
        </w:rPr>
        <w:t xml:space="preserve"> </w:t>
      </w:r>
      <w:r w:rsidRPr="00395073">
        <w:rPr>
          <w:rFonts w:cstheme="minorHAnsi"/>
          <w:spacing w:val="-3"/>
          <w:sz w:val="24"/>
          <w:szCs w:val="24"/>
          <w:lang w:val="en-GB"/>
        </w:rPr>
        <w:t>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23F194A" w14:textId="2F6A9921" w:rsidR="002B58C5" w:rsidRPr="00FF2B79" w:rsidRDefault="0038011D" w:rsidP="002B58C5">
      <w:pPr>
        <w:spacing w:after="0" w:line="240" w:lineRule="auto"/>
        <w:jc w:val="both"/>
        <w:rPr>
          <w:spacing w:val="-3"/>
          <w:sz w:val="24"/>
          <w:szCs w:val="24"/>
          <w:lang w:val="en-GB"/>
        </w:rPr>
      </w:pPr>
      <w:r w:rsidRPr="00395073">
        <w:rPr>
          <w:rFonts w:cstheme="minorHAnsi"/>
          <w:spacing w:val="-3"/>
          <w:sz w:val="24"/>
          <w:szCs w:val="24"/>
          <w:lang w:val="en-GB"/>
        </w:rPr>
        <w:t xml:space="preserve">Interest income amounted to HRK </w:t>
      </w:r>
      <w:r w:rsidR="00665089">
        <w:rPr>
          <w:rFonts w:cstheme="minorHAnsi"/>
          <w:spacing w:val="-3"/>
          <w:sz w:val="24"/>
          <w:szCs w:val="24"/>
          <w:lang w:val="en-GB"/>
        </w:rPr>
        <w:t>3</w:t>
      </w:r>
      <w:r w:rsidR="00234612">
        <w:rPr>
          <w:rFonts w:cstheme="minorHAnsi"/>
          <w:spacing w:val="-3"/>
          <w:sz w:val="24"/>
          <w:szCs w:val="24"/>
          <w:lang w:val="en-GB"/>
        </w:rPr>
        <w:t>28.2</w:t>
      </w:r>
      <w:r w:rsidR="00B276F2" w:rsidRPr="00041197">
        <w:rPr>
          <w:rFonts w:cstheme="minorHAnsi"/>
          <w:spacing w:val="-3"/>
          <w:sz w:val="24"/>
          <w:szCs w:val="24"/>
          <w:lang w:val="en-GB"/>
        </w:rPr>
        <w:t xml:space="preserve"> </w:t>
      </w:r>
      <w:r w:rsidRPr="00395073">
        <w:rPr>
          <w:rFonts w:cstheme="minorHAnsi"/>
          <w:spacing w:val="-3"/>
          <w:sz w:val="24"/>
          <w:szCs w:val="24"/>
          <w:lang w:val="en-GB"/>
        </w:rPr>
        <w:t xml:space="preserve">million, a </w:t>
      </w:r>
      <w:r w:rsidR="00234612">
        <w:rPr>
          <w:rFonts w:cstheme="minorHAnsi"/>
          <w:spacing w:val="-3"/>
          <w:sz w:val="24"/>
          <w:szCs w:val="24"/>
          <w:lang w:val="en-GB"/>
        </w:rPr>
        <w:t>de</w:t>
      </w:r>
      <w:r w:rsidRPr="00395073">
        <w:rPr>
          <w:rFonts w:cstheme="minorHAnsi"/>
          <w:spacing w:val="-3"/>
          <w:sz w:val="24"/>
          <w:szCs w:val="24"/>
          <w:lang w:val="en-GB"/>
        </w:rPr>
        <w:t>crease of</w:t>
      </w:r>
      <w:r w:rsidRPr="00041197">
        <w:rPr>
          <w:rFonts w:cstheme="minorHAnsi"/>
          <w:spacing w:val="-3"/>
          <w:sz w:val="24"/>
          <w:szCs w:val="24"/>
          <w:lang w:val="en-GB"/>
        </w:rPr>
        <w:t xml:space="preserve"> </w:t>
      </w:r>
      <w:r w:rsidR="001B2813">
        <w:rPr>
          <w:rFonts w:cstheme="minorHAnsi"/>
          <w:spacing w:val="-3"/>
          <w:sz w:val="24"/>
          <w:szCs w:val="24"/>
          <w:lang w:val="en-GB"/>
        </w:rPr>
        <w:t>2.7</w:t>
      </w:r>
      <w:r w:rsidR="00B276F2" w:rsidRPr="00041197">
        <w:rPr>
          <w:rFonts w:cstheme="minorHAnsi"/>
          <w:spacing w:val="-3"/>
          <w:sz w:val="24"/>
          <w:szCs w:val="24"/>
          <w:lang w:val="en-GB"/>
        </w:rPr>
        <w:t xml:space="preserve"> </w:t>
      </w:r>
      <w:r w:rsidRPr="00395073">
        <w:rPr>
          <w:rFonts w:cstheme="minorHAnsi"/>
          <w:spacing w:val="-3"/>
          <w:sz w:val="24"/>
          <w:szCs w:val="24"/>
          <w:lang w:val="en-GB"/>
        </w:rPr>
        <w:t>percent on the same reporting period last year</w:t>
      </w:r>
      <w:r w:rsidR="002B58C5" w:rsidRPr="00983AFF">
        <w:rPr>
          <w:spacing w:val="-3"/>
          <w:sz w:val="24"/>
          <w:szCs w:val="24"/>
          <w:lang w:val="en-GB"/>
        </w:rPr>
        <w:t>.</w:t>
      </w:r>
    </w:p>
    <w:p w14:paraId="60216BC4" w14:textId="77777777" w:rsidR="00EC57E5" w:rsidRPr="00041197" w:rsidRDefault="00EC57E5" w:rsidP="00DE60D5">
      <w:pPr>
        <w:spacing w:after="0" w:line="240" w:lineRule="auto"/>
        <w:jc w:val="both"/>
        <w:rPr>
          <w:rFonts w:cstheme="minorHAnsi"/>
          <w:spacing w:val="-3"/>
          <w:sz w:val="24"/>
          <w:szCs w:val="24"/>
          <w:lang w:val="en-GB"/>
        </w:rPr>
      </w:pPr>
    </w:p>
    <w:p w14:paraId="5E302990" w14:textId="29A9F953" w:rsidR="00FC03EB" w:rsidRPr="001A7302" w:rsidRDefault="0038011D" w:rsidP="00FC03EB">
      <w:pPr>
        <w:tabs>
          <w:tab w:val="left" w:pos="-720"/>
        </w:tabs>
        <w:suppressAutoHyphens/>
        <w:autoSpaceDN w:val="0"/>
        <w:spacing w:after="0" w:line="240" w:lineRule="auto"/>
        <w:jc w:val="both"/>
        <w:textAlignment w:val="baseline"/>
        <w:rPr>
          <w:rFonts w:ascii="Calibri" w:eastAsia="Calibri" w:hAnsi="Calibri" w:cs="Calibri"/>
          <w:spacing w:val="-3"/>
          <w:sz w:val="24"/>
          <w:szCs w:val="24"/>
          <w:lang w:val="en-GB"/>
        </w:rPr>
      </w:pPr>
      <w:bookmarkStart w:id="2" w:name="_Hlk47973129"/>
      <w:r w:rsidRPr="00395073">
        <w:rPr>
          <w:rFonts w:cstheme="minorHAnsi"/>
          <w:spacing w:val="-3"/>
          <w:sz w:val="24"/>
          <w:szCs w:val="24"/>
          <w:lang w:val="en-GB"/>
        </w:rPr>
        <w:t xml:space="preserve">Interest expenses amounted to HRK </w:t>
      </w:r>
      <w:r w:rsidR="001B2813">
        <w:rPr>
          <w:rFonts w:cstheme="minorHAnsi"/>
          <w:spacing w:val="-3"/>
          <w:sz w:val="24"/>
          <w:szCs w:val="24"/>
          <w:lang w:val="en-GB"/>
        </w:rPr>
        <w:t>79.4</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proofErr w:type="gramStart"/>
      <w:r w:rsidRPr="00395073">
        <w:rPr>
          <w:rFonts w:cstheme="minorHAnsi"/>
          <w:spacing w:val="-3"/>
          <w:sz w:val="24"/>
          <w:szCs w:val="24"/>
          <w:lang w:val="en-GB"/>
        </w:rPr>
        <w:t>a</w:t>
      </w:r>
      <w:r w:rsidR="001B2813">
        <w:rPr>
          <w:rFonts w:cstheme="minorHAnsi"/>
          <w:spacing w:val="-3"/>
          <w:sz w:val="24"/>
          <w:szCs w:val="24"/>
          <w:lang w:val="en-GB"/>
        </w:rPr>
        <w:t>n</w:t>
      </w:r>
      <w:proofErr w:type="gramEnd"/>
      <w:r w:rsidRPr="00395073">
        <w:rPr>
          <w:rFonts w:cstheme="minorHAnsi"/>
          <w:spacing w:val="-3"/>
          <w:sz w:val="24"/>
          <w:szCs w:val="24"/>
          <w:lang w:val="en-GB"/>
        </w:rPr>
        <w:t xml:space="preserve"> </w:t>
      </w:r>
      <w:r w:rsidR="000206EB">
        <w:rPr>
          <w:rFonts w:cstheme="minorHAnsi"/>
          <w:spacing w:val="-3"/>
          <w:sz w:val="24"/>
          <w:szCs w:val="24"/>
          <w:lang w:val="en-GB"/>
        </w:rPr>
        <w:t>de</w:t>
      </w:r>
      <w:r w:rsidRPr="00395073">
        <w:rPr>
          <w:rFonts w:cstheme="minorHAnsi"/>
          <w:spacing w:val="-3"/>
          <w:sz w:val="24"/>
          <w:szCs w:val="24"/>
          <w:lang w:val="en-GB"/>
        </w:rPr>
        <w:t xml:space="preserve">crease of </w:t>
      </w:r>
      <w:r w:rsidR="001B2813">
        <w:rPr>
          <w:rFonts w:cstheme="minorHAnsi"/>
          <w:spacing w:val="-3"/>
          <w:sz w:val="24"/>
          <w:szCs w:val="24"/>
          <w:lang w:val="en-GB"/>
        </w:rPr>
        <w:t>18.3</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w:t>
      </w:r>
      <w:r w:rsidR="00FC03EB" w:rsidRPr="006827A2">
        <w:rPr>
          <w:rFonts w:cstheme="minorHAnsi"/>
          <w:spacing w:val="-3"/>
          <w:sz w:val="24"/>
          <w:szCs w:val="24"/>
          <w:lang w:val="en-GB"/>
        </w:rPr>
        <w:t xml:space="preserve"> </w:t>
      </w:r>
      <w:r w:rsidR="00FC03EB" w:rsidRPr="00127810">
        <w:rPr>
          <w:rFonts w:cstheme="minorHAnsi"/>
          <w:spacing w:val="-3"/>
          <w:sz w:val="24"/>
          <w:szCs w:val="24"/>
          <w:lang w:val="en-GB"/>
        </w:rPr>
        <w:t xml:space="preserve">due to the repayment </w:t>
      </w:r>
      <w:r w:rsidR="00FC03EB">
        <w:rPr>
          <w:rFonts w:ascii="Calibri" w:eastAsia="Calibri" w:hAnsi="Calibri" w:cs="Calibri"/>
          <w:spacing w:val="-3"/>
          <w:sz w:val="24"/>
          <w:szCs w:val="24"/>
          <w:lang w:val="en-GB"/>
        </w:rPr>
        <w:t>of loans</w:t>
      </w:r>
      <w:r w:rsidR="00FC03EB" w:rsidRPr="001A7302">
        <w:rPr>
          <w:rFonts w:ascii="Calibri" w:eastAsia="Calibri" w:hAnsi="Calibri" w:cs="Calibri"/>
          <w:spacing w:val="-3"/>
          <w:sz w:val="24"/>
          <w:szCs w:val="24"/>
          <w:lang w:val="en-GB"/>
        </w:rPr>
        <w:t>.</w:t>
      </w:r>
    </w:p>
    <w:bookmarkEnd w:id="2"/>
    <w:p w14:paraId="23127EBB" w14:textId="77777777" w:rsidR="00853613" w:rsidRDefault="00853613" w:rsidP="00151AB4">
      <w:pPr>
        <w:tabs>
          <w:tab w:val="left" w:pos="-720"/>
        </w:tabs>
        <w:suppressAutoHyphens/>
        <w:spacing w:after="0" w:line="240" w:lineRule="auto"/>
        <w:jc w:val="both"/>
        <w:rPr>
          <w:rFonts w:cstheme="minorHAnsi"/>
          <w:spacing w:val="-3"/>
          <w:sz w:val="24"/>
          <w:szCs w:val="24"/>
          <w:lang w:val="en-GB"/>
        </w:rPr>
      </w:pPr>
    </w:p>
    <w:p w14:paraId="21874655" w14:textId="16994400" w:rsidR="00FC03EB" w:rsidRDefault="00FC03EB" w:rsidP="00FC03EB">
      <w:pPr>
        <w:spacing w:after="0" w:line="240" w:lineRule="auto"/>
        <w:jc w:val="both"/>
        <w:rPr>
          <w:sz w:val="24"/>
          <w:szCs w:val="24"/>
          <w:lang w:val="en-GB"/>
        </w:rPr>
      </w:pPr>
      <w:r w:rsidRPr="006608BB">
        <w:rPr>
          <w:sz w:val="24"/>
          <w:szCs w:val="24"/>
          <w:lang w:val="en-GB"/>
        </w:rPr>
        <w:t xml:space="preserve">Given the described trends, </w:t>
      </w:r>
      <w:r w:rsidR="005D71CC">
        <w:rPr>
          <w:sz w:val="24"/>
          <w:szCs w:val="24"/>
          <w:lang w:val="en-GB"/>
        </w:rPr>
        <w:t>a</w:t>
      </w:r>
      <w:r w:rsidRPr="006608BB">
        <w:rPr>
          <w:sz w:val="24"/>
          <w:szCs w:val="24"/>
          <w:lang w:val="en-GB"/>
        </w:rPr>
        <w:t xml:space="preserve"> </w:t>
      </w:r>
      <w:r w:rsidR="00B223F8">
        <w:rPr>
          <w:sz w:val="24"/>
          <w:szCs w:val="24"/>
          <w:lang w:val="en-GB"/>
        </w:rPr>
        <w:t xml:space="preserve">larger </w:t>
      </w:r>
      <w:r w:rsidRPr="006608BB">
        <w:rPr>
          <w:sz w:val="24"/>
          <w:szCs w:val="24"/>
          <w:lang w:val="en-GB"/>
        </w:rPr>
        <w:t xml:space="preserve">decrease in interest expenses </w:t>
      </w:r>
      <w:r w:rsidR="005D71CC">
        <w:rPr>
          <w:sz w:val="24"/>
          <w:szCs w:val="24"/>
          <w:lang w:val="en-GB"/>
        </w:rPr>
        <w:t>than</w:t>
      </w:r>
      <w:r w:rsidR="00F95283">
        <w:rPr>
          <w:sz w:val="24"/>
          <w:szCs w:val="24"/>
          <w:lang w:val="en-GB"/>
        </w:rPr>
        <w:t xml:space="preserve"> a de</w:t>
      </w:r>
      <w:r w:rsidRPr="006608BB">
        <w:rPr>
          <w:sz w:val="24"/>
          <w:szCs w:val="24"/>
          <w:lang w:val="en-GB"/>
        </w:rPr>
        <w:t xml:space="preserve">crease in interest income affected the increase in net interest margin compared to the same reporting period of the previous year that amounts </w:t>
      </w:r>
      <w:r w:rsidRPr="00B1143E">
        <w:rPr>
          <w:sz w:val="24"/>
          <w:szCs w:val="24"/>
          <w:lang w:val="en-GB"/>
        </w:rPr>
        <w:t xml:space="preserve">to </w:t>
      </w:r>
      <w:r w:rsidRPr="00983AFF">
        <w:rPr>
          <w:sz w:val="24"/>
          <w:szCs w:val="24"/>
          <w:lang w:val="en-GB"/>
        </w:rPr>
        <w:t>1.</w:t>
      </w:r>
      <w:r w:rsidR="00F50BD8">
        <w:rPr>
          <w:sz w:val="24"/>
          <w:szCs w:val="24"/>
          <w:lang w:val="en-GB"/>
        </w:rPr>
        <w:t>8</w:t>
      </w:r>
      <w:r w:rsidRPr="00B1143E">
        <w:rPr>
          <w:sz w:val="24"/>
          <w:szCs w:val="24"/>
          <w:lang w:val="en-GB"/>
        </w:rPr>
        <w:t xml:space="preserve"> percent, while</w:t>
      </w:r>
      <w:r w:rsidRPr="006608BB">
        <w:rPr>
          <w:sz w:val="24"/>
          <w:szCs w:val="24"/>
          <w:lang w:val="en-GB"/>
        </w:rPr>
        <w:t xml:space="preserve"> in the same period of the previous year it amounted to 1.</w:t>
      </w:r>
      <w:r w:rsidR="006E4CDA">
        <w:rPr>
          <w:sz w:val="24"/>
          <w:szCs w:val="24"/>
          <w:lang w:val="en-GB"/>
        </w:rPr>
        <w:t>7</w:t>
      </w:r>
      <w:r w:rsidRPr="006608BB">
        <w:rPr>
          <w:sz w:val="24"/>
          <w:szCs w:val="24"/>
          <w:lang w:val="en-GB"/>
        </w:rPr>
        <w:t xml:space="preserve"> percent.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0A3F5CC8" w14:textId="06BD60E7" w:rsidR="00BF16A2" w:rsidRPr="00064601" w:rsidRDefault="001A621E" w:rsidP="00BF16A2">
      <w:pPr>
        <w:tabs>
          <w:tab w:val="left" w:pos="-720"/>
        </w:tabs>
        <w:suppressAutoHyphen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Net fee</w:t>
      </w:r>
      <w:r w:rsidR="0014550E">
        <w:rPr>
          <w:rFonts w:cstheme="minorHAnsi"/>
          <w:spacing w:val="-3"/>
          <w:sz w:val="24"/>
          <w:szCs w:val="24"/>
          <w:lang w:val="en-GB"/>
        </w:rPr>
        <w:t xml:space="preserve"> and commission</w:t>
      </w:r>
      <w:r w:rsidRPr="00395073">
        <w:rPr>
          <w:rFonts w:cstheme="minorHAnsi"/>
          <w:spacing w:val="-3"/>
          <w:sz w:val="24"/>
          <w:szCs w:val="24"/>
          <w:lang w:val="en-GB"/>
        </w:rPr>
        <w:t xml:space="preserve"> income amounted to HRK </w:t>
      </w:r>
      <w:r w:rsidR="004757B9">
        <w:rPr>
          <w:rFonts w:cstheme="minorHAnsi"/>
          <w:spacing w:val="-3"/>
          <w:sz w:val="24"/>
          <w:szCs w:val="24"/>
          <w:lang w:val="en-GB"/>
        </w:rPr>
        <w:t>10</w:t>
      </w:r>
      <w:r w:rsidR="00BF16A2">
        <w:rPr>
          <w:rFonts w:cstheme="minorHAnsi"/>
          <w:spacing w:val="-3"/>
          <w:sz w:val="24"/>
          <w:szCs w:val="24"/>
          <w:lang w:val="en-GB"/>
        </w:rPr>
        <w:t>.</w:t>
      </w:r>
      <w:r w:rsidR="004757B9">
        <w:rPr>
          <w:rFonts w:cstheme="minorHAnsi"/>
          <w:spacing w:val="-3"/>
          <w:sz w:val="24"/>
          <w:szCs w:val="24"/>
          <w:lang w:val="en-GB"/>
        </w:rPr>
        <w:t>5</w:t>
      </w:r>
      <w:r w:rsidR="00BF17D9" w:rsidRPr="00041197">
        <w:rPr>
          <w:rFonts w:cstheme="minorHAnsi"/>
          <w:spacing w:val="-3"/>
          <w:sz w:val="24"/>
          <w:szCs w:val="24"/>
          <w:lang w:val="en-GB"/>
        </w:rPr>
        <w:t xml:space="preserve"> mil</w:t>
      </w:r>
      <w:r>
        <w:rPr>
          <w:rFonts w:cstheme="minorHAnsi"/>
          <w:spacing w:val="-3"/>
          <w:sz w:val="24"/>
          <w:szCs w:val="24"/>
          <w:lang w:val="en-GB"/>
        </w:rPr>
        <w:t>lion, a</w:t>
      </w:r>
      <w:r w:rsidR="00AF2648">
        <w:rPr>
          <w:rFonts w:cstheme="minorHAnsi"/>
          <w:spacing w:val="-3"/>
          <w:sz w:val="24"/>
          <w:szCs w:val="24"/>
          <w:lang w:val="en-GB"/>
        </w:rPr>
        <w:t>n</w:t>
      </w:r>
      <w:r>
        <w:rPr>
          <w:rFonts w:cstheme="minorHAnsi"/>
          <w:spacing w:val="-3"/>
          <w:sz w:val="24"/>
          <w:szCs w:val="24"/>
          <w:lang w:val="en-GB"/>
        </w:rPr>
        <w:t xml:space="preserve"> </w:t>
      </w:r>
      <w:r w:rsidR="00AB5332">
        <w:rPr>
          <w:rFonts w:cstheme="minorHAnsi"/>
          <w:spacing w:val="-3"/>
          <w:sz w:val="24"/>
          <w:szCs w:val="24"/>
          <w:lang w:val="en-GB"/>
        </w:rPr>
        <w:t>in</w:t>
      </w:r>
      <w:r>
        <w:rPr>
          <w:rFonts w:cstheme="minorHAnsi"/>
          <w:spacing w:val="-3"/>
          <w:sz w:val="24"/>
          <w:szCs w:val="24"/>
          <w:lang w:val="en-GB"/>
        </w:rPr>
        <w:t>crease of</w:t>
      </w:r>
      <w:r w:rsidR="00BF17D9" w:rsidRPr="00041197">
        <w:rPr>
          <w:rFonts w:cstheme="minorHAnsi"/>
          <w:spacing w:val="-3"/>
          <w:sz w:val="24"/>
          <w:szCs w:val="24"/>
          <w:lang w:val="en-GB"/>
        </w:rPr>
        <w:t xml:space="preserve"> </w:t>
      </w:r>
      <w:r w:rsidR="004757B9">
        <w:rPr>
          <w:rFonts w:cstheme="minorHAnsi"/>
          <w:spacing w:val="-3"/>
          <w:sz w:val="24"/>
          <w:szCs w:val="24"/>
          <w:lang w:val="en-GB"/>
        </w:rPr>
        <w:t>11</w:t>
      </w:r>
      <w:r>
        <w:rPr>
          <w:rFonts w:cstheme="minorHAnsi"/>
          <w:spacing w:val="-3"/>
          <w:sz w:val="24"/>
          <w:szCs w:val="24"/>
          <w:lang w:val="en-GB"/>
        </w:rPr>
        <w:t>.</w:t>
      </w:r>
      <w:r w:rsidR="004757B9">
        <w:rPr>
          <w:rFonts w:cstheme="minorHAnsi"/>
          <w:spacing w:val="-3"/>
          <w:sz w:val="24"/>
          <w:szCs w:val="24"/>
          <w:lang w:val="en-GB"/>
        </w:rPr>
        <w:t>7</w:t>
      </w:r>
      <w:r w:rsidR="00A5245E" w:rsidRPr="00041197">
        <w:rPr>
          <w:rFonts w:cstheme="minorHAnsi"/>
          <w:spacing w:val="-3"/>
          <w:sz w:val="24"/>
          <w:szCs w:val="24"/>
          <w:lang w:val="en-GB"/>
        </w:rPr>
        <w:t xml:space="preserve"> </w:t>
      </w:r>
      <w:r w:rsidR="00685E73" w:rsidRPr="00041197">
        <w:rPr>
          <w:rFonts w:cstheme="minorHAnsi"/>
          <w:spacing w:val="-3"/>
          <w:sz w:val="24"/>
          <w:szCs w:val="24"/>
          <w:lang w:val="en-GB"/>
        </w:rPr>
        <w:t>p</w:t>
      </w:r>
      <w:r>
        <w:rPr>
          <w:rFonts w:cstheme="minorHAnsi"/>
          <w:spacing w:val="-3"/>
          <w:sz w:val="24"/>
          <w:szCs w:val="24"/>
          <w:lang w:val="en-GB"/>
        </w:rPr>
        <w:t xml:space="preserve">ercent </w:t>
      </w:r>
      <w:r w:rsidRPr="00E96992">
        <w:rPr>
          <w:rFonts w:cstheme="minorHAnsi"/>
          <w:spacing w:val="-3"/>
          <w:sz w:val="24"/>
          <w:szCs w:val="24"/>
          <w:lang w:val="en-GB"/>
        </w:rPr>
        <w:t xml:space="preserve">compared with the same reporting period last year </w:t>
      </w:r>
      <w:r w:rsidR="00BF16A2" w:rsidRPr="008314DF">
        <w:rPr>
          <w:rFonts w:cstheme="minorHAnsi"/>
          <w:spacing w:val="-3"/>
          <w:sz w:val="24"/>
          <w:szCs w:val="24"/>
          <w:lang w:val="en-GB"/>
        </w:rPr>
        <w:t xml:space="preserve">due to a larger </w:t>
      </w:r>
      <w:r w:rsidR="004757B9">
        <w:rPr>
          <w:rFonts w:cstheme="minorHAnsi"/>
          <w:spacing w:val="-3"/>
          <w:sz w:val="24"/>
          <w:szCs w:val="24"/>
          <w:lang w:val="en-GB"/>
        </w:rPr>
        <w:t>de</w:t>
      </w:r>
      <w:r w:rsidR="00BF16A2" w:rsidRPr="008314DF">
        <w:rPr>
          <w:rFonts w:cstheme="minorHAnsi"/>
          <w:spacing w:val="-3"/>
          <w:sz w:val="24"/>
          <w:szCs w:val="24"/>
          <w:lang w:val="en-GB"/>
        </w:rPr>
        <w:t xml:space="preserve">crease in fee and commission expenses (by </w:t>
      </w:r>
      <w:r w:rsidR="00BF16A2">
        <w:rPr>
          <w:rFonts w:cstheme="minorHAnsi"/>
          <w:spacing w:val="-3"/>
          <w:sz w:val="24"/>
          <w:szCs w:val="24"/>
          <w:lang w:val="en-GB"/>
        </w:rPr>
        <w:t xml:space="preserve">HRK </w:t>
      </w:r>
      <w:r w:rsidR="004757B9">
        <w:rPr>
          <w:rFonts w:cstheme="minorHAnsi"/>
          <w:spacing w:val="-3"/>
          <w:sz w:val="24"/>
          <w:szCs w:val="24"/>
          <w:lang w:val="en-GB"/>
        </w:rPr>
        <w:t>1</w:t>
      </w:r>
      <w:r w:rsidR="00BF16A2">
        <w:rPr>
          <w:rFonts w:cstheme="minorHAnsi"/>
          <w:spacing w:val="-3"/>
          <w:sz w:val="24"/>
          <w:szCs w:val="24"/>
          <w:lang w:val="en-GB"/>
        </w:rPr>
        <w:t>.</w:t>
      </w:r>
      <w:r w:rsidR="004757B9">
        <w:rPr>
          <w:rFonts w:cstheme="minorHAnsi"/>
          <w:spacing w:val="-3"/>
          <w:sz w:val="24"/>
          <w:szCs w:val="24"/>
          <w:lang w:val="en-GB"/>
        </w:rPr>
        <w:t>6</w:t>
      </w:r>
      <w:r w:rsidR="00BF16A2">
        <w:rPr>
          <w:rFonts w:cstheme="minorHAnsi"/>
          <w:spacing w:val="-3"/>
          <w:sz w:val="24"/>
          <w:szCs w:val="24"/>
          <w:lang w:val="en-GB"/>
        </w:rPr>
        <w:t xml:space="preserve"> million</w:t>
      </w:r>
      <w:r w:rsidR="00BF16A2" w:rsidRPr="008314DF">
        <w:rPr>
          <w:rFonts w:cstheme="minorHAnsi"/>
          <w:spacing w:val="-3"/>
          <w:sz w:val="24"/>
          <w:szCs w:val="24"/>
          <w:lang w:val="en-GB"/>
        </w:rPr>
        <w:t xml:space="preserve">) compared to the </w:t>
      </w:r>
      <w:r w:rsidR="004757B9">
        <w:rPr>
          <w:rFonts w:cstheme="minorHAnsi"/>
          <w:spacing w:val="-3"/>
          <w:sz w:val="24"/>
          <w:szCs w:val="24"/>
          <w:lang w:val="en-GB"/>
        </w:rPr>
        <w:t>de</w:t>
      </w:r>
      <w:r w:rsidR="00BF16A2" w:rsidRPr="008314DF">
        <w:rPr>
          <w:rFonts w:cstheme="minorHAnsi"/>
          <w:spacing w:val="-3"/>
          <w:sz w:val="24"/>
          <w:szCs w:val="24"/>
          <w:lang w:val="en-GB"/>
        </w:rPr>
        <w:t xml:space="preserve">crease in fee and commission income (by </w:t>
      </w:r>
      <w:r w:rsidR="00BF16A2">
        <w:rPr>
          <w:rFonts w:cstheme="minorHAnsi"/>
          <w:spacing w:val="-3"/>
          <w:sz w:val="24"/>
          <w:szCs w:val="24"/>
          <w:lang w:val="en-GB"/>
        </w:rPr>
        <w:t xml:space="preserve">HRK </w:t>
      </w:r>
      <w:r w:rsidR="004757B9">
        <w:rPr>
          <w:rFonts w:cstheme="minorHAnsi"/>
          <w:spacing w:val="-3"/>
          <w:sz w:val="24"/>
          <w:szCs w:val="24"/>
          <w:lang w:val="en-GB"/>
        </w:rPr>
        <w:t>0.5</w:t>
      </w:r>
      <w:r w:rsidR="00BF16A2" w:rsidRPr="008314DF">
        <w:rPr>
          <w:rFonts w:cstheme="minorHAnsi"/>
          <w:spacing w:val="-3"/>
          <w:sz w:val="24"/>
          <w:szCs w:val="24"/>
          <w:lang w:val="en-GB"/>
        </w:rPr>
        <w:t xml:space="preserve"> </w:t>
      </w:r>
      <w:r w:rsidR="00BF16A2">
        <w:rPr>
          <w:rFonts w:cstheme="minorHAnsi"/>
          <w:spacing w:val="-3"/>
          <w:sz w:val="24"/>
          <w:szCs w:val="24"/>
          <w:lang w:val="en-GB"/>
        </w:rPr>
        <w:t>million</w:t>
      </w:r>
      <w:r w:rsidR="00BF16A2" w:rsidRPr="008314DF">
        <w:rPr>
          <w:rFonts w:cstheme="minorHAnsi"/>
          <w:spacing w:val="-3"/>
          <w:sz w:val="24"/>
          <w:szCs w:val="24"/>
          <w:lang w:val="en-GB"/>
        </w:rPr>
        <w:t>).</w:t>
      </w:r>
    </w:p>
    <w:p w14:paraId="3BD710B7" w14:textId="77777777" w:rsidR="00BF16A2" w:rsidRPr="00041197" w:rsidRDefault="00BF16A2" w:rsidP="00BF16A2">
      <w:pPr>
        <w:tabs>
          <w:tab w:val="left" w:pos="-720"/>
        </w:tabs>
        <w:suppressAutoHyphens/>
        <w:spacing w:after="0" w:line="240" w:lineRule="auto"/>
        <w:jc w:val="both"/>
        <w:rPr>
          <w:rFonts w:eastAsia="Times New Roman" w:cs="Calibri"/>
          <w:spacing w:val="-3"/>
          <w:sz w:val="24"/>
          <w:szCs w:val="24"/>
          <w:lang w:val="en-GB" w:eastAsia="hr-HR"/>
        </w:rPr>
      </w:pPr>
    </w:p>
    <w:p w14:paraId="10A2623F" w14:textId="754D6491" w:rsidR="001A621E" w:rsidRPr="00395073" w:rsidRDefault="001A621E" w:rsidP="001A621E">
      <w:pPr>
        <w:spacing w:after="0" w:line="240" w:lineRule="auto"/>
        <w:jc w:val="both"/>
        <w:rPr>
          <w:rFonts w:eastAsia="Times New Roman" w:cs="Calibri"/>
          <w:b/>
          <w:i/>
          <w:sz w:val="24"/>
          <w:szCs w:val="24"/>
          <w:lang w:val="en-GB" w:eastAsia="hr-HR"/>
        </w:rPr>
      </w:pPr>
      <w:r w:rsidRPr="005D3904">
        <w:rPr>
          <w:rFonts w:eastAsia="Times New Roman" w:cs="Calibri"/>
          <w:b/>
          <w:i/>
          <w:sz w:val="24"/>
          <w:szCs w:val="24"/>
          <w:lang w:val="en-GB" w:eastAsia="hr-HR"/>
        </w:rPr>
        <w:t xml:space="preserve">Net gains/(losses) </w:t>
      </w:r>
      <w:r w:rsidR="0014550E" w:rsidRPr="005D3904">
        <w:rPr>
          <w:rFonts w:eastAsia="Times New Roman" w:cs="Calibri"/>
          <w:b/>
          <w:i/>
          <w:sz w:val="24"/>
          <w:szCs w:val="24"/>
          <w:lang w:val="en-GB" w:eastAsia="hr-HR"/>
        </w:rPr>
        <w:t xml:space="preserve">on </w:t>
      </w:r>
      <w:r w:rsidRPr="005D3904">
        <w:rPr>
          <w:rFonts w:eastAsia="Times New Roman" w:cs="Calibri"/>
          <w:b/>
          <w:i/>
          <w:sz w:val="24"/>
          <w:szCs w:val="24"/>
          <w:lang w:val="en-GB" w:eastAsia="hr-HR"/>
        </w:rPr>
        <w:t xml:space="preserve">financial </w:t>
      </w:r>
      <w:r w:rsidR="0014550E" w:rsidRPr="005D3904">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293477A0" w14:textId="10884A4E" w:rsidR="00BF16A2" w:rsidRDefault="00BF16A2" w:rsidP="00BF17D9">
      <w:pPr>
        <w:tabs>
          <w:tab w:val="left" w:pos="-720"/>
        </w:tabs>
        <w:suppressAutoHyphens/>
        <w:spacing w:after="0" w:line="240" w:lineRule="auto"/>
        <w:jc w:val="both"/>
        <w:rPr>
          <w:rFonts w:cstheme="minorHAnsi"/>
          <w:spacing w:val="-3"/>
          <w:sz w:val="24"/>
          <w:szCs w:val="24"/>
          <w:lang w:val="en-GB"/>
        </w:rPr>
        <w:sectPr w:rsidR="00BF16A2">
          <w:footerReference w:type="default" r:id="rId31"/>
          <w:pgSz w:w="11906" w:h="16838"/>
          <w:pgMar w:top="1417" w:right="1417" w:bottom="1417" w:left="1417" w:header="708" w:footer="708" w:gutter="0"/>
          <w:cols w:space="708"/>
          <w:docGrid w:linePitch="360"/>
        </w:sectPr>
      </w:pPr>
      <w:r w:rsidRPr="005D3904">
        <w:rPr>
          <w:color w:val="222222"/>
          <w:sz w:val="24"/>
          <w:szCs w:val="24"/>
          <w:lang w:val="en"/>
        </w:rPr>
        <w:t xml:space="preserve">In the reporting period, net </w:t>
      </w:r>
      <w:r w:rsidR="00AB5332">
        <w:rPr>
          <w:color w:val="222222"/>
          <w:sz w:val="24"/>
          <w:szCs w:val="24"/>
          <w:lang w:val="en"/>
        </w:rPr>
        <w:t>gains</w:t>
      </w:r>
      <w:r w:rsidRPr="005D3904">
        <w:rPr>
          <w:color w:val="222222"/>
          <w:sz w:val="24"/>
          <w:szCs w:val="24"/>
          <w:lang w:val="en"/>
        </w:rPr>
        <w:t xml:space="preserve"> from financial activities amounted to HRK </w:t>
      </w:r>
      <w:r w:rsidR="00AB5332">
        <w:rPr>
          <w:color w:val="222222"/>
          <w:sz w:val="24"/>
          <w:szCs w:val="24"/>
          <w:lang w:val="en"/>
        </w:rPr>
        <w:t>18</w:t>
      </w:r>
      <w:r w:rsidRPr="005D3904">
        <w:rPr>
          <w:color w:val="222222"/>
          <w:sz w:val="24"/>
          <w:szCs w:val="24"/>
          <w:lang w:val="en"/>
        </w:rPr>
        <w:t>.</w:t>
      </w:r>
      <w:r w:rsidR="00AB5332">
        <w:rPr>
          <w:color w:val="222222"/>
          <w:sz w:val="24"/>
          <w:szCs w:val="24"/>
          <w:lang w:val="en"/>
        </w:rPr>
        <w:t>0</w:t>
      </w:r>
      <w:r w:rsidRPr="005D3904">
        <w:rPr>
          <w:color w:val="222222"/>
          <w:sz w:val="24"/>
          <w:szCs w:val="24"/>
          <w:lang w:val="en"/>
        </w:rPr>
        <w:t xml:space="preserve"> million, </w:t>
      </w:r>
      <w:r w:rsidRPr="0005777B">
        <w:rPr>
          <w:rFonts w:cstheme="minorHAnsi"/>
          <w:spacing w:val="-3"/>
          <w:sz w:val="24"/>
          <w:szCs w:val="24"/>
          <w:lang w:val="en-GB"/>
        </w:rPr>
        <w:t xml:space="preserve">whereas in the same reporting period previous year, net </w:t>
      </w:r>
      <w:r>
        <w:rPr>
          <w:rFonts w:cstheme="minorHAnsi"/>
          <w:spacing w:val="-3"/>
          <w:sz w:val="24"/>
          <w:szCs w:val="24"/>
          <w:lang w:val="en-GB"/>
        </w:rPr>
        <w:t>losses</w:t>
      </w:r>
      <w:r w:rsidRPr="0005777B">
        <w:rPr>
          <w:rFonts w:cstheme="minorHAnsi"/>
          <w:spacing w:val="-3"/>
          <w:sz w:val="24"/>
          <w:szCs w:val="24"/>
          <w:lang w:val="en-GB"/>
        </w:rPr>
        <w:t xml:space="preserve"> amounted to HRK </w:t>
      </w:r>
      <w:r w:rsidR="00AB5332">
        <w:rPr>
          <w:rFonts w:cstheme="minorHAnsi"/>
          <w:spacing w:val="-3"/>
          <w:sz w:val="24"/>
          <w:szCs w:val="24"/>
          <w:lang w:val="en-GB"/>
        </w:rPr>
        <w:t>4</w:t>
      </w:r>
      <w:r>
        <w:rPr>
          <w:rFonts w:cstheme="minorHAnsi"/>
          <w:spacing w:val="-3"/>
          <w:sz w:val="24"/>
          <w:szCs w:val="24"/>
          <w:lang w:val="en-GB"/>
        </w:rPr>
        <w:t>.</w:t>
      </w:r>
      <w:r w:rsidR="00AB5332">
        <w:rPr>
          <w:rFonts w:cstheme="minorHAnsi"/>
          <w:spacing w:val="-3"/>
          <w:sz w:val="24"/>
          <w:szCs w:val="24"/>
          <w:lang w:val="en-GB"/>
        </w:rPr>
        <w:t>1</w:t>
      </w:r>
      <w:r w:rsidRPr="00704716">
        <w:rPr>
          <w:rFonts w:cstheme="minorHAnsi"/>
          <w:spacing w:val="-3"/>
          <w:sz w:val="24"/>
          <w:szCs w:val="24"/>
        </w:rPr>
        <w:t xml:space="preserve"> </w:t>
      </w:r>
      <w:proofErr w:type="spellStart"/>
      <w:r w:rsidRPr="00704716">
        <w:rPr>
          <w:rFonts w:cstheme="minorHAnsi"/>
          <w:spacing w:val="-3"/>
          <w:sz w:val="24"/>
          <w:szCs w:val="24"/>
        </w:rPr>
        <w:t>mil</w:t>
      </w:r>
      <w:r>
        <w:rPr>
          <w:rFonts w:cstheme="minorHAnsi"/>
          <w:spacing w:val="-3"/>
          <w:sz w:val="24"/>
          <w:szCs w:val="24"/>
        </w:rPr>
        <w:t>lion</w:t>
      </w:r>
      <w:proofErr w:type="spellEnd"/>
      <w:r w:rsidRPr="00704716">
        <w:rPr>
          <w:rFonts w:cstheme="minorHAnsi"/>
          <w:spacing w:val="-3"/>
          <w:sz w:val="24"/>
          <w:szCs w:val="24"/>
        </w:rPr>
        <w:t xml:space="preserve">. </w:t>
      </w:r>
    </w:p>
    <w:p w14:paraId="1EBC9C31" w14:textId="77777777"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041197">
        <w:rPr>
          <w:rFonts w:cstheme="minorHAnsi"/>
          <w:spacing w:val="-3"/>
          <w:sz w:val="24"/>
          <w:szCs w:val="24"/>
          <w:lang w:val="en-GB"/>
        </w:rPr>
        <w:t>:</w:t>
      </w:r>
    </w:p>
    <w:p w14:paraId="3100AD6C" w14:textId="3E223CED" w:rsidR="0013484A" w:rsidRPr="00041197" w:rsidRDefault="00937689"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val="en-GB"/>
        </w:rPr>
        <w:drawing>
          <wp:inline distT="0" distB="0" distL="0" distR="0" wp14:anchorId="27D3199A" wp14:editId="444ECE40">
            <wp:extent cx="2697089" cy="1852545"/>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7512" cy="1859704"/>
                    </a:xfrm>
                    <a:prstGeom prst="rect">
                      <a:avLst/>
                    </a:prstGeom>
                    <a:noFill/>
                  </pic:spPr>
                </pic:pic>
              </a:graphicData>
            </a:graphic>
          </wp:inline>
        </w:drawing>
      </w:r>
      <w:r w:rsidR="006E28E9">
        <w:rPr>
          <w:rFonts w:cstheme="minorHAnsi"/>
          <w:spacing w:val="-3"/>
          <w:sz w:val="24"/>
          <w:szCs w:val="24"/>
          <w:lang w:val="en-GB"/>
        </w:rPr>
        <w:t xml:space="preserve">  </w:t>
      </w:r>
      <w:r w:rsidR="0013484A">
        <w:rPr>
          <w:rFonts w:cstheme="minorHAnsi"/>
          <w:spacing w:val="-3"/>
          <w:sz w:val="24"/>
          <w:szCs w:val="24"/>
          <w:lang w:val="en-GB"/>
        </w:rPr>
        <w:t xml:space="preserve"> </w:t>
      </w:r>
      <w:r w:rsidR="009263DE">
        <w:rPr>
          <w:rFonts w:cstheme="minorHAnsi"/>
          <w:noProof/>
          <w:spacing w:val="-3"/>
          <w:sz w:val="24"/>
          <w:szCs w:val="24"/>
          <w:lang w:val="en-GB"/>
        </w:rPr>
        <w:drawing>
          <wp:inline distT="0" distB="0" distL="0" distR="0" wp14:anchorId="20B41DA3" wp14:editId="79F10ACD">
            <wp:extent cx="2758586" cy="1898382"/>
            <wp:effectExtent l="0" t="0" r="381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63655" cy="1901871"/>
                    </a:xfrm>
                    <a:prstGeom prst="rect">
                      <a:avLst/>
                    </a:prstGeom>
                    <a:noFill/>
                  </pic:spPr>
                </pic:pic>
              </a:graphicData>
            </a:graphic>
          </wp:inline>
        </w:drawing>
      </w:r>
    </w:p>
    <w:p w14:paraId="697DF307" w14:textId="0C43B6E5" w:rsidR="00BF17D9" w:rsidRPr="00041197" w:rsidRDefault="00BF17D9"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5C813AC6" w14:textId="3C4947AC"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A27E08">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A27E08">
        <w:rPr>
          <w:rFonts w:cstheme="minorHAnsi"/>
          <w:color w:val="7F7F7F" w:themeColor="text1" w:themeTint="80"/>
          <w:spacing w:val="-3"/>
          <w:sz w:val="20"/>
          <w:szCs w:val="24"/>
          <w:lang w:val="en-GB"/>
        </w:rPr>
        <w:t>dep</w:t>
      </w:r>
      <w:r w:rsidR="00BF16A2">
        <w:rPr>
          <w:rFonts w:cstheme="minorHAnsi"/>
          <w:color w:val="7F7F7F" w:themeColor="text1" w:themeTint="80"/>
          <w:spacing w:val="-3"/>
          <w:sz w:val="20"/>
          <w:szCs w:val="24"/>
          <w:lang w:val="en-GB"/>
        </w:rPr>
        <w:t>rec</w:t>
      </w:r>
      <w:r>
        <w:rPr>
          <w:rFonts w:cstheme="minorHAnsi"/>
          <w:color w:val="7F7F7F" w:themeColor="text1" w:themeTint="80"/>
          <w:spacing w:val="-3"/>
          <w:sz w:val="20"/>
          <w:szCs w:val="24"/>
          <w:lang w:val="en-GB"/>
        </w:rPr>
        <w:t>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depreciation </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/31.12.20</w:t>
      </w:r>
      <w:r w:rsidR="00276D4D">
        <w:rPr>
          <w:rFonts w:cstheme="minorHAnsi"/>
          <w:color w:val="7F7F7F" w:themeColor="text1" w:themeTint="80"/>
          <w:spacing w:val="-3"/>
          <w:sz w:val="20"/>
          <w:szCs w:val="24"/>
          <w:lang w:val="en-GB"/>
        </w:rPr>
        <w:t>21</w:t>
      </w:r>
    </w:p>
    <w:p w14:paraId="64B89585" w14:textId="4BB1E641"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C149C8">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A27E08">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A27E08">
        <w:rPr>
          <w:rFonts w:cstheme="minorHAnsi"/>
          <w:color w:val="7F7F7F" w:themeColor="text1" w:themeTint="80"/>
          <w:spacing w:val="-3"/>
          <w:sz w:val="20"/>
          <w:szCs w:val="24"/>
          <w:lang w:val="en-GB"/>
        </w:rPr>
        <w:t>dep</w:t>
      </w:r>
      <w:r w:rsidR="00BF16A2">
        <w:rPr>
          <w:rFonts w:cstheme="minorHAnsi"/>
          <w:color w:val="7F7F7F" w:themeColor="text1" w:themeTint="80"/>
          <w:spacing w:val="-3"/>
          <w:sz w:val="20"/>
          <w:szCs w:val="24"/>
          <w:lang w:val="en-GB"/>
        </w:rPr>
        <w:t>reci</w:t>
      </w:r>
      <w:r>
        <w:rPr>
          <w:rFonts w:cstheme="minorHAnsi"/>
          <w:color w:val="7F7F7F" w:themeColor="text1" w:themeTint="80"/>
          <w:spacing w:val="-3"/>
          <w:sz w:val="20"/>
          <w:szCs w:val="24"/>
          <w:lang w:val="en-GB"/>
        </w:rPr>
        <w:t>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w:t>
      </w:r>
      <w:r w:rsidR="00BF16A2">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F16A2">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ab/>
        <w:t xml:space="preserve">          </w:t>
      </w:r>
      <w:r w:rsidR="00A27E08">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A27E08">
        <w:rPr>
          <w:rFonts w:cstheme="minorHAnsi"/>
          <w:color w:val="7F7F7F" w:themeColor="text1" w:themeTint="80"/>
          <w:spacing w:val="-3"/>
          <w:sz w:val="20"/>
          <w:szCs w:val="24"/>
          <w:lang w:val="en-GB"/>
        </w:rPr>
        <w:t>de</w:t>
      </w:r>
      <w:r w:rsidR="00BF16A2">
        <w:rPr>
          <w:rFonts w:cstheme="minorHAnsi"/>
          <w:color w:val="7F7F7F" w:themeColor="text1" w:themeTint="80"/>
          <w:spacing w:val="-3"/>
          <w:sz w:val="20"/>
          <w:szCs w:val="24"/>
          <w:lang w:val="en-GB"/>
        </w:rPr>
        <w:t>pre</w:t>
      </w:r>
      <w:r>
        <w:rPr>
          <w:rFonts w:cstheme="minorHAnsi"/>
          <w:color w:val="7F7F7F" w:themeColor="text1" w:themeTint="80"/>
          <w:spacing w:val="-3"/>
          <w:sz w:val="20"/>
          <w:szCs w:val="24"/>
          <w:lang w:val="en-GB"/>
        </w:rPr>
        <w:t>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2</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Pr>
          <w:rFonts w:cstheme="minorHAnsi"/>
          <w:color w:val="7F7F7F" w:themeColor="text1" w:themeTint="80"/>
          <w:spacing w:val="-3"/>
          <w:sz w:val="20"/>
          <w:szCs w:val="24"/>
          <w:lang w:val="en-GB"/>
        </w:rPr>
        <w:t>6</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w:t>
      </w:r>
      <w:r w:rsidR="00276D4D">
        <w:rPr>
          <w:rFonts w:cstheme="minorHAnsi"/>
          <w:color w:val="7F7F7F" w:themeColor="text1" w:themeTint="80"/>
          <w:spacing w:val="-3"/>
          <w:sz w:val="20"/>
          <w:szCs w:val="24"/>
          <w:lang w:val="en-GB"/>
        </w:rPr>
        <w:t>1</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7777777"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28B4B210" w14:textId="77777777" w:rsidR="00F33CA9" w:rsidRDefault="00F33CA9" w:rsidP="00013CB8">
      <w:pPr>
        <w:spacing w:after="0" w:line="240" w:lineRule="auto"/>
        <w:jc w:val="both"/>
        <w:rPr>
          <w:rFonts w:eastAsia="Times New Roman" w:cs="Calibri"/>
          <w:b/>
          <w:i/>
          <w:sz w:val="24"/>
          <w:szCs w:val="24"/>
          <w:lang w:val="en-GB" w:eastAsia="hr-HR"/>
        </w:rPr>
      </w:pPr>
    </w:p>
    <w:p w14:paraId="4BFBFC57" w14:textId="1343BCF5"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05B80CB" w14:textId="57DEF347" w:rsidR="00DD3AE5" w:rsidRPr="00B86B0B" w:rsidRDefault="00013CB8" w:rsidP="00B55698">
      <w:pPr>
        <w:tabs>
          <w:tab w:val="left" w:pos="-720"/>
        </w:tabs>
        <w:suppressAutoHyphens/>
        <w:spacing w:after="0" w:line="240" w:lineRule="auto"/>
        <w:jc w:val="both"/>
        <w:rPr>
          <w:rFonts w:cstheme="minorHAnsi"/>
          <w:spacing w:val="-3"/>
          <w:sz w:val="24"/>
          <w:szCs w:val="24"/>
          <w:lang w:val="en-GB"/>
        </w:rPr>
      </w:pPr>
      <w:r w:rsidRPr="004C7CD7">
        <w:rPr>
          <w:rFonts w:cstheme="minorHAnsi"/>
          <w:spacing w:val="-3"/>
          <w:sz w:val="24"/>
          <w:szCs w:val="24"/>
          <w:lang w:val="en-GB"/>
        </w:rPr>
        <w:t xml:space="preserve">Operating expenses that include general and administrative expenses and other operating expenses stood at HRK </w:t>
      </w:r>
      <w:r w:rsidR="00F33CA9">
        <w:rPr>
          <w:rFonts w:cstheme="minorHAnsi"/>
          <w:spacing w:val="-3"/>
          <w:sz w:val="24"/>
          <w:szCs w:val="24"/>
          <w:lang w:val="en-GB"/>
        </w:rPr>
        <w:t>106.3</w:t>
      </w:r>
      <w:r w:rsidR="00AB02E4" w:rsidRPr="004C7CD7">
        <w:rPr>
          <w:rFonts w:cstheme="minorHAnsi"/>
          <w:spacing w:val="-3"/>
          <w:sz w:val="24"/>
          <w:szCs w:val="24"/>
          <w:lang w:val="en-GB"/>
        </w:rPr>
        <w:t xml:space="preserve"> </w:t>
      </w:r>
      <w:r w:rsidR="00BF17D9" w:rsidRPr="004C7CD7">
        <w:rPr>
          <w:rFonts w:cstheme="minorHAnsi"/>
          <w:spacing w:val="-3"/>
          <w:sz w:val="24"/>
          <w:szCs w:val="24"/>
          <w:lang w:val="en-GB"/>
        </w:rPr>
        <w:t>mil</w:t>
      </w:r>
      <w:r w:rsidRPr="004C7CD7">
        <w:rPr>
          <w:rFonts w:cstheme="minorHAnsi"/>
          <w:spacing w:val="-3"/>
          <w:sz w:val="24"/>
          <w:szCs w:val="24"/>
          <w:lang w:val="en-GB"/>
        </w:rPr>
        <w:t>lion, a</w:t>
      </w:r>
      <w:r w:rsidR="00310590">
        <w:rPr>
          <w:rFonts w:cstheme="minorHAnsi"/>
          <w:spacing w:val="-3"/>
          <w:sz w:val="24"/>
          <w:szCs w:val="24"/>
          <w:lang w:val="en-GB"/>
        </w:rPr>
        <w:t>n in</w:t>
      </w:r>
      <w:r w:rsidRPr="004C7CD7">
        <w:rPr>
          <w:rFonts w:cstheme="minorHAnsi"/>
          <w:spacing w:val="-3"/>
          <w:sz w:val="24"/>
          <w:szCs w:val="24"/>
          <w:lang w:val="en-GB"/>
        </w:rPr>
        <w:t>crease of</w:t>
      </w:r>
      <w:r w:rsidR="00BF17D9" w:rsidRPr="004C7CD7">
        <w:rPr>
          <w:rFonts w:cstheme="minorHAnsi"/>
          <w:spacing w:val="-3"/>
          <w:sz w:val="24"/>
          <w:szCs w:val="24"/>
          <w:lang w:val="en-GB"/>
        </w:rPr>
        <w:t xml:space="preserve"> </w:t>
      </w:r>
      <w:r w:rsidR="00310590">
        <w:rPr>
          <w:rFonts w:cstheme="minorHAnsi"/>
          <w:spacing w:val="-3"/>
          <w:sz w:val="24"/>
          <w:szCs w:val="24"/>
          <w:lang w:val="en-GB"/>
        </w:rPr>
        <w:t>2</w:t>
      </w:r>
      <w:r w:rsidR="00F33CA9">
        <w:rPr>
          <w:rFonts w:cstheme="minorHAnsi"/>
          <w:spacing w:val="-3"/>
          <w:sz w:val="24"/>
          <w:szCs w:val="24"/>
          <w:lang w:val="en-GB"/>
        </w:rPr>
        <w:t>2</w:t>
      </w:r>
      <w:r w:rsidR="00310590">
        <w:rPr>
          <w:rFonts w:cstheme="minorHAnsi"/>
          <w:spacing w:val="-3"/>
          <w:sz w:val="24"/>
          <w:szCs w:val="24"/>
          <w:lang w:val="en-GB"/>
        </w:rPr>
        <w:t>.</w:t>
      </w:r>
      <w:r w:rsidR="00F33CA9">
        <w:rPr>
          <w:rFonts w:cstheme="minorHAnsi"/>
          <w:spacing w:val="-3"/>
          <w:sz w:val="24"/>
          <w:szCs w:val="24"/>
          <w:lang w:val="en-GB"/>
        </w:rPr>
        <w:t>5</w:t>
      </w:r>
      <w:r w:rsidR="00710AC0" w:rsidRPr="004C7CD7">
        <w:rPr>
          <w:rFonts w:cstheme="minorHAnsi"/>
          <w:spacing w:val="-3"/>
          <w:sz w:val="24"/>
          <w:szCs w:val="24"/>
          <w:lang w:val="en-GB"/>
        </w:rPr>
        <w:t xml:space="preserve"> </w:t>
      </w:r>
      <w:r w:rsidR="00A3128E" w:rsidRPr="004C7CD7">
        <w:rPr>
          <w:rFonts w:cstheme="minorHAnsi"/>
          <w:spacing w:val="-3"/>
          <w:sz w:val="24"/>
          <w:szCs w:val="24"/>
          <w:lang w:val="en-GB"/>
        </w:rPr>
        <w:t>p</w:t>
      </w:r>
      <w:r w:rsidRPr="004C7CD7">
        <w:rPr>
          <w:rFonts w:cstheme="minorHAnsi"/>
          <w:spacing w:val="-3"/>
          <w:sz w:val="24"/>
          <w:szCs w:val="24"/>
          <w:lang w:val="en-GB"/>
        </w:rPr>
        <w:t>ercent compared with the same reporting period last year</w:t>
      </w:r>
      <w:r w:rsidR="004C7CD7" w:rsidRPr="004C7CD7">
        <w:rPr>
          <w:rFonts w:cstheme="minorHAnsi"/>
          <w:spacing w:val="-3"/>
          <w:sz w:val="24"/>
          <w:szCs w:val="24"/>
          <w:lang w:val="en-GB"/>
        </w:rPr>
        <w:t>,</w:t>
      </w:r>
      <w:r w:rsidR="004C7CD7" w:rsidRPr="004C7CD7">
        <w:rPr>
          <w:color w:val="222222"/>
          <w:sz w:val="24"/>
          <w:szCs w:val="24"/>
          <w:lang w:val="en"/>
        </w:rPr>
        <w:t xml:space="preserve"> mainly due to a</w:t>
      </w:r>
      <w:r w:rsidR="00DD3AE5">
        <w:rPr>
          <w:color w:val="222222"/>
          <w:sz w:val="24"/>
          <w:szCs w:val="24"/>
          <w:lang w:val="en"/>
        </w:rPr>
        <w:t>n in</w:t>
      </w:r>
      <w:r w:rsidR="004C7CD7" w:rsidRPr="004C7CD7">
        <w:rPr>
          <w:color w:val="222222"/>
          <w:sz w:val="24"/>
          <w:szCs w:val="24"/>
          <w:lang w:val="en"/>
        </w:rPr>
        <w:t>crease</w:t>
      </w:r>
      <w:r w:rsidR="00DD3AE5">
        <w:rPr>
          <w:color w:val="222222"/>
          <w:sz w:val="24"/>
          <w:szCs w:val="24"/>
          <w:lang w:val="en"/>
        </w:rPr>
        <w:t xml:space="preserve"> </w:t>
      </w:r>
      <w:r w:rsidR="0042499C">
        <w:rPr>
          <w:color w:val="222222"/>
          <w:sz w:val="24"/>
          <w:szCs w:val="24"/>
          <w:lang w:val="en"/>
        </w:rPr>
        <w:t>in other expenses in the amount of HRK 12.</w:t>
      </w:r>
      <w:r w:rsidR="00F33CA9">
        <w:rPr>
          <w:color w:val="222222"/>
          <w:sz w:val="24"/>
          <w:szCs w:val="24"/>
          <w:lang w:val="en"/>
        </w:rPr>
        <w:t>5</w:t>
      </w:r>
      <w:r w:rsidR="0042499C">
        <w:rPr>
          <w:color w:val="222222"/>
          <w:sz w:val="24"/>
          <w:szCs w:val="24"/>
          <w:lang w:val="en"/>
        </w:rPr>
        <w:t xml:space="preserve"> million </w:t>
      </w:r>
      <w:proofErr w:type="gramStart"/>
      <w:r w:rsidR="0042499C">
        <w:rPr>
          <w:color w:val="222222"/>
          <w:sz w:val="24"/>
          <w:szCs w:val="24"/>
          <w:lang w:val="en"/>
        </w:rPr>
        <w:t>as a result of</w:t>
      </w:r>
      <w:proofErr w:type="gramEnd"/>
      <w:r w:rsidR="00DD3AE5" w:rsidRPr="00B86B0B">
        <w:rPr>
          <w:rFonts w:ascii="Calibri" w:eastAsia="Calibri" w:hAnsi="Calibri" w:cs="Calibri"/>
          <w:spacing w:val="-3"/>
          <w:sz w:val="24"/>
          <w:szCs w:val="24"/>
          <w:lang w:val="en-GB"/>
        </w:rPr>
        <w:t xml:space="preserve"> recalculation and write-offs under financial instruments. </w:t>
      </w:r>
    </w:p>
    <w:p w14:paraId="2CFA50FA" w14:textId="77777777" w:rsidR="00BF17D9" w:rsidRPr="00041197" w:rsidRDefault="00BF17D9" w:rsidP="00B55698">
      <w:pPr>
        <w:tabs>
          <w:tab w:val="left" w:pos="-720"/>
        </w:tabs>
        <w:suppressAutoHyphens/>
        <w:spacing w:after="0" w:line="240" w:lineRule="auto"/>
        <w:jc w:val="both"/>
        <w:rPr>
          <w:rFonts w:cstheme="minorHAnsi"/>
          <w:spacing w:val="-3"/>
          <w:sz w:val="20"/>
          <w:szCs w:val="20"/>
          <w:lang w:val="en-GB"/>
        </w:rPr>
      </w:pPr>
    </w:p>
    <w:p w14:paraId="1A015D4B" w14:textId="50FDDA0F" w:rsidR="00013CB8" w:rsidRPr="00DB5770" w:rsidRDefault="00013CB8" w:rsidP="00B55698">
      <w:pPr>
        <w:spacing w:after="0" w:line="240" w:lineRule="auto"/>
        <w:jc w:val="both"/>
        <w:rPr>
          <w:sz w:val="24"/>
          <w:szCs w:val="24"/>
          <w:lang w:val="en-GB"/>
        </w:rPr>
      </w:pPr>
      <w:r w:rsidRPr="00DB5770">
        <w:rPr>
          <w:sz w:val="24"/>
          <w:szCs w:val="24"/>
          <w:lang w:val="en-GB"/>
        </w:rPr>
        <w:t>On 3</w:t>
      </w:r>
      <w:r w:rsidR="007B0613">
        <w:rPr>
          <w:sz w:val="24"/>
          <w:szCs w:val="24"/>
          <w:lang w:val="en-GB"/>
        </w:rPr>
        <w:t>0</w:t>
      </w:r>
      <w:r w:rsidRPr="00DB5770">
        <w:rPr>
          <w:sz w:val="24"/>
          <w:szCs w:val="24"/>
          <w:lang w:val="en-GB"/>
        </w:rPr>
        <w:t xml:space="preserve"> </w:t>
      </w:r>
      <w:r w:rsidR="007B0613">
        <w:rPr>
          <w:sz w:val="24"/>
          <w:szCs w:val="24"/>
          <w:lang w:val="en-GB"/>
        </w:rPr>
        <w:t>June</w:t>
      </w:r>
      <w:r w:rsidRPr="00DB5770">
        <w:rPr>
          <w:sz w:val="24"/>
          <w:szCs w:val="24"/>
          <w:lang w:val="en-GB"/>
        </w:rPr>
        <w:t xml:space="preserve"> 20</w:t>
      </w:r>
      <w:r w:rsidR="00B86B0B">
        <w:rPr>
          <w:sz w:val="24"/>
          <w:szCs w:val="24"/>
          <w:lang w:val="en-GB"/>
        </w:rPr>
        <w:t>2</w:t>
      </w:r>
      <w:r w:rsidR="00F33CA9">
        <w:rPr>
          <w:sz w:val="24"/>
          <w:szCs w:val="24"/>
          <w:lang w:val="en-GB"/>
        </w:rPr>
        <w:t>2</w:t>
      </w:r>
      <w:r w:rsidRPr="00DB5770">
        <w:rPr>
          <w:sz w:val="24"/>
          <w:szCs w:val="24"/>
          <w:lang w:val="en-GB"/>
        </w:rPr>
        <w:t xml:space="preserve">, </w:t>
      </w:r>
      <w:r>
        <w:rPr>
          <w:sz w:val="24"/>
          <w:szCs w:val="24"/>
          <w:lang w:val="en-GB"/>
        </w:rPr>
        <w:t>HBOR</w:t>
      </w:r>
      <w:r w:rsidRPr="00DB5770">
        <w:rPr>
          <w:sz w:val="24"/>
          <w:szCs w:val="24"/>
          <w:lang w:val="en-GB"/>
        </w:rPr>
        <w:t xml:space="preserve"> had </w:t>
      </w:r>
      <w:r>
        <w:rPr>
          <w:sz w:val="24"/>
          <w:szCs w:val="24"/>
          <w:lang w:val="en-GB"/>
        </w:rPr>
        <w:t>3</w:t>
      </w:r>
      <w:r w:rsidR="00F33CA9">
        <w:rPr>
          <w:sz w:val="24"/>
          <w:szCs w:val="24"/>
          <w:lang w:val="en-GB"/>
        </w:rPr>
        <w:t>73</w:t>
      </w:r>
      <w:r w:rsidRPr="00DB5770">
        <w:rPr>
          <w:sz w:val="24"/>
          <w:szCs w:val="24"/>
          <w:lang w:val="en-GB"/>
        </w:rPr>
        <w:t xml:space="preserve"> employees (on 3</w:t>
      </w:r>
      <w:r w:rsidR="007B0613">
        <w:rPr>
          <w:sz w:val="24"/>
          <w:szCs w:val="24"/>
          <w:lang w:val="en-GB"/>
        </w:rPr>
        <w:t>0</w:t>
      </w:r>
      <w:r w:rsidRPr="00DB5770">
        <w:rPr>
          <w:sz w:val="24"/>
          <w:szCs w:val="24"/>
          <w:lang w:val="en-GB"/>
        </w:rPr>
        <w:t xml:space="preserve"> </w:t>
      </w:r>
      <w:r w:rsidR="007B0613">
        <w:rPr>
          <w:sz w:val="24"/>
          <w:szCs w:val="24"/>
          <w:lang w:val="en-GB"/>
        </w:rPr>
        <w:t>June</w:t>
      </w:r>
      <w:r w:rsidRPr="00DB5770">
        <w:rPr>
          <w:sz w:val="24"/>
          <w:szCs w:val="24"/>
          <w:lang w:val="en-GB"/>
        </w:rPr>
        <w:t xml:space="preserve"> 20</w:t>
      </w:r>
      <w:r w:rsidR="00DD3AE5">
        <w:rPr>
          <w:sz w:val="24"/>
          <w:szCs w:val="24"/>
          <w:lang w:val="en-GB"/>
        </w:rPr>
        <w:t>2</w:t>
      </w:r>
      <w:r w:rsidR="00F33CA9">
        <w:rPr>
          <w:sz w:val="24"/>
          <w:szCs w:val="24"/>
          <w:lang w:val="en-GB"/>
        </w:rPr>
        <w:t>1</w:t>
      </w:r>
      <w:r w:rsidRPr="00DB5770">
        <w:rPr>
          <w:sz w:val="24"/>
          <w:szCs w:val="24"/>
          <w:lang w:val="en-GB"/>
        </w:rPr>
        <w:t>: 3</w:t>
      </w:r>
      <w:r w:rsidR="00B86B0B">
        <w:rPr>
          <w:sz w:val="24"/>
          <w:szCs w:val="24"/>
          <w:lang w:val="en-GB"/>
        </w:rPr>
        <w:t>6</w:t>
      </w:r>
      <w:r w:rsidR="00F33CA9">
        <w:rPr>
          <w:sz w:val="24"/>
          <w:szCs w:val="24"/>
          <w:lang w:val="en-GB"/>
        </w:rPr>
        <w:t>2</w:t>
      </w:r>
      <w:r w:rsidRPr="00DB5770">
        <w:rPr>
          <w:sz w:val="24"/>
          <w:szCs w:val="24"/>
          <w:lang w:val="en-GB"/>
        </w:rPr>
        <w:t xml:space="preserve"> employees</w:t>
      </w:r>
      <w:r w:rsidR="001C7CA1">
        <w:rPr>
          <w:sz w:val="24"/>
          <w:szCs w:val="24"/>
          <w:lang w:val="en-GB"/>
        </w:rPr>
        <w:t>)</w:t>
      </w:r>
      <w:r w:rsidRPr="00DB5770">
        <w:rPr>
          <w:sz w:val="24"/>
          <w:szCs w:val="24"/>
          <w:lang w:val="en-GB"/>
        </w:rPr>
        <w:t>.</w:t>
      </w:r>
    </w:p>
    <w:p w14:paraId="0DD18BF6" w14:textId="77777777" w:rsidR="00615087" w:rsidRPr="00041197" w:rsidRDefault="00615087" w:rsidP="00B55698">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B55698">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5B0A31" w:rsidRDefault="00BF17D9" w:rsidP="00B55698">
      <w:pPr>
        <w:spacing w:after="0" w:line="240" w:lineRule="auto"/>
        <w:jc w:val="both"/>
        <w:rPr>
          <w:rFonts w:eastAsia="Times New Roman" w:cs="Calibri"/>
          <w:bCs/>
          <w:iCs/>
          <w:sz w:val="24"/>
          <w:szCs w:val="24"/>
          <w:lang w:val="en-GB" w:eastAsia="hr-HR"/>
        </w:rPr>
      </w:pPr>
    </w:p>
    <w:p w14:paraId="560C9E9D" w14:textId="64C7E6EB" w:rsidR="00200951" w:rsidRPr="004C7FAD" w:rsidRDefault="00B55698" w:rsidP="00200951">
      <w:pPr>
        <w:spacing w:after="0" w:line="240" w:lineRule="auto"/>
        <w:jc w:val="both"/>
        <w:rPr>
          <w:spacing w:val="-3"/>
          <w:sz w:val="24"/>
          <w:szCs w:val="24"/>
          <w:lang w:val="en-GB"/>
        </w:rPr>
      </w:pPr>
      <w:r w:rsidRPr="005B0A31">
        <w:rPr>
          <w:sz w:val="24"/>
          <w:szCs w:val="24"/>
          <w:lang w:val="en-US"/>
        </w:rPr>
        <w:t xml:space="preserve">In the reporting period, a net </w:t>
      </w:r>
      <w:r>
        <w:rPr>
          <w:sz w:val="24"/>
          <w:szCs w:val="24"/>
          <w:lang w:val="en-US"/>
        </w:rPr>
        <w:t>gain</w:t>
      </w:r>
      <w:r w:rsidRPr="005B0A31">
        <w:rPr>
          <w:sz w:val="24"/>
          <w:szCs w:val="24"/>
          <w:lang w:val="en-US"/>
        </w:rPr>
        <w:t xml:space="preserve"> from impairment of placements in the amount of HRK </w:t>
      </w:r>
      <w:r>
        <w:rPr>
          <w:sz w:val="24"/>
          <w:szCs w:val="24"/>
          <w:lang w:val="en-US"/>
        </w:rPr>
        <w:t>1</w:t>
      </w:r>
      <w:r w:rsidR="00F33CA9">
        <w:rPr>
          <w:sz w:val="24"/>
          <w:szCs w:val="24"/>
          <w:lang w:val="en-US"/>
        </w:rPr>
        <w:t>92.3</w:t>
      </w:r>
      <w:r w:rsidRPr="005B0A31">
        <w:rPr>
          <w:sz w:val="24"/>
          <w:szCs w:val="24"/>
          <w:lang w:val="en-US"/>
        </w:rPr>
        <w:t xml:space="preserve"> million was </w:t>
      </w:r>
      <w:r w:rsidRPr="00FF5E36">
        <w:rPr>
          <w:sz w:val="24"/>
          <w:szCs w:val="24"/>
          <w:lang w:val="en-US"/>
        </w:rPr>
        <w:t>recorded</w:t>
      </w:r>
      <w:r w:rsidR="00200951" w:rsidRPr="00FF5E36">
        <w:rPr>
          <w:sz w:val="24"/>
          <w:szCs w:val="24"/>
          <w:lang w:val="en-US"/>
        </w:rPr>
        <w:t xml:space="preserve"> </w:t>
      </w:r>
      <w:r w:rsidR="00200951" w:rsidRPr="00983AFF">
        <w:rPr>
          <w:sz w:val="24"/>
          <w:szCs w:val="24"/>
          <w:lang w:val="en-US"/>
        </w:rPr>
        <w:t>(in the period 1 January – 30 June 202</w:t>
      </w:r>
      <w:r w:rsidR="00F33CA9">
        <w:rPr>
          <w:sz w:val="24"/>
          <w:szCs w:val="24"/>
          <w:lang w:val="en-US"/>
        </w:rPr>
        <w:t>1</w:t>
      </w:r>
      <w:r w:rsidR="00200951" w:rsidRPr="00983AFF">
        <w:rPr>
          <w:sz w:val="24"/>
          <w:szCs w:val="24"/>
          <w:lang w:val="en-US"/>
        </w:rPr>
        <w:t xml:space="preserve">: net </w:t>
      </w:r>
      <w:r w:rsidR="00F33CA9">
        <w:rPr>
          <w:sz w:val="24"/>
          <w:szCs w:val="24"/>
          <w:lang w:val="en-US"/>
        </w:rPr>
        <w:t>gain</w:t>
      </w:r>
      <w:r w:rsidR="00200951" w:rsidRPr="00983AFF">
        <w:rPr>
          <w:sz w:val="24"/>
          <w:szCs w:val="24"/>
          <w:lang w:val="en-US"/>
        </w:rPr>
        <w:t xml:space="preserve"> in the amount of HRK </w:t>
      </w:r>
      <w:r w:rsidR="00C149C8">
        <w:rPr>
          <w:sz w:val="24"/>
          <w:szCs w:val="24"/>
          <w:lang w:val="en-US"/>
        </w:rPr>
        <w:t>136</w:t>
      </w:r>
      <w:r w:rsidR="00F33CA9">
        <w:rPr>
          <w:sz w:val="24"/>
          <w:szCs w:val="24"/>
          <w:lang w:val="en-US"/>
        </w:rPr>
        <w:t>.</w:t>
      </w:r>
      <w:r w:rsidR="00C149C8">
        <w:rPr>
          <w:sz w:val="24"/>
          <w:szCs w:val="24"/>
          <w:lang w:val="en-US"/>
        </w:rPr>
        <w:t>6</w:t>
      </w:r>
      <w:r w:rsidR="00200951" w:rsidRPr="00983AFF">
        <w:rPr>
          <w:sz w:val="24"/>
          <w:szCs w:val="24"/>
          <w:lang w:val="en-US"/>
        </w:rPr>
        <w:t xml:space="preserve"> million</w:t>
      </w:r>
      <w:r w:rsidR="00200951" w:rsidRPr="00FF5E36">
        <w:rPr>
          <w:sz w:val="24"/>
          <w:szCs w:val="24"/>
          <w:lang w:val="en-US"/>
        </w:rPr>
        <w:t>)</w:t>
      </w:r>
      <w:r w:rsidR="00200951" w:rsidRPr="00FF5E36">
        <w:rPr>
          <w:spacing w:val="-3"/>
          <w:sz w:val="24"/>
          <w:szCs w:val="24"/>
          <w:lang w:val="en-GB" w:eastAsia="hr-HR"/>
        </w:rPr>
        <w:t>.</w:t>
      </w:r>
    </w:p>
    <w:p w14:paraId="24FDF6B0" w14:textId="366E3B7B" w:rsidR="00B55698" w:rsidRPr="005B0A31" w:rsidRDefault="00B55698" w:rsidP="00B55698">
      <w:pPr>
        <w:spacing w:after="0" w:line="240" w:lineRule="auto"/>
        <w:jc w:val="both"/>
        <w:rPr>
          <w:sz w:val="24"/>
          <w:szCs w:val="24"/>
          <w:lang w:val="en-US"/>
        </w:rPr>
      </w:pPr>
    </w:p>
    <w:p w14:paraId="5D9362A5" w14:textId="77777777" w:rsidR="00475F6F" w:rsidRDefault="00475F6F" w:rsidP="007B069A">
      <w:pPr>
        <w:tabs>
          <w:tab w:val="left" w:pos="-720"/>
        </w:tabs>
        <w:spacing w:after="0" w:line="240" w:lineRule="auto"/>
        <w:jc w:val="both"/>
        <w:rPr>
          <w:rFonts w:cstheme="minorHAnsi"/>
          <w:spacing w:val="-3"/>
          <w:sz w:val="24"/>
          <w:szCs w:val="24"/>
          <w:lang w:val="en-GB"/>
        </w:rPr>
        <w:sectPr w:rsidR="00475F6F">
          <w:footerReference w:type="default" r:id="rId34"/>
          <w:pgSz w:w="11906" w:h="16838"/>
          <w:pgMar w:top="1417" w:right="1417" w:bottom="1417" w:left="1417" w:header="708" w:footer="708" w:gutter="0"/>
          <w:cols w:space="708"/>
          <w:docGrid w:linePitch="360"/>
        </w:sectPr>
      </w:pPr>
    </w:p>
    <w:p w14:paraId="737AA70A" w14:textId="75FF48A9"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5B0A31" w:rsidRDefault="004037B0" w:rsidP="00BF17D9">
      <w:pPr>
        <w:tabs>
          <w:tab w:val="left" w:pos="-720"/>
        </w:tabs>
        <w:spacing w:after="0" w:line="240" w:lineRule="auto"/>
        <w:jc w:val="both"/>
        <w:rPr>
          <w:rFonts w:cstheme="minorHAnsi"/>
          <w:spacing w:val="-3"/>
          <w:sz w:val="24"/>
          <w:szCs w:val="24"/>
          <w:lang w:val="en-GB"/>
        </w:rPr>
      </w:pPr>
      <w:r w:rsidRPr="005B0A31">
        <w:rPr>
          <w:rFonts w:cstheme="minorHAnsi"/>
          <w:spacing w:val="-3"/>
          <w:sz w:val="24"/>
          <w:szCs w:val="24"/>
          <w:lang w:val="en-GB"/>
        </w:rPr>
        <w:t>The text to follow contains a breakdown of portfolio quality</w:t>
      </w:r>
      <w:r w:rsidR="00BF17D9" w:rsidRPr="005B0A31">
        <w:rPr>
          <w:rFonts w:cstheme="minorHAnsi"/>
          <w:spacing w:val="-3"/>
          <w:sz w:val="24"/>
          <w:szCs w:val="24"/>
          <w:lang w:val="en-GB"/>
        </w:rPr>
        <w:t>:</w:t>
      </w:r>
      <w:r w:rsidR="008C05EC" w:rsidRPr="005B0A31">
        <w:rPr>
          <w:sz w:val="24"/>
          <w:szCs w:val="24"/>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1C3A2E75" w:rsidR="00A60DAD" w:rsidRPr="005B0A31" w:rsidRDefault="00B00054" w:rsidP="00BF17D9">
      <w:pPr>
        <w:tabs>
          <w:tab w:val="left" w:pos="-720"/>
        </w:tabs>
        <w:suppressAutoHyphens/>
        <w:spacing w:after="0" w:line="240" w:lineRule="auto"/>
        <w:jc w:val="both"/>
        <w:rPr>
          <w:sz w:val="24"/>
          <w:szCs w:val="24"/>
          <w:lang w:val="en-GB"/>
        </w:rPr>
      </w:pPr>
      <w:r>
        <w:rPr>
          <w:noProof/>
          <w:sz w:val="24"/>
          <w:szCs w:val="24"/>
          <w:lang w:val="en-GB"/>
        </w:rPr>
        <w:drawing>
          <wp:inline distT="0" distB="0" distL="0" distR="0" wp14:anchorId="07C9544F" wp14:editId="5DAD1A2A">
            <wp:extent cx="2795006" cy="2412121"/>
            <wp:effectExtent l="0" t="0" r="5715"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02421" cy="2418520"/>
                    </a:xfrm>
                    <a:prstGeom prst="rect">
                      <a:avLst/>
                    </a:prstGeom>
                    <a:noFill/>
                  </pic:spPr>
                </pic:pic>
              </a:graphicData>
            </a:graphic>
          </wp:inline>
        </w:drawing>
      </w:r>
      <w:r w:rsidR="00882183">
        <w:rPr>
          <w:sz w:val="24"/>
          <w:szCs w:val="24"/>
          <w:lang w:val="en-GB"/>
        </w:rPr>
        <w:t xml:space="preserve">  </w:t>
      </w:r>
      <w:r w:rsidR="00882183">
        <w:rPr>
          <w:noProof/>
          <w:sz w:val="24"/>
          <w:szCs w:val="24"/>
          <w:lang w:val="en-GB"/>
        </w:rPr>
        <w:drawing>
          <wp:inline distT="0" distB="0" distL="0" distR="0" wp14:anchorId="66D89A50" wp14:editId="7C25E76D">
            <wp:extent cx="2823697" cy="2412610"/>
            <wp:effectExtent l="0" t="0" r="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33139" cy="2420677"/>
                    </a:xfrm>
                    <a:prstGeom prst="rect">
                      <a:avLst/>
                    </a:prstGeom>
                    <a:noFill/>
                  </pic:spPr>
                </pic:pic>
              </a:graphicData>
            </a:graphic>
          </wp:inline>
        </w:drawing>
      </w:r>
      <w:r w:rsidR="00882183">
        <w:rPr>
          <w:sz w:val="24"/>
          <w:szCs w:val="24"/>
          <w:lang w:val="en-GB"/>
        </w:rPr>
        <w:t xml:space="preserve"> </w:t>
      </w:r>
    </w:p>
    <w:p w14:paraId="4669B4C4" w14:textId="63F2ABF2" w:rsidR="00223DA7" w:rsidRDefault="00E43402"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41197">
        <w:rPr>
          <w:rFonts w:eastAsia="Times New Roman" w:cs="Calibri"/>
          <w:b/>
          <w:spacing w:val="-3"/>
          <w:sz w:val="24"/>
          <w:szCs w:val="24"/>
          <w:lang w:val="en-GB" w:eastAsia="hr-HR"/>
        </w:rPr>
        <w:t xml:space="preserve"> </w:t>
      </w:r>
      <w:r>
        <w:rPr>
          <w:rFonts w:eastAsia="Times New Roman" w:cs="Calibri"/>
          <w:b/>
          <w:spacing w:val="-3"/>
          <w:sz w:val="24"/>
          <w:szCs w:val="24"/>
          <w:lang w:val="en-GB" w:eastAsia="hr-HR"/>
        </w:rPr>
        <w:t xml:space="preserve"> </w:t>
      </w:r>
    </w:p>
    <w:p w14:paraId="5A7B6F88" w14:textId="54A79700" w:rsidR="009C75D1" w:rsidRDefault="009C75D1" w:rsidP="009C75D1">
      <w:pPr>
        <w:spacing w:before="120" w:after="120" w:line="23" w:lineRule="atLeast"/>
        <w:rPr>
          <w:rFonts w:ascii="Calibri" w:eastAsia="SimSun" w:hAnsi="Calibri"/>
          <w:b/>
          <w:bCs/>
          <w:sz w:val="21"/>
          <w:szCs w:val="21"/>
        </w:rPr>
      </w:pPr>
      <w:r w:rsidRPr="009F2D76">
        <w:rPr>
          <w:rFonts w:ascii="Calibri" w:eastAsia="SimSun" w:hAnsi="Calibri"/>
          <w:b/>
          <w:bCs/>
          <w:sz w:val="21"/>
          <w:szCs w:val="21"/>
        </w:rPr>
        <w:t>Overview of total gross portfolio and provisions by structure – financial institutions and direct</w:t>
      </w:r>
    </w:p>
    <w:p w14:paraId="3C58CDF1" w14:textId="77777777" w:rsidR="00623B18" w:rsidRPr="009F2D76" w:rsidRDefault="00623B18" w:rsidP="009C75D1">
      <w:pPr>
        <w:spacing w:before="120" w:after="120" w:line="23" w:lineRule="atLeast"/>
        <w:rPr>
          <w:rFonts w:ascii="Calibri" w:eastAsia="SimSun" w:hAnsi="Calibri"/>
          <w:b/>
          <w:bCs/>
          <w:sz w:val="21"/>
          <w:szCs w:val="21"/>
        </w:rPr>
      </w:pPr>
    </w:p>
    <w:tbl>
      <w:tblPr>
        <w:tblW w:w="9390" w:type="dxa"/>
        <w:tblInd w:w="-174" w:type="dxa"/>
        <w:tblLayout w:type="fixed"/>
        <w:tblLook w:val="04A0" w:firstRow="1" w:lastRow="0" w:firstColumn="1" w:lastColumn="0" w:noHBand="0" w:noVBand="1"/>
      </w:tblPr>
      <w:tblGrid>
        <w:gridCol w:w="2835"/>
        <w:gridCol w:w="1735"/>
        <w:gridCol w:w="1702"/>
        <w:gridCol w:w="1559"/>
        <w:gridCol w:w="1559"/>
      </w:tblGrid>
      <w:tr w:rsidR="00871213" w:rsidRPr="009F2D76" w14:paraId="1057B4EF" w14:textId="77777777" w:rsidTr="00D65CA5">
        <w:trPr>
          <w:trHeight w:val="420"/>
        </w:trPr>
        <w:tc>
          <w:tcPr>
            <w:tcW w:w="2835" w:type="dxa"/>
            <w:tcBorders>
              <w:left w:val="single" w:sz="4" w:space="0" w:color="auto"/>
              <w:bottom w:val="single" w:sz="4" w:space="0" w:color="auto"/>
            </w:tcBorders>
            <w:shd w:val="clear" w:color="auto" w:fill="595959"/>
            <w:vAlign w:val="center"/>
            <w:hideMark/>
          </w:tcPr>
          <w:p w14:paraId="4D79D28B" w14:textId="77777777" w:rsidR="00871213" w:rsidRPr="00E06F74" w:rsidRDefault="00871213" w:rsidP="00D65CA5">
            <w:pPr>
              <w:spacing w:after="160"/>
              <w:rPr>
                <w:rFonts w:ascii="Calibri" w:hAnsi="Calibri" w:cs="Calibri"/>
                <w:b/>
                <w:i/>
                <w:spacing w:val="-3"/>
                <w:lang w:eastAsia="hr-HR"/>
              </w:rPr>
            </w:pPr>
          </w:p>
        </w:tc>
        <w:tc>
          <w:tcPr>
            <w:tcW w:w="3437" w:type="dxa"/>
            <w:gridSpan w:val="2"/>
            <w:tcBorders>
              <w:bottom w:val="single" w:sz="4" w:space="0" w:color="auto"/>
            </w:tcBorders>
            <w:shd w:val="clear" w:color="auto" w:fill="595959"/>
            <w:vAlign w:val="center"/>
            <w:hideMark/>
          </w:tcPr>
          <w:p w14:paraId="558EFC15" w14:textId="77777777"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2021</w:t>
            </w:r>
          </w:p>
        </w:tc>
        <w:tc>
          <w:tcPr>
            <w:tcW w:w="3118" w:type="dxa"/>
            <w:gridSpan w:val="2"/>
            <w:tcBorders>
              <w:bottom w:val="single" w:sz="4" w:space="0" w:color="auto"/>
              <w:right w:val="single" w:sz="4" w:space="0" w:color="auto"/>
            </w:tcBorders>
            <w:shd w:val="clear" w:color="auto" w:fill="595959"/>
            <w:vAlign w:val="center"/>
            <w:hideMark/>
          </w:tcPr>
          <w:p w14:paraId="69698672" w14:textId="00EABDB0"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 xml:space="preserve"> 3</w:t>
            </w:r>
            <w:r>
              <w:rPr>
                <w:rFonts w:ascii="Calibri" w:hAnsi="Calibri"/>
                <w:b/>
                <w:bCs/>
                <w:color w:val="FFFFFF"/>
                <w:lang w:val="en-GB" w:eastAsia="hr-HR"/>
              </w:rPr>
              <w:t>0</w:t>
            </w:r>
            <w:r w:rsidR="006A1D7C">
              <w:rPr>
                <w:rFonts w:ascii="Calibri" w:hAnsi="Calibri"/>
                <w:b/>
                <w:bCs/>
                <w:color w:val="FFFFFF"/>
                <w:lang w:val="en-GB" w:eastAsia="hr-HR"/>
              </w:rPr>
              <w:t xml:space="preserve"> June</w:t>
            </w:r>
            <w:r w:rsidRPr="00E06F74">
              <w:rPr>
                <w:rFonts w:ascii="Calibri" w:hAnsi="Calibri"/>
                <w:b/>
                <w:bCs/>
                <w:color w:val="FFFFFF"/>
                <w:lang w:val="en-GB" w:eastAsia="hr-HR"/>
              </w:rPr>
              <w:t xml:space="preserve"> 2022</w:t>
            </w:r>
          </w:p>
        </w:tc>
      </w:tr>
      <w:tr w:rsidR="00871213" w:rsidRPr="009F2D76" w14:paraId="3F182A6B" w14:textId="77777777" w:rsidTr="00D65CA5">
        <w:trPr>
          <w:trHeight w:val="776"/>
        </w:trPr>
        <w:tc>
          <w:tcPr>
            <w:tcW w:w="2835" w:type="dxa"/>
            <w:tcBorders>
              <w:top w:val="single" w:sz="4" w:space="0" w:color="auto"/>
              <w:left w:val="single" w:sz="4" w:space="0" w:color="auto"/>
              <w:bottom w:val="single" w:sz="4" w:space="0" w:color="auto"/>
            </w:tcBorders>
            <w:shd w:val="clear" w:color="auto" w:fill="595959"/>
            <w:vAlign w:val="center"/>
            <w:hideMark/>
          </w:tcPr>
          <w:p w14:paraId="0FC4EF6C" w14:textId="77777777" w:rsidR="00871213" w:rsidRPr="00E06F74" w:rsidRDefault="00871213" w:rsidP="00D65CA5">
            <w:pPr>
              <w:spacing w:after="160"/>
              <w:rPr>
                <w:rFonts w:ascii="Calibri" w:hAnsi="Calibri"/>
                <w:b/>
                <w:bCs/>
                <w:color w:val="000000"/>
                <w:lang w:val="en-GB" w:eastAsia="hr-HR"/>
              </w:rPr>
            </w:pPr>
          </w:p>
        </w:tc>
        <w:tc>
          <w:tcPr>
            <w:tcW w:w="1735" w:type="dxa"/>
            <w:tcBorders>
              <w:top w:val="single" w:sz="4" w:space="0" w:color="auto"/>
              <w:bottom w:val="single" w:sz="4" w:space="0" w:color="auto"/>
            </w:tcBorders>
            <w:shd w:val="clear" w:color="auto" w:fill="595959"/>
            <w:vAlign w:val="center"/>
            <w:hideMark/>
          </w:tcPr>
          <w:p w14:paraId="74D02F2F" w14:textId="77777777" w:rsidR="006A1D7C"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 xml:space="preserve">In HRK </w:t>
            </w:r>
          </w:p>
          <w:p w14:paraId="1121B75D" w14:textId="61EA4E71"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millions</w:t>
            </w:r>
          </w:p>
        </w:tc>
        <w:tc>
          <w:tcPr>
            <w:tcW w:w="1702" w:type="dxa"/>
            <w:tcBorders>
              <w:top w:val="single" w:sz="4" w:space="0" w:color="auto"/>
              <w:bottom w:val="single" w:sz="4" w:space="0" w:color="auto"/>
            </w:tcBorders>
            <w:shd w:val="clear" w:color="auto" w:fill="595959"/>
            <w:vAlign w:val="center"/>
            <w:hideMark/>
          </w:tcPr>
          <w:p w14:paraId="558415F1" w14:textId="77777777"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Breakdown</w:t>
            </w:r>
          </w:p>
          <w:p w14:paraId="474AB05E" w14:textId="77777777"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(percent)</w:t>
            </w:r>
          </w:p>
        </w:tc>
        <w:tc>
          <w:tcPr>
            <w:tcW w:w="1559" w:type="dxa"/>
            <w:tcBorders>
              <w:top w:val="single" w:sz="4" w:space="0" w:color="auto"/>
              <w:bottom w:val="single" w:sz="4" w:space="0" w:color="auto"/>
            </w:tcBorders>
            <w:shd w:val="clear" w:color="auto" w:fill="595959"/>
            <w:vAlign w:val="center"/>
            <w:hideMark/>
          </w:tcPr>
          <w:p w14:paraId="175CDC9E" w14:textId="77777777"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In HRK millions</w:t>
            </w:r>
          </w:p>
        </w:tc>
        <w:tc>
          <w:tcPr>
            <w:tcW w:w="1559" w:type="dxa"/>
            <w:tcBorders>
              <w:top w:val="single" w:sz="4" w:space="0" w:color="auto"/>
              <w:bottom w:val="single" w:sz="4" w:space="0" w:color="auto"/>
              <w:right w:val="single" w:sz="4" w:space="0" w:color="auto"/>
            </w:tcBorders>
            <w:shd w:val="clear" w:color="auto" w:fill="595959"/>
            <w:vAlign w:val="center"/>
            <w:hideMark/>
          </w:tcPr>
          <w:p w14:paraId="60886466" w14:textId="77777777"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Breakdown</w:t>
            </w:r>
          </w:p>
          <w:p w14:paraId="6B809670" w14:textId="77777777" w:rsidR="00871213" w:rsidRPr="00E06F74" w:rsidRDefault="00871213" w:rsidP="00D65CA5">
            <w:pPr>
              <w:spacing w:after="0"/>
              <w:jc w:val="center"/>
              <w:rPr>
                <w:rFonts w:ascii="Calibri" w:hAnsi="Calibri"/>
                <w:b/>
                <w:bCs/>
                <w:color w:val="FFFFFF"/>
                <w:lang w:val="en-GB" w:eastAsia="hr-HR"/>
              </w:rPr>
            </w:pPr>
            <w:r w:rsidRPr="00E06F74">
              <w:rPr>
                <w:rFonts w:ascii="Calibri" w:hAnsi="Calibri"/>
                <w:b/>
                <w:bCs/>
                <w:color w:val="FFFFFF"/>
                <w:lang w:val="en-GB" w:eastAsia="hr-HR"/>
              </w:rPr>
              <w:t>(percent)</w:t>
            </w:r>
          </w:p>
        </w:tc>
      </w:tr>
      <w:tr w:rsidR="00871213" w:rsidRPr="009F2D76" w14:paraId="171EA69E" w14:textId="77777777" w:rsidTr="00D65CA5">
        <w:trPr>
          <w:trHeight w:val="475"/>
        </w:trPr>
        <w:tc>
          <w:tcPr>
            <w:tcW w:w="2835" w:type="dxa"/>
            <w:tcBorders>
              <w:top w:val="single" w:sz="4" w:space="0" w:color="auto"/>
              <w:left w:val="single" w:sz="4" w:space="0" w:color="auto"/>
              <w:bottom w:val="single" w:sz="4" w:space="0" w:color="auto"/>
            </w:tcBorders>
            <w:vAlign w:val="center"/>
            <w:hideMark/>
          </w:tcPr>
          <w:p w14:paraId="1D201BB9" w14:textId="77777777" w:rsidR="00871213" w:rsidRPr="00E06F74" w:rsidRDefault="00871213" w:rsidP="00D65CA5">
            <w:pPr>
              <w:spacing w:after="0"/>
              <w:rPr>
                <w:rFonts w:ascii="Calibri" w:hAnsi="Calibri"/>
                <w:b/>
                <w:bCs/>
                <w:color w:val="000000"/>
                <w:lang w:val="en-GB" w:eastAsia="hr-HR"/>
              </w:rPr>
            </w:pPr>
            <w:r w:rsidRPr="00E06F74">
              <w:rPr>
                <w:rFonts w:ascii="Calibri" w:hAnsi="Calibri"/>
                <w:b/>
                <w:bCs/>
                <w:color w:val="000000"/>
                <w:lang w:val="en-GB" w:eastAsia="hr-HR"/>
              </w:rPr>
              <w:t>Total gross portfolio</w:t>
            </w:r>
          </w:p>
        </w:tc>
        <w:tc>
          <w:tcPr>
            <w:tcW w:w="1735" w:type="dxa"/>
            <w:tcBorders>
              <w:top w:val="single" w:sz="4" w:space="0" w:color="auto"/>
              <w:bottom w:val="single" w:sz="4" w:space="0" w:color="auto"/>
            </w:tcBorders>
            <w:vAlign w:val="center"/>
            <w:hideMark/>
          </w:tcPr>
          <w:p w14:paraId="73D43B4E" w14:textId="77777777" w:rsidR="00871213" w:rsidRPr="00E06F74" w:rsidRDefault="00871213" w:rsidP="00D65CA5">
            <w:pPr>
              <w:spacing w:after="0"/>
              <w:jc w:val="right"/>
              <w:rPr>
                <w:rFonts w:ascii="Calibri" w:eastAsia="Calibri" w:hAnsi="Calibri"/>
                <w:b/>
                <w:bCs/>
                <w:color w:val="000000"/>
                <w:lang w:val="en-GB"/>
              </w:rPr>
            </w:pPr>
            <w:r w:rsidRPr="00E06F74">
              <w:rPr>
                <w:rFonts w:ascii="Calibri" w:eastAsia="Calibri" w:hAnsi="Calibri"/>
                <w:b/>
                <w:bCs/>
                <w:color w:val="000000"/>
                <w:lang w:val="en-GB"/>
              </w:rPr>
              <w:t>35,412.7</w:t>
            </w:r>
          </w:p>
        </w:tc>
        <w:tc>
          <w:tcPr>
            <w:tcW w:w="1702" w:type="dxa"/>
            <w:tcBorders>
              <w:top w:val="single" w:sz="4" w:space="0" w:color="auto"/>
              <w:bottom w:val="single" w:sz="4" w:space="0" w:color="auto"/>
            </w:tcBorders>
            <w:vAlign w:val="center"/>
            <w:hideMark/>
          </w:tcPr>
          <w:p w14:paraId="2FF41AE5" w14:textId="487BCA33" w:rsidR="00871213" w:rsidRPr="00E06F74" w:rsidRDefault="00871213" w:rsidP="00D65CA5">
            <w:pPr>
              <w:spacing w:after="0"/>
              <w:jc w:val="center"/>
              <w:rPr>
                <w:rFonts w:ascii="Calibri" w:eastAsia="Calibri" w:hAnsi="Calibri"/>
                <w:b/>
                <w:bCs/>
                <w:color w:val="000000"/>
                <w:lang w:val="en-GB"/>
              </w:rPr>
            </w:pPr>
            <w:r w:rsidRPr="00E06F74">
              <w:rPr>
                <w:rFonts w:ascii="Calibri" w:eastAsia="Calibri" w:hAnsi="Calibri"/>
                <w:b/>
                <w:bCs/>
                <w:color w:val="000000"/>
                <w:lang w:val="en-GB"/>
              </w:rPr>
              <w:t>100.0</w:t>
            </w:r>
          </w:p>
        </w:tc>
        <w:tc>
          <w:tcPr>
            <w:tcW w:w="1559" w:type="dxa"/>
            <w:tcBorders>
              <w:top w:val="single" w:sz="4" w:space="0" w:color="auto"/>
              <w:bottom w:val="single" w:sz="4" w:space="0" w:color="auto"/>
            </w:tcBorders>
            <w:vAlign w:val="center"/>
            <w:hideMark/>
          </w:tcPr>
          <w:p w14:paraId="42B88AE6" w14:textId="0B781698" w:rsidR="00871213" w:rsidRPr="00E06F74" w:rsidRDefault="00871213" w:rsidP="00D65CA5">
            <w:pPr>
              <w:spacing w:after="0"/>
              <w:jc w:val="right"/>
              <w:rPr>
                <w:rFonts w:ascii="Calibri" w:eastAsia="Calibri" w:hAnsi="Calibri"/>
                <w:b/>
                <w:bCs/>
                <w:color w:val="000000"/>
                <w:lang w:val="en-GB"/>
              </w:rPr>
            </w:pPr>
            <w:r w:rsidRPr="00E06F74">
              <w:rPr>
                <w:rFonts w:ascii="Calibri" w:eastAsia="Calibri" w:hAnsi="Calibri"/>
                <w:b/>
                <w:bCs/>
                <w:color w:val="000000"/>
                <w:lang w:val="en-GB"/>
              </w:rPr>
              <w:t>3</w:t>
            </w:r>
            <w:r>
              <w:rPr>
                <w:rFonts w:ascii="Calibri" w:eastAsia="Calibri" w:hAnsi="Calibri"/>
                <w:b/>
                <w:bCs/>
                <w:color w:val="000000"/>
                <w:lang w:val="en-GB"/>
              </w:rPr>
              <w:t>4</w:t>
            </w:r>
            <w:r w:rsidRPr="00E06F74">
              <w:rPr>
                <w:rFonts w:ascii="Calibri" w:eastAsia="Calibri" w:hAnsi="Calibri"/>
                <w:b/>
                <w:bCs/>
                <w:color w:val="000000"/>
                <w:lang w:val="en-GB"/>
              </w:rPr>
              <w:t>,</w:t>
            </w:r>
            <w:r>
              <w:rPr>
                <w:rFonts w:ascii="Calibri" w:eastAsia="Calibri" w:hAnsi="Calibri"/>
                <w:b/>
                <w:bCs/>
                <w:color w:val="000000"/>
                <w:lang w:val="en-GB"/>
              </w:rPr>
              <w:t>126.0</w:t>
            </w:r>
          </w:p>
        </w:tc>
        <w:tc>
          <w:tcPr>
            <w:tcW w:w="1559" w:type="dxa"/>
            <w:tcBorders>
              <w:top w:val="single" w:sz="4" w:space="0" w:color="auto"/>
              <w:bottom w:val="single" w:sz="4" w:space="0" w:color="auto"/>
              <w:right w:val="single" w:sz="4" w:space="0" w:color="auto"/>
            </w:tcBorders>
            <w:vAlign w:val="center"/>
            <w:hideMark/>
          </w:tcPr>
          <w:p w14:paraId="3CB56CE0" w14:textId="5008E862" w:rsidR="00871213" w:rsidRPr="00E06F74" w:rsidRDefault="00871213" w:rsidP="00D65CA5">
            <w:pPr>
              <w:spacing w:after="0"/>
              <w:jc w:val="center"/>
              <w:rPr>
                <w:rFonts w:ascii="Calibri" w:eastAsia="Calibri" w:hAnsi="Calibri"/>
                <w:b/>
                <w:bCs/>
                <w:color w:val="000000"/>
                <w:lang w:val="en-GB"/>
              </w:rPr>
            </w:pPr>
            <w:r w:rsidRPr="00E06F74">
              <w:rPr>
                <w:rFonts w:ascii="Calibri" w:eastAsia="Calibri" w:hAnsi="Calibri"/>
                <w:b/>
                <w:bCs/>
                <w:color w:val="000000"/>
                <w:lang w:val="en-GB"/>
              </w:rPr>
              <w:t>100.0</w:t>
            </w:r>
          </w:p>
        </w:tc>
      </w:tr>
      <w:tr w:rsidR="00871213" w:rsidRPr="009F2D76" w14:paraId="3254477E" w14:textId="77777777" w:rsidTr="00D65CA5">
        <w:trPr>
          <w:trHeight w:val="567"/>
        </w:trPr>
        <w:tc>
          <w:tcPr>
            <w:tcW w:w="2835" w:type="dxa"/>
            <w:tcBorders>
              <w:top w:val="single" w:sz="4" w:space="0" w:color="auto"/>
              <w:left w:val="single" w:sz="4" w:space="0" w:color="auto"/>
              <w:bottom w:val="single" w:sz="4" w:space="0" w:color="auto"/>
            </w:tcBorders>
            <w:vAlign w:val="center"/>
            <w:hideMark/>
          </w:tcPr>
          <w:p w14:paraId="0DEABBB1" w14:textId="77777777" w:rsidR="00871213" w:rsidRPr="00E06F74" w:rsidRDefault="00871213" w:rsidP="00D65CA5">
            <w:pPr>
              <w:spacing w:after="0"/>
              <w:rPr>
                <w:rFonts w:ascii="Calibri" w:hAnsi="Calibri"/>
                <w:b/>
                <w:bCs/>
                <w:color w:val="000000"/>
                <w:lang w:val="en-GB" w:eastAsia="hr-HR"/>
              </w:rPr>
            </w:pPr>
            <w:r w:rsidRPr="00E06F74">
              <w:rPr>
                <w:rFonts w:ascii="Calibri" w:hAnsi="Calibri"/>
                <w:b/>
                <w:bCs/>
                <w:color w:val="000000"/>
                <w:lang w:val="en-GB" w:eastAsia="hr-HR"/>
              </w:rPr>
              <w:t xml:space="preserve"> Of which:</w:t>
            </w:r>
          </w:p>
        </w:tc>
        <w:tc>
          <w:tcPr>
            <w:tcW w:w="1735" w:type="dxa"/>
            <w:tcBorders>
              <w:top w:val="single" w:sz="4" w:space="0" w:color="auto"/>
              <w:bottom w:val="single" w:sz="4" w:space="0" w:color="auto"/>
            </w:tcBorders>
            <w:vAlign w:val="center"/>
          </w:tcPr>
          <w:p w14:paraId="012F22F0" w14:textId="77777777" w:rsidR="00871213" w:rsidRPr="00E06F74" w:rsidRDefault="00871213" w:rsidP="00D65CA5">
            <w:pPr>
              <w:spacing w:after="0"/>
              <w:jc w:val="right"/>
              <w:rPr>
                <w:lang w:val="en-GB" w:eastAsia="hr-HR"/>
              </w:rPr>
            </w:pPr>
          </w:p>
        </w:tc>
        <w:tc>
          <w:tcPr>
            <w:tcW w:w="1702" w:type="dxa"/>
            <w:tcBorders>
              <w:top w:val="single" w:sz="4" w:space="0" w:color="auto"/>
              <w:bottom w:val="single" w:sz="4" w:space="0" w:color="auto"/>
            </w:tcBorders>
            <w:vAlign w:val="center"/>
          </w:tcPr>
          <w:p w14:paraId="085BF60E" w14:textId="77777777" w:rsidR="00871213" w:rsidRPr="00E06F74" w:rsidRDefault="00871213" w:rsidP="00D65CA5">
            <w:pPr>
              <w:spacing w:after="0"/>
              <w:jc w:val="center"/>
              <w:rPr>
                <w:lang w:val="en-GB" w:eastAsia="hr-HR"/>
              </w:rPr>
            </w:pPr>
          </w:p>
        </w:tc>
        <w:tc>
          <w:tcPr>
            <w:tcW w:w="1559" w:type="dxa"/>
            <w:tcBorders>
              <w:top w:val="single" w:sz="4" w:space="0" w:color="auto"/>
              <w:bottom w:val="single" w:sz="4" w:space="0" w:color="auto"/>
            </w:tcBorders>
            <w:vAlign w:val="center"/>
          </w:tcPr>
          <w:p w14:paraId="4AFB38A6" w14:textId="77777777" w:rsidR="00871213" w:rsidRPr="00E06F74" w:rsidRDefault="00871213" w:rsidP="00D65CA5">
            <w:pPr>
              <w:spacing w:after="0"/>
              <w:jc w:val="right"/>
              <w:rPr>
                <w:lang w:val="en-GB" w:eastAsia="hr-HR"/>
              </w:rPr>
            </w:pPr>
          </w:p>
        </w:tc>
        <w:tc>
          <w:tcPr>
            <w:tcW w:w="1559" w:type="dxa"/>
            <w:tcBorders>
              <w:top w:val="single" w:sz="4" w:space="0" w:color="auto"/>
              <w:bottom w:val="single" w:sz="4" w:space="0" w:color="auto"/>
              <w:right w:val="single" w:sz="4" w:space="0" w:color="auto"/>
            </w:tcBorders>
            <w:vAlign w:val="center"/>
          </w:tcPr>
          <w:p w14:paraId="22B91B2D" w14:textId="77777777" w:rsidR="00871213" w:rsidRPr="00E06F74" w:rsidRDefault="00871213" w:rsidP="00D65CA5">
            <w:pPr>
              <w:spacing w:after="0"/>
              <w:jc w:val="center"/>
              <w:rPr>
                <w:lang w:val="en-GB" w:eastAsia="hr-HR"/>
              </w:rPr>
            </w:pPr>
          </w:p>
        </w:tc>
      </w:tr>
      <w:tr w:rsidR="00871213" w:rsidRPr="009F2D76" w14:paraId="268E9A99" w14:textId="77777777" w:rsidTr="00D65CA5">
        <w:trPr>
          <w:trHeight w:val="397"/>
        </w:trPr>
        <w:tc>
          <w:tcPr>
            <w:tcW w:w="2835" w:type="dxa"/>
            <w:tcBorders>
              <w:top w:val="single" w:sz="4" w:space="0" w:color="auto"/>
              <w:left w:val="single" w:sz="4" w:space="0" w:color="auto"/>
              <w:bottom w:val="single" w:sz="4" w:space="0" w:color="auto"/>
            </w:tcBorders>
            <w:vAlign w:val="center"/>
            <w:hideMark/>
          </w:tcPr>
          <w:p w14:paraId="664784D0" w14:textId="77777777" w:rsidR="00871213" w:rsidRPr="00E06F74" w:rsidRDefault="00871213" w:rsidP="00D65CA5">
            <w:pPr>
              <w:spacing w:after="0"/>
              <w:rPr>
                <w:rFonts w:ascii="Calibri" w:hAnsi="Calibri"/>
                <w:b/>
                <w:bCs/>
                <w:color w:val="000000"/>
                <w:lang w:val="en-GB" w:eastAsia="hr-HR"/>
              </w:rPr>
            </w:pPr>
            <w:r w:rsidRPr="00E06F74">
              <w:rPr>
                <w:rFonts w:ascii="Calibri" w:hAnsi="Calibri"/>
                <w:b/>
                <w:bCs/>
                <w:color w:val="000000"/>
                <w:lang w:val="en-GB" w:eastAsia="hr-HR"/>
              </w:rPr>
              <w:t xml:space="preserve">    - financial institutions</w:t>
            </w:r>
          </w:p>
        </w:tc>
        <w:tc>
          <w:tcPr>
            <w:tcW w:w="1735" w:type="dxa"/>
            <w:tcBorders>
              <w:top w:val="single" w:sz="4" w:space="0" w:color="auto"/>
              <w:bottom w:val="single" w:sz="4" w:space="0" w:color="auto"/>
            </w:tcBorders>
            <w:vAlign w:val="center"/>
            <w:hideMark/>
          </w:tcPr>
          <w:p w14:paraId="60BF09CF" w14:textId="77777777" w:rsidR="00871213" w:rsidRPr="00E06F74" w:rsidRDefault="00871213" w:rsidP="00D65CA5">
            <w:pPr>
              <w:spacing w:after="0"/>
              <w:jc w:val="right"/>
              <w:rPr>
                <w:rFonts w:ascii="Calibri" w:eastAsia="Calibri" w:hAnsi="Calibri"/>
                <w:color w:val="000000"/>
                <w:lang w:val="en-GB"/>
              </w:rPr>
            </w:pPr>
            <w:r w:rsidRPr="00E06F74">
              <w:rPr>
                <w:rFonts w:ascii="Calibri" w:eastAsia="Calibri" w:hAnsi="Calibri"/>
                <w:color w:val="000000"/>
                <w:lang w:val="en-GB"/>
              </w:rPr>
              <w:t>10,899.0</w:t>
            </w:r>
          </w:p>
        </w:tc>
        <w:tc>
          <w:tcPr>
            <w:tcW w:w="1702" w:type="dxa"/>
            <w:tcBorders>
              <w:top w:val="single" w:sz="4" w:space="0" w:color="auto"/>
              <w:bottom w:val="single" w:sz="4" w:space="0" w:color="auto"/>
            </w:tcBorders>
            <w:vAlign w:val="center"/>
            <w:hideMark/>
          </w:tcPr>
          <w:p w14:paraId="1BE839C5" w14:textId="77777777" w:rsidR="00871213" w:rsidRPr="00E06F74" w:rsidRDefault="00871213" w:rsidP="00D65CA5">
            <w:pPr>
              <w:spacing w:after="0"/>
              <w:jc w:val="center"/>
              <w:rPr>
                <w:rFonts w:ascii="Calibri" w:eastAsia="Calibri" w:hAnsi="Calibri"/>
                <w:color w:val="000000"/>
                <w:lang w:val="en-GB"/>
              </w:rPr>
            </w:pPr>
            <w:r w:rsidRPr="00E06F74">
              <w:rPr>
                <w:rFonts w:ascii="Calibri" w:eastAsia="Calibri" w:hAnsi="Calibri"/>
                <w:color w:val="000000"/>
                <w:lang w:val="en-GB"/>
              </w:rPr>
              <w:t>3</w:t>
            </w:r>
            <w:r>
              <w:rPr>
                <w:rFonts w:ascii="Calibri" w:eastAsia="Calibri" w:hAnsi="Calibri"/>
                <w:color w:val="000000"/>
                <w:lang w:val="en-GB"/>
              </w:rPr>
              <w:t>0</w:t>
            </w:r>
            <w:r w:rsidRPr="00E06F74">
              <w:rPr>
                <w:rFonts w:ascii="Calibri" w:eastAsia="Calibri" w:hAnsi="Calibri"/>
                <w:color w:val="000000"/>
                <w:lang w:val="en-GB"/>
              </w:rPr>
              <w:t>.</w:t>
            </w:r>
            <w:r>
              <w:rPr>
                <w:rFonts w:ascii="Calibri" w:eastAsia="Calibri" w:hAnsi="Calibri"/>
                <w:color w:val="000000"/>
                <w:lang w:val="en-GB"/>
              </w:rPr>
              <w:t>8</w:t>
            </w:r>
          </w:p>
        </w:tc>
        <w:tc>
          <w:tcPr>
            <w:tcW w:w="1559" w:type="dxa"/>
            <w:tcBorders>
              <w:top w:val="single" w:sz="4" w:space="0" w:color="auto"/>
              <w:bottom w:val="single" w:sz="4" w:space="0" w:color="auto"/>
            </w:tcBorders>
            <w:vAlign w:val="center"/>
            <w:hideMark/>
          </w:tcPr>
          <w:p w14:paraId="36FCFFCD" w14:textId="4446708F" w:rsidR="00871213" w:rsidRPr="00E06F74" w:rsidRDefault="00871213" w:rsidP="00D65CA5">
            <w:pPr>
              <w:spacing w:after="0"/>
              <w:jc w:val="right"/>
              <w:rPr>
                <w:rFonts w:ascii="Calibri" w:eastAsia="Calibri" w:hAnsi="Calibri"/>
                <w:color w:val="000000"/>
                <w:lang w:val="en-GB"/>
              </w:rPr>
            </w:pPr>
            <w:r>
              <w:rPr>
                <w:rFonts w:ascii="Calibri" w:eastAsia="Calibri" w:hAnsi="Calibri"/>
                <w:color w:val="000000"/>
                <w:lang w:val="en-GB"/>
              </w:rPr>
              <w:t>9</w:t>
            </w:r>
            <w:r w:rsidRPr="00E06F74">
              <w:rPr>
                <w:rFonts w:ascii="Calibri" w:eastAsia="Calibri" w:hAnsi="Calibri"/>
                <w:color w:val="000000"/>
                <w:lang w:val="en-GB"/>
              </w:rPr>
              <w:t>,</w:t>
            </w:r>
            <w:r>
              <w:rPr>
                <w:rFonts w:ascii="Calibri" w:eastAsia="Calibri" w:hAnsi="Calibri"/>
                <w:color w:val="000000"/>
                <w:lang w:val="en-GB"/>
              </w:rPr>
              <w:t>337.6</w:t>
            </w:r>
          </w:p>
        </w:tc>
        <w:tc>
          <w:tcPr>
            <w:tcW w:w="1559" w:type="dxa"/>
            <w:tcBorders>
              <w:top w:val="single" w:sz="4" w:space="0" w:color="auto"/>
              <w:bottom w:val="single" w:sz="4" w:space="0" w:color="auto"/>
              <w:right w:val="single" w:sz="4" w:space="0" w:color="auto"/>
            </w:tcBorders>
            <w:vAlign w:val="center"/>
            <w:hideMark/>
          </w:tcPr>
          <w:p w14:paraId="22EE2F05" w14:textId="07919E8F" w:rsidR="00871213" w:rsidRPr="00E06F74" w:rsidRDefault="00871213" w:rsidP="00D65CA5">
            <w:pPr>
              <w:spacing w:after="0"/>
              <w:jc w:val="center"/>
              <w:rPr>
                <w:rFonts w:ascii="Calibri" w:eastAsia="Calibri" w:hAnsi="Calibri"/>
                <w:color w:val="000000"/>
                <w:lang w:val="en-GB"/>
              </w:rPr>
            </w:pPr>
            <w:r>
              <w:rPr>
                <w:rFonts w:ascii="Calibri" w:eastAsia="Calibri" w:hAnsi="Calibri"/>
                <w:color w:val="000000"/>
                <w:lang w:val="en-GB"/>
              </w:rPr>
              <w:t>27.4</w:t>
            </w:r>
          </w:p>
        </w:tc>
      </w:tr>
      <w:tr w:rsidR="00871213" w:rsidRPr="009F2D76" w14:paraId="10C97F81" w14:textId="77777777" w:rsidTr="00D65CA5">
        <w:trPr>
          <w:trHeight w:val="397"/>
        </w:trPr>
        <w:tc>
          <w:tcPr>
            <w:tcW w:w="2835" w:type="dxa"/>
            <w:tcBorders>
              <w:top w:val="single" w:sz="4" w:space="0" w:color="auto"/>
              <w:left w:val="single" w:sz="4" w:space="0" w:color="auto"/>
              <w:bottom w:val="single" w:sz="4" w:space="0" w:color="auto"/>
            </w:tcBorders>
            <w:vAlign w:val="center"/>
            <w:hideMark/>
          </w:tcPr>
          <w:p w14:paraId="47CDB9DF" w14:textId="77777777" w:rsidR="00871213" w:rsidRPr="00E06F74" w:rsidRDefault="00871213" w:rsidP="00D65CA5">
            <w:pPr>
              <w:spacing w:after="0"/>
              <w:rPr>
                <w:rFonts w:ascii="Calibri" w:hAnsi="Calibri"/>
                <w:b/>
                <w:bCs/>
                <w:color w:val="000000"/>
                <w:lang w:val="en-GB" w:eastAsia="hr-HR"/>
              </w:rPr>
            </w:pPr>
            <w:r w:rsidRPr="00E06F74">
              <w:rPr>
                <w:rFonts w:ascii="Calibri" w:hAnsi="Calibri"/>
                <w:b/>
                <w:bCs/>
                <w:color w:val="000000"/>
                <w:lang w:val="en-GB" w:eastAsia="hr-HR"/>
              </w:rPr>
              <w:t xml:space="preserve">    - direct</w:t>
            </w:r>
          </w:p>
        </w:tc>
        <w:tc>
          <w:tcPr>
            <w:tcW w:w="1735" w:type="dxa"/>
            <w:tcBorders>
              <w:top w:val="single" w:sz="4" w:space="0" w:color="auto"/>
              <w:bottom w:val="single" w:sz="4" w:space="0" w:color="auto"/>
            </w:tcBorders>
            <w:vAlign w:val="center"/>
            <w:hideMark/>
          </w:tcPr>
          <w:p w14:paraId="3A607522" w14:textId="77777777" w:rsidR="00871213" w:rsidRPr="00E06F74" w:rsidRDefault="00871213" w:rsidP="00D65CA5">
            <w:pPr>
              <w:spacing w:after="0"/>
              <w:jc w:val="right"/>
              <w:rPr>
                <w:rFonts w:ascii="Calibri" w:eastAsia="Calibri" w:hAnsi="Calibri"/>
                <w:color w:val="000000"/>
                <w:lang w:val="en-GB"/>
              </w:rPr>
            </w:pPr>
            <w:r w:rsidRPr="00E06F74">
              <w:rPr>
                <w:rFonts w:ascii="Calibri" w:eastAsia="Calibri" w:hAnsi="Calibri"/>
                <w:color w:val="000000"/>
                <w:lang w:val="en-GB"/>
              </w:rPr>
              <w:t>2</w:t>
            </w:r>
            <w:r>
              <w:rPr>
                <w:rFonts w:ascii="Calibri" w:eastAsia="Calibri" w:hAnsi="Calibri"/>
                <w:color w:val="000000"/>
                <w:lang w:val="en-GB"/>
              </w:rPr>
              <w:t>4</w:t>
            </w:r>
            <w:r w:rsidRPr="00E06F74">
              <w:rPr>
                <w:rFonts w:ascii="Calibri" w:eastAsia="Calibri" w:hAnsi="Calibri"/>
                <w:color w:val="000000"/>
                <w:lang w:val="en-GB"/>
              </w:rPr>
              <w:t>,</w:t>
            </w:r>
            <w:r>
              <w:rPr>
                <w:rFonts w:ascii="Calibri" w:eastAsia="Calibri" w:hAnsi="Calibri"/>
                <w:color w:val="000000"/>
                <w:lang w:val="en-GB"/>
              </w:rPr>
              <w:t>513</w:t>
            </w:r>
            <w:r w:rsidRPr="00E06F74">
              <w:rPr>
                <w:rFonts w:ascii="Calibri" w:eastAsia="Calibri" w:hAnsi="Calibri"/>
                <w:color w:val="000000"/>
                <w:lang w:val="en-GB"/>
              </w:rPr>
              <w:t>.7</w:t>
            </w:r>
          </w:p>
        </w:tc>
        <w:tc>
          <w:tcPr>
            <w:tcW w:w="1702" w:type="dxa"/>
            <w:tcBorders>
              <w:top w:val="single" w:sz="4" w:space="0" w:color="auto"/>
              <w:bottom w:val="single" w:sz="4" w:space="0" w:color="auto"/>
            </w:tcBorders>
            <w:vAlign w:val="center"/>
            <w:hideMark/>
          </w:tcPr>
          <w:p w14:paraId="217A5A04" w14:textId="77777777" w:rsidR="00871213" w:rsidRPr="00E06F74" w:rsidRDefault="00871213" w:rsidP="00D65CA5">
            <w:pPr>
              <w:spacing w:after="0"/>
              <w:jc w:val="center"/>
              <w:rPr>
                <w:rFonts w:ascii="Calibri" w:eastAsia="Calibri" w:hAnsi="Calibri"/>
                <w:color w:val="000000"/>
                <w:lang w:val="en-GB"/>
              </w:rPr>
            </w:pPr>
            <w:r w:rsidRPr="00E06F74">
              <w:rPr>
                <w:rFonts w:ascii="Calibri" w:eastAsia="Calibri" w:hAnsi="Calibri"/>
                <w:color w:val="000000"/>
                <w:lang w:val="en-GB"/>
              </w:rPr>
              <w:t>6</w:t>
            </w:r>
            <w:r>
              <w:rPr>
                <w:rFonts w:ascii="Calibri" w:eastAsia="Calibri" w:hAnsi="Calibri"/>
                <w:color w:val="000000"/>
                <w:lang w:val="en-GB"/>
              </w:rPr>
              <w:t>9.2</w:t>
            </w:r>
          </w:p>
        </w:tc>
        <w:tc>
          <w:tcPr>
            <w:tcW w:w="1559" w:type="dxa"/>
            <w:tcBorders>
              <w:top w:val="single" w:sz="4" w:space="0" w:color="auto"/>
              <w:bottom w:val="single" w:sz="4" w:space="0" w:color="auto"/>
            </w:tcBorders>
            <w:vAlign w:val="center"/>
            <w:hideMark/>
          </w:tcPr>
          <w:p w14:paraId="6DDC1BEC" w14:textId="27717848" w:rsidR="00871213" w:rsidRPr="00E06F74" w:rsidRDefault="00871213" w:rsidP="00D65CA5">
            <w:pPr>
              <w:spacing w:after="0"/>
              <w:jc w:val="right"/>
              <w:rPr>
                <w:rFonts w:ascii="Calibri" w:eastAsia="Calibri" w:hAnsi="Calibri"/>
                <w:color w:val="000000"/>
                <w:lang w:val="en-GB"/>
              </w:rPr>
            </w:pPr>
            <w:r w:rsidRPr="00E06F74">
              <w:rPr>
                <w:rFonts w:ascii="Calibri" w:eastAsia="Calibri" w:hAnsi="Calibri"/>
                <w:color w:val="000000"/>
                <w:lang w:val="en-GB"/>
              </w:rPr>
              <w:t>24,</w:t>
            </w:r>
            <w:r w:rsidR="00340A85">
              <w:rPr>
                <w:rFonts w:ascii="Calibri" w:eastAsia="Calibri" w:hAnsi="Calibri"/>
                <w:color w:val="000000"/>
                <w:lang w:val="en-GB"/>
              </w:rPr>
              <w:t>788</w:t>
            </w:r>
            <w:r w:rsidRPr="00E06F74">
              <w:rPr>
                <w:rFonts w:ascii="Calibri" w:eastAsia="Calibri" w:hAnsi="Calibri"/>
                <w:color w:val="000000"/>
                <w:lang w:val="en-GB"/>
              </w:rPr>
              <w:t>.</w:t>
            </w:r>
            <w:r w:rsidR="00340A85">
              <w:rPr>
                <w:rFonts w:ascii="Calibri" w:eastAsia="Calibri" w:hAnsi="Calibri"/>
                <w:color w:val="000000"/>
                <w:lang w:val="en-GB"/>
              </w:rPr>
              <w:t>4</w:t>
            </w:r>
          </w:p>
        </w:tc>
        <w:tc>
          <w:tcPr>
            <w:tcW w:w="1559" w:type="dxa"/>
            <w:tcBorders>
              <w:top w:val="single" w:sz="4" w:space="0" w:color="auto"/>
              <w:bottom w:val="single" w:sz="4" w:space="0" w:color="auto"/>
              <w:right w:val="single" w:sz="4" w:space="0" w:color="auto"/>
            </w:tcBorders>
            <w:vAlign w:val="center"/>
            <w:hideMark/>
          </w:tcPr>
          <w:p w14:paraId="30283016" w14:textId="29E2F0E2" w:rsidR="00871213" w:rsidRPr="00E06F74" w:rsidRDefault="00340A85" w:rsidP="00D65CA5">
            <w:pPr>
              <w:spacing w:after="0"/>
              <w:jc w:val="center"/>
              <w:rPr>
                <w:rFonts w:ascii="Calibri" w:eastAsia="Calibri" w:hAnsi="Calibri"/>
                <w:color w:val="000000"/>
                <w:lang w:val="en-GB"/>
              </w:rPr>
            </w:pPr>
            <w:r>
              <w:rPr>
                <w:rFonts w:ascii="Calibri" w:eastAsia="Calibri" w:hAnsi="Calibri"/>
                <w:color w:val="000000"/>
                <w:lang w:val="en-GB"/>
              </w:rPr>
              <w:t>72.6</w:t>
            </w:r>
          </w:p>
        </w:tc>
      </w:tr>
      <w:tr w:rsidR="00871213" w:rsidRPr="009F2D76" w14:paraId="434DDFCD" w14:textId="77777777" w:rsidTr="00D65CA5">
        <w:trPr>
          <w:trHeight w:val="397"/>
        </w:trPr>
        <w:tc>
          <w:tcPr>
            <w:tcW w:w="2835" w:type="dxa"/>
            <w:tcBorders>
              <w:top w:val="single" w:sz="4" w:space="0" w:color="auto"/>
              <w:left w:val="single" w:sz="4" w:space="0" w:color="auto"/>
              <w:bottom w:val="single" w:sz="4" w:space="0" w:color="auto"/>
            </w:tcBorders>
            <w:vAlign w:val="center"/>
            <w:hideMark/>
          </w:tcPr>
          <w:p w14:paraId="1D2D4498" w14:textId="77777777" w:rsidR="00871213" w:rsidRPr="00E06F74" w:rsidRDefault="00871213" w:rsidP="00D65CA5">
            <w:pPr>
              <w:spacing w:after="0"/>
              <w:rPr>
                <w:rFonts w:ascii="Calibri" w:hAnsi="Calibri"/>
                <w:b/>
                <w:bCs/>
                <w:color w:val="000000"/>
                <w:lang w:val="en-GB" w:eastAsia="hr-HR"/>
              </w:rPr>
            </w:pPr>
            <w:r w:rsidRPr="00E06F74">
              <w:rPr>
                <w:rFonts w:ascii="Calibri" w:hAnsi="Calibri"/>
                <w:b/>
                <w:bCs/>
                <w:color w:val="000000"/>
                <w:lang w:val="en-GB" w:eastAsia="hr-HR"/>
              </w:rPr>
              <w:t>Total provisions</w:t>
            </w:r>
          </w:p>
        </w:tc>
        <w:tc>
          <w:tcPr>
            <w:tcW w:w="1735" w:type="dxa"/>
            <w:tcBorders>
              <w:top w:val="single" w:sz="4" w:space="0" w:color="auto"/>
              <w:bottom w:val="single" w:sz="4" w:space="0" w:color="auto"/>
            </w:tcBorders>
            <w:vAlign w:val="center"/>
            <w:hideMark/>
          </w:tcPr>
          <w:p w14:paraId="6CAD2EB1" w14:textId="77777777" w:rsidR="00871213" w:rsidRPr="00E06F74" w:rsidRDefault="00871213" w:rsidP="00D65CA5">
            <w:pPr>
              <w:spacing w:after="0"/>
              <w:jc w:val="right"/>
              <w:rPr>
                <w:rFonts w:ascii="Calibri" w:eastAsia="Calibri" w:hAnsi="Calibri"/>
                <w:b/>
                <w:bCs/>
                <w:color w:val="000000"/>
                <w:lang w:val="en-GB"/>
              </w:rPr>
            </w:pPr>
            <w:r w:rsidRPr="00E06F74">
              <w:rPr>
                <w:rFonts w:ascii="Calibri" w:eastAsia="Calibri" w:hAnsi="Calibri"/>
                <w:b/>
                <w:bCs/>
                <w:color w:val="000000"/>
                <w:lang w:val="en-GB"/>
              </w:rPr>
              <w:t>3,</w:t>
            </w:r>
            <w:r>
              <w:rPr>
                <w:rFonts w:ascii="Calibri" w:eastAsia="Calibri" w:hAnsi="Calibri"/>
                <w:b/>
                <w:bCs/>
                <w:color w:val="000000"/>
                <w:lang w:val="en-GB"/>
              </w:rPr>
              <w:t>477</w:t>
            </w:r>
            <w:r w:rsidRPr="00E06F74">
              <w:rPr>
                <w:rFonts w:ascii="Calibri" w:eastAsia="Calibri" w:hAnsi="Calibri"/>
                <w:b/>
                <w:bCs/>
                <w:color w:val="000000"/>
                <w:lang w:val="en-GB"/>
              </w:rPr>
              <w:t>.</w:t>
            </w:r>
            <w:r>
              <w:rPr>
                <w:rFonts w:ascii="Calibri" w:eastAsia="Calibri" w:hAnsi="Calibri"/>
                <w:b/>
                <w:bCs/>
                <w:color w:val="000000"/>
                <w:lang w:val="en-GB"/>
              </w:rPr>
              <w:t>9</w:t>
            </w:r>
          </w:p>
        </w:tc>
        <w:tc>
          <w:tcPr>
            <w:tcW w:w="1702" w:type="dxa"/>
            <w:tcBorders>
              <w:top w:val="single" w:sz="4" w:space="0" w:color="auto"/>
              <w:bottom w:val="single" w:sz="4" w:space="0" w:color="auto"/>
            </w:tcBorders>
            <w:noWrap/>
            <w:vAlign w:val="center"/>
            <w:hideMark/>
          </w:tcPr>
          <w:p w14:paraId="4AE53456" w14:textId="00C7E573" w:rsidR="00871213" w:rsidRPr="00E06F74" w:rsidRDefault="00871213" w:rsidP="00D65CA5">
            <w:pPr>
              <w:spacing w:after="0"/>
              <w:jc w:val="center"/>
              <w:rPr>
                <w:rFonts w:ascii="Calibri" w:eastAsia="Calibri" w:hAnsi="Calibri"/>
                <w:b/>
                <w:bCs/>
                <w:color w:val="000000"/>
                <w:lang w:val="en-GB"/>
              </w:rPr>
            </w:pPr>
            <w:r w:rsidRPr="00E06F74">
              <w:rPr>
                <w:rFonts w:ascii="Calibri" w:eastAsia="Calibri" w:hAnsi="Calibri"/>
                <w:b/>
                <w:bCs/>
                <w:color w:val="000000"/>
                <w:lang w:val="en-GB"/>
              </w:rPr>
              <w:t>100.0</w:t>
            </w:r>
          </w:p>
        </w:tc>
        <w:tc>
          <w:tcPr>
            <w:tcW w:w="1559" w:type="dxa"/>
            <w:tcBorders>
              <w:top w:val="single" w:sz="4" w:space="0" w:color="auto"/>
              <w:bottom w:val="single" w:sz="4" w:space="0" w:color="auto"/>
            </w:tcBorders>
            <w:vAlign w:val="center"/>
            <w:hideMark/>
          </w:tcPr>
          <w:p w14:paraId="5615A0C8" w14:textId="5E2D10CC" w:rsidR="00871213" w:rsidRPr="00E06F74" w:rsidRDefault="00871213" w:rsidP="00D65CA5">
            <w:pPr>
              <w:spacing w:after="0"/>
              <w:jc w:val="right"/>
              <w:rPr>
                <w:rFonts w:ascii="Calibri" w:eastAsia="Calibri" w:hAnsi="Calibri"/>
                <w:b/>
                <w:bCs/>
                <w:color w:val="000000"/>
                <w:lang w:val="en-GB"/>
              </w:rPr>
            </w:pPr>
            <w:r w:rsidRPr="00E06F74">
              <w:rPr>
                <w:rFonts w:ascii="Calibri" w:eastAsia="Calibri" w:hAnsi="Calibri"/>
                <w:b/>
                <w:bCs/>
                <w:color w:val="000000"/>
                <w:lang w:val="en-GB"/>
              </w:rPr>
              <w:t>3,</w:t>
            </w:r>
            <w:r w:rsidR="00340A85">
              <w:rPr>
                <w:rFonts w:ascii="Calibri" w:eastAsia="Calibri" w:hAnsi="Calibri"/>
                <w:b/>
                <w:bCs/>
                <w:color w:val="000000"/>
                <w:lang w:val="en-GB"/>
              </w:rPr>
              <w:t>277</w:t>
            </w:r>
            <w:r>
              <w:rPr>
                <w:rFonts w:ascii="Calibri" w:eastAsia="Calibri" w:hAnsi="Calibri"/>
                <w:b/>
                <w:bCs/>
                <w:color w:val="000000"/>
                <w:lang w:val="en-GB"/>
              </w:rPr>
              <w:t>.3</w:t>
            </w:r>
          </w:p>
        </w:tc>
        <w:tc>
          <w:tcPr>
            <w:tcW w:w="1559" w:type="dxa"/>
            <w:tcBorders>
              <w:top w:val="single" w:sz="4" w:space="0" w:color="auto"/>
              <w:bottom w:val="single" w:sz="4" w:space="0" w:color="auto"/>
              <w:right w:val="single" w:sz="4" w:space="0" w:color="auto"/>
            </w:tcBorders>
            <w:vAlign w:val="center"/>
            <w:hideMark/>
          </w:tcPr>
          <w:p w14:paraId="16C5F4D2" w14:textId="0FBA2B32" w:rsidR="00871213" w:rsidRPr="00E06F74" w:rsidRDefault="00871213" w:rsidP="00D65CA5">
            <w:pPr>
              <w:spacing w:after="0"/>
              <w:jc w:val="center"/>
              <w:rPr>
                <w:rFonts w:ascii="Calibri" w:eastAsia="Calibri" w:hAnsi="Calibri"/>
                <w:b/>
                <w:bCs/>
                <w:color w:val="000000"/>
                <w:lang w:val="en-GB"/>
              </w:rPr>
            </w:pPr>
            <w:r w:rsidRPr="00E06F74">
              <w:rPr>
                <w:rFonts w:ascii="Calibri" w:eastAsia="Calibri" w:hAnsi="Calibri"/>
                <w:b/>
                <w:bCs/>
                <w:color w:val="000000"/>
                <w:lang w:val="en-GB"/>
              </w:rPr>
              <w:t>100.0</w:t>
            </w:r>
          </w:p>
        </w:tc>
      </w:tr>
      <w:tr w:rsidR="00871213" w:rsidRPr="009F2D76" w14:paraId="7B683370" w14:textId="77777777" w:rsidTr="00D65CA5">
        <w:trPr>
          <w:trHeight w:val="397"/>
        </w:trPr>
        <w:tc>
          <w:tcPr>
            <w:tcW w:w="2835" w:type="dxa"/>
            <w:tcBorders>
              <w:top w:val="single" w:sz="4" w:space="0" w:color="auto"/>
              <w:left w:val="single" w:sz="4" w:space="0" w:color="auto"/>
              <w:bottom w:val="single" w:sz="4" w:space="0" w:color="auto"/>
            </w:tcBorders>
            <w:vAlign w:val="center"/>
            <w:hideMark/>
          </w:tcPr>
          <w:p w14:paraId="1D8F8834" w14:textId="77777777" w:rsidR="00871213" w:rsidRPr="00E06F74" w:rsidRDefault="00871213" w:rsidP="00D65CA5">
            <w:pPr>
              <w:spacing w:after="0"/>
              <w:rPr>
                <w:rFonts w:ascii="Calibri" w:hAnsi="Calibri"/>
                <w:b/>
                <w:bCs/>
                <w:color w:val="000000"/>
                <w:lang w:val="en-GB" w:eastAsia="hr-HR"/>
              </w:rPr>
            </w:pPr>
            <w:r w:rsidRPr="00E06F74">
              <w:rPr>
                <w:rFonts w:ascii="Calibri" w:hAnsi="Calibri"/>
                <w:b/>
                <w:bCs/>
                <w:color w:val="000000"/>
                <w:lang w:val="en-GB" w:eastAsia="hr-HR"/>
              </w:rPr>
              <w:t>Of which:</w:t>
            </w:r>
          </w:p>
        </w:tc>
        <w:tc>
          <w:tcPr>
            <w:tcW w:w="1735" w:type="dxa"/>
            <w:tcBorders>
              <w:top w:val="single" w:sz="4" w:space="0" w:color="auto"/>
              <w:bottom w:val="single" w:sz="4" w:space="0" w:color="auto"/>
            </w:tcBorders>
            <w:vAlign w:val="center"/>
          </w:tcPr>
          <w:p w14:paraId="2668E65E" w14:textId="77777777" w:rsidR="00871213" w:rsidRPr="00E06F74" w:rsidRDefault="00871213" w:rsidP="00D65CA5">
            <w:pPr>
              <w:spacing w:after="0"/>
              <w:jc w:val="right"/>
              <w:rPr>
                <w:lang w:val="en-GB" w:eastAsia="hr-HR"/>
              </w:rPr>
            </w:pPr>
          </w:p>
        </w:tc>
        <w:tc>
          <w:tcPr>
            <w:tcW w:w="1702" w:type="dxa"/>
            <w:tcBorders>
              <w:top w:val="single" w:sz="4" w:space="0" w:color="auto"/>
              <w:bottom w:val="single" w:sz="4" w:space="0" w:color="auto"/>
            </w:tcBorders>
            <w:noWrap/>
            <w:vAlign w:val="center"/>
          </w:tcPr>
          <w:p w14:paraId="215A75D3" w14:textId="77777777" w:rsidR="00871213" w:rsidRPr="00E06F74" w:rsidRDefault="00871213" w:rsidP="00D65CA5">
            <w:pPr>
              <w:spacing w:after="0"/>
              <w:jc w:val="center"/>
              <w:rPr>
                <w:lang w:val="en-GB" w:eastAsia="hr-HR"/>
              </w:rPr>
            </w:pPr>
          </w:p>
        </w:tc>
        <w:tc>
          <w:tcPr>
            <w:tcW w:w="1559" w:type="dxa"/>
            <w:tcBorders>
              <w:top w:val="single" w:sz="4" w:space="0" w:color="auto"/>
              <w:bottom w:val="single" w:sz="4" w:space="0" w:color="auto"/>
            </w:tcBorders>
            <w:vAlign w:val="center"/>
          </w:tcPr>
          <w:p w14:paraId="2666D2AE" w14:textId="77777777" w:rsidR="00871213" w:rsidRPr="00E06F74" w:rsidRDefault="00871213" w:rsidP="00D65CA5">
            <w:pPr>
              <w:spacing w:after="0"/>
              <w:jc w:val="right"/>
              <w:rPr>
                <w:lang w:val="en-GB" w:eastAsia="hr-HR"/>
              </w:rPr>
            </w:pPr>
          </w:p>
        </w:tc>
        <w:tc>
          <w:tcPr>
            <w:tcW w:w="1559" w:type="dxa"/>
            <w:tcBorders>
              <w:top w:val="single" w:sz="4" w:space="0" w:color="auto"/>
              <w:bottom w:val="single" w:sz="4" w:space="0" w:color="auto"/>
              <w:right w:val="single" w:sz="4" w:space="0" w:color="auto"/>
            </w:tcBorders>
            <w:vAlign w:val="center"/>
          </w:tcPr>
          <w:p w14:paraId="51AD2B6F" w14:textId="77777777" w:rsidR="00871213" w:rsidRPr="00E06F74" w:rsidRDefault="00871213" w:rsidP="00D65CA5">
            <w:pPr>
              <w:spacing w:after="0"/>
              <w:jc w:val="center"/>
              <w:rPr>
                <w:lang w:val="en-GB" w:eastAsia="hr-HR"/>
              </w:rPr>
            </w:pPr>
          </w:p>
        </w:tc>
      </w:tr>
      <w:tr w:rsidR="00871213" w:rsidRPr="009F2D76" w14:paraId="3766B021" w14:textId="77777777" w:rsidTr="00D65CA5">
        <w:trPr>
          <w:trHeight w:val="397"/>
        </w:trPr>
        <w:tc>
          <w:tcPr>
            <w:tcW w:w="2835" w:type="dxa"/>
            <w:tcBorders>
              <w:top w:val="single" w:sz="4" w:space="0" w:color="auto"/>
              <w:left w:val="single" w:sz="4" w:space="0" w:color="auto"/>
              <w:bottom w:val="single" w:sz="4" w:space="0" w:color="auto"/>
            </w:tcBorders>
            <w:vAlign w:val="center"/>
            <w:hideMark/>
          </w:tcPr>
          <w:p w14:paraId="678A4207" w14:textId="77777777" w:rsidR="00871213" w:rsidRPr="00E06F74" w:rsidRDefault="00871213" w:rsidP="00D65CA5">
            <w:pPr>
              <w:spacing w:after="0"/>
              <w:ind w:firstLineChars="100" w:firstLine="221"/>
              <w:rPr>
                <w:rFonts w:ascii="Calibri" w:hAnsi="Calibri"/>
                <w:b/>
                <w:bCs/>
                <w:color w:val="000000"/>
                <w:lang w:val="en-GB" w:eastAsia="hr-HR"/>
              </w:rPr>
            </w:pPr>
            <w:r w:rsidRPr="00E06F74">
              <w:rPr>
                <w:rFonts w:ascii="Calibri" w:hAnsi="Calibri"/>
                <w:b/>
                <w:bCs/>
                <w:color w:val="000000"/>
                <w:lang w:val="en-GB" w:eastAsia="hr-HR"/>
              </w:rPr>
              <w:t>- financial institutions</w:t>
            </w:r>
          </w:p>
        </w:tc>
        <w:tc>
          <w:tcPr>
            <w:tcW w:w="1735" w:type="dxa"/>
            <w:tcBorders>
              <w:top w:val="single" w:sz="4" w:space="0" w:color="auto"/>
              <w:bottom w:val="single" w:sz="4" w:space="0" w:color="auto"/>
            </w:tcBorders>
            <w:vAlign w:val="center"/>
            <w:hideMark/>
          </w:tcPr>
          <w:p w14:paraId="3E13E793" w14:textId="77777777" w:rsidR="00871213" w:rsidRPr="00E06F74" w:rsidRDefault="00871213" w:rsidP="00D65CA5">
            <w:pPr>
              <w:spacing w:after="0"/>
              <w:jc w:val="right"/>
              <w:rPr>
                <w:rFonts w:ascii="Calibri" w:eastAsia="Calibri" w:hAnsi="Calibri"/>
                <w:color w:val="000000"/>
                <w:lang w:val="en-GB"/>
              </w:rPr>
            </w:pPr>
            <w:r>
              <w:rPr>
                <w:rFonts w:ascii="Calibri" w:eastAsia="Calibri" w:hAnsi="Calibri"/>
                <w:color w:val="000000"/>
                <w:lang w:val="en-GB"/>
              </w:rPr>
              <w:t>63.4</w:t>
            </w:r>
          </w:p>
        </w:tc>
        <w:tc>
          <w:tcPr>
            <w:tcW w:w="1702" w:type="dxa"/>
            <w:tcBorders>
              <w:top w:val="single" w:sz="4" w:space="0" w:color="auto"/>
              <w:bottom w:val="single" w:sz="4" w:space="0" w:color="auto"/>
            </w:tcBorders>
            <w:noWrap/>
            <w:vAlign w:val="center"/>
            <w:hideMark/>
          </w:tcPr>
          <w:p w14:paraId="1CA7D4DC" w14:textId="77777777" w:rsidR="00871213" w:rsidRPr="00E06F74" w:rsidRDefault="00871213" w:rsidP="00D65CA5">
            <w:pPr>
              <w:spacing w:after="0"/>
              <w:jc w:val="center"/>
              <w:rPr>
                <w:rFonts w:ascii="Calibri" w:eastAsia="Calibri" w:hAnsi="Calibri"/>
                <w:color w:val="000000"/>
                <w:lang w:val="en-GB"/>
              </w:rPr>
            </w:pPr>
            <w:r>
              <w:rPr>
                <w:rFonts w:ascii="Calibri" w:eastAsia="Calibri" w:hAnsi="Calibri"/>
                <w:color w:val="000000"/>
                <w:lang w:val="en-GB"/>
              </w:rPr>
              <w:t>1.8</w:t>
            </w:r>
          </w:p>
        </w:tc>
        <w:tc>
          <w:tcPr>
            <w:tcW w:w="1559" w:type="dxa"/>
            <w:tcBorders>
              <w:top w:val="single" w:sz="4" w:space="0" w:color="auto"/>
              <w:bottom w:val="single" w:sz="4" w:space="0" w:color="auto"/>
            </w:tcBorders>
            <w:vAlign w:val="center"/>
            <w:hideMark/>
          </w:tcPr>
          <w:p w14:paraId="6D9DC952" w14:textId="11438EB6" w:rsidR="00871213" w:rsidRPr="00E06F74" w:rsidRDefault="00340A85" w:rsidP="00D65CA5">
            <w:pPr>
              <w:spacing w:after="0"/>
              <w:jc w:val="right"/>
              <w:rPr>
                <w:rFonts w:ascii="Calibri" w:eastAsia="Calibri" w:hAnsi="Calibri"/>
                <w:color w:val="000000"/>
                <w:lang w:val="en-GB"/>
              </w:rPr>
            </w:pPr>
            <w:r>
              <w:rPr>
                <w:rFonts w:ascii="Calibri" w:eastAsia="Calibri" w:hAnsi="Calibri"/>
                <w:color w:val="000000"/>
                <w:lang w:val="en-GB"/>
              </w:rPr>
              <w:t>56.6</w:t>
            </w:r>
          </w:p>
        </w:tc>
        <w:tc>
          <w:tcPr>
            <w:tcW w:w="1559" w:type="dxa"/>
            <w:tcBorders>
              <w:top w:val="single" w:sz="4" w:space="0" w:color="auto"/>
              <w:bottom w:val="single" w:sz="4" w:space="0" w:color="auto"/>
              <w:right w:val="single" w:sz="4" w:space="0" w:color="auto"/>
            </w:tcBorders>
            <w:vAlign w:val="center"/>
            <w:hideMark/>
          </w:tcPr>
          <w:p w14:paraId="594140FB" w14:textId="4A0EEE67" w:rsidR="00871213" w:rsidRPr="00E06F74" w:rsidRDefault="00871213" w:rsidP="00D65CA5">
            <w:pPr>
              <w:spacing w:after="0"/>
              <w:jc w:val="center"/>
              <w:rPr>
                <w:rFonts w:ascii="Calibri" w:eastAsia="Calibri" w:hAnsi="Calibri"/>
                <w:color w:val="000000"/>
                <w:lang w:val="en-GB"/>
              </w:rPr>
            </w:pPr>
            <w:r w:rsidRPr="00E06F74">
              <w:rPr>
                <w:rFonts w:ascii="Calibri" w:eastAsia="Calibri" w:hAnsi="Calibri"/>
                <w:color w:val="000000"/>
                <w:lang w:val="en-GB"/>
              </w:rPr>
              <w:t>1.</w:t>
            </w:r>
            <w:r w:rsidR="00340A85">
              <w:rPr>
                <w:rFonts w:ascii="Calibri" w:eastAsia="Calibri" w:hAnsi="Calibri"/>
                <w:color w:val="000000"/>
                <w:lang w:val="en-GB"/>
              </w:rPr>
              <w:t>7</w:t>
            </w:r>
          </w:p>
        </w:tc>
      </w:tr>
      <w:tr w:rsidR="00871213" w:rsidRPr="009F2D76" w14:paraId="2F8509D3" w14:textId="77777777" w:rsidTr="00D65CA5">
        <w:trPr>
          <w:trHeight w:val="397"/>
        </w:trPr>
        <w:tc>
          <w:tcPr>
            <w:tcW w:w="2835" w:type="dxa"/>
            <w:tcBorders>
              <w:top w:val="single" w:sz="4" w:space="0" w:color="auto"/>
              <w:left w:val="single" w:sz="4" w:space="0" w:color="auto"/>
              <w:bottom w:val="single" w:sz="4" w:space="0" w:color="auto"/>
            </w:tcBorders>
            <w:vAlign w:val="center"/>
            <w:hideMark/>
          </w:tcPr>
          <w:p w14:paraId="797FBEBF" w14:textId="77777777" w:rsidR="00871213" w:rsidRPr="00E06F74" w:rsidRDefault="00871213" w:rsidP="00D65CA5">
            <w:pPr>
              <w:spacing w:after="0"/>
              <w:ind w:firstLineChars="100" w:firstLine="221"/>
              <w:rPr>
                <w:rFonts w:ascii="Calibri" w:hAnsi="Calibri"/>
                <w:b/>
                <w:bCs/>
                <w:color w:val="000000"/>
                <w:lang w:val="en-GB" w:eastAsia="hr-HR"/>
              </w:rPr>
            </w:pPr>
            <w:r w:rsidRPr="00E06F74">
              <w:rPr>
                <w:rFonts w:ascii="Calibri" w:hAnsi="Calibri"/>
                <w:b/>
                <w:bCs/>
                <w:color w:val="000000"/>
                <w:lang w:val="en-GB" w:eastAsia="hr-HR"/>
              </w:rPr>
              <w:t>- direct</w:t>
            </w:r>
          </w:p>
        </w:tc>
        <w:tc>
          <w:tcPr>
            <w:tcW w:w="1735" w:type="dxa"/>
            <w:tcBorders>
              <w:top w:val="single" w:sz="4" w:space="0" w:color="auto"/>
              <w:bottom w:val="single" w:sz="4" w:space="0" w:color="auto"/>
            </w:tcBorders>
            <w:vAlign w:val="center"/>
            <w:hideMark/>
          </w:tcPr>
          <w:p w14:paraId="34C5A0A5" w14:textId="77777777" w:rsidR="00871213" w:rsidRPr="00E06F74" w:rsidRDefault="00871213" w:rsidP="00D65CA5">
            <w:pPr>
              <w:spacing w:after="0"/>
              <w:jc w:val="right"/>
              <w:rPr>
                <w:rFonts w:ascii="Calibri" w:eastAsia="Calibri" w:hAnsi="Calibri"/>
                <w:color w:val="000000"/>
                <w:lang w:val="en-GB"/>
              </w:rPr>
            </w:pPr>
            <w:r w:rsidRPr="00E06F74">
              <w:rPr>
                <w:rFonts w:ascii="Calibri" w:eastAsia="Calibri" w:hAnsi="Calibri"/>
                <w:color w:val="000000"/>
                <w:lang w:val="en-GB"/>
              </w:rPr>
              <w:t>3,</w:t>
            </w:r>
            <w:r>
              <w:rPr>
                <w:rFonts w:ascii="Calibri" w:eastAsia="Calibri" w:hAnsi="Calibri"/>
                <w:color w:val="000000"/>
                <w:lang w:val="en-GB"/>
              </w:rPr>
              <w:t>414</w:t>
            </w:r>
            <w:r w:rsidRPr="00E06F74">
              <w:rPr>
                <w:rFonts w:ascii="Calibri" w:eastAsia="Calibri" w:hAnsi="Calibri"/>
                <w:color w:val="000000"/>
                <w:lang w:val="en-GB"/>
              </w:rPr>
              <w:t>.</w:t>
            </w:r>
            <w:r>
              <w:rPr>
                <w:rFonts w:ascii="Calibri" w:eastAsia="Calibri" w:hAnsi="Calibri"/>
                <w:color w:val="000000"/>
                <w:lang w:val="en-GB"/>
              </w:rPr>
              <w:t>5</w:t>
            </w:r>
          </w:p>
        </w:tc>
        <w:tc>
          <w:tcPr>
            <w:tcW w:w="1702" w:type="dxa"/>
            <w:tcBorders>
              <w:top w:val="single" w:sz="4" w:space="0" w:color="auto"/>
              <w:bottom w:val="single" w:sz="4" w:space="0" w:color="auto"/>
            </w:tcBorders>
            <w:noWrap/>
            <w:vAlign w:val="center"/>
            <w:hideMark/>
          </w:tcPr>
          <w:p w14:paraId="1CB0AC24" w14:textId="77777777" w:rsidR="00871213" w:rsidRPr="00E06F74" w:rsidRDefault="00871213" w:rsidP="00D65CA5">
            <w:pPr>
              <w:spacing w:after="0"/>
              <w:jc w:val="center"/>
              <w:rPr>
                <w:rFonts w:ascii="Calibri" w:eastAsia="Calibri" w:hAnsi="Calibri"/>
                <w:color w:val="000000"/>
                <w:lang w:val="en-GB"/>
              </w:rPr>
            </w:pPr>
            <w:r w:rsidRPr="00E06F74">
              <w:rPr>
                <w:rFonts w:ascii="Calibri" w:eastAsia="Calibri" w:hAnsi="Calibri"/>
                <w:color w:val="000000"/>
                <w:lang w:val="en-GB"/>
              </w:rPr>
              <w:t>9</w:t>
            </w:r>
            <w:r>
              <w:rPr>
                <w:rFonts w:ascii="Calibri" w:eastAsia="Calibri" w:hAnsi="Calibri"/>
                <w:color w:val="000000"/>
                <w:lang w:val="en-GB"/>
              </w:rPr>
              <w:t>8.2</w:t>
            </w:r>
          </w:p>
        </w:tc>
        <w:tc>
          <w:tcPr>
            <w:tcW w:w="1559" w:type="dxa"/>
            <w:tcBorders>
              <w:top w:val="single" w:sz="4" w:space="0" w:color="auto"/>
              <w:bottom w:val="single" w:sz="4" w:space="0" w:color="auto"/>
            </w:tcBorders>
            <w:vAlign w:val="center"/>
            <w:hideMark/>
          </w:tcPr>
          <w:p w14:paraId="40C89E85" w14:textId="5AF0D68C" w:rsidR="00871213" w:rsidRPr="00E06F74" w:rsidRDefault="00871213" w:rsidP="00D65CA5">
            <w:pPr>
              <w:spacing w:after="0"/>
              <w:jc w:val="right"/>
              <w:rPr>
                <w:rFonts w:ascii="Calibri" w:eastAsia="Calibri" w:hAnsi="Calibri"/>
                <w:color w:val="000000"/>
                <w:lang w:val="en-GB"/>
              </w:rPr>
            </w:pPr>
            <w:r w:rsidRPr="00E06F74">
              <w:rPr>
                <w:rFonts w:ascii="Calibri" w:eastAsia="Calibri" w:hAnsi="Calibri"/>
                <w:color w:val="000000"/>
                <w:lang w:val="en-GB"/>
              </w:rPr>
              <w:t>3,</w:t>
            </w:r>
            <w:r>
              <w:rPr>
                <w:rFonts w:ascii="Calibri" w:eastAsia="Calibri" w:hAnsi="Calibri"/>
                <w:color w:val="000000"/>
                <w:lang w:val="en-GB"/>
              </w:rPr>
              <w:t>2</w:t>
            </w:r>
            <w:r w:rsidR="00340A85">
              <w:rPr>
                <w:rFonts w:ascii="Calibri" w:eastAsia="Calibri" w:hAnsi="Calibri"/>
                <w:color w:val="000000"/>
                <w:lang w:val="en-GB"/>
              </w:rPr>
              <w:t>20</w:t>
            </w:r>
            <w:r w:rsidR="00A51880">
              <w:rPr>
                <w:rFonts w:ascii="Calibri" w:eastAsia="Calibri" w:hAnsi="Calibri"/>
                <w:color w:val="000000"/>
                <w:lang w:val="en-GB"/>
              </w:rPr>
              <w:t>.7</w:t>
            </w:r>
          </w:p>
        </w:tc>
        <w:tc>
          <w:tcPr>
            <w:tcW w:w="1559" w:type="dxa"/>
            <w:tcBorders>
              <w:top w:val="single" w:sz="4" w:space="0" w:color="auto"/>
              <w:bottom w:val="single" w:sz="4" w:space="0" w:color="auto"/>
              <w:right w:val="single" w:sz="4" w:space="0" w:color="auto"/>
            </w:tcBorders>
            <w:vAlign w:val="center"/>
            <w:hideMark/>
          </w:tcPr>
          <w:p w14:paraId="6B762C0E" w14:textId="5BD18542" w:rsidR="00871213" w:rsidRPr="00E06F74" w:rsidRDefault="00871213" w:rsidP="00D65CA5">
            <w:pPr>
              <w:spacing w:after="0"/>
              <w:jc w:val="center"/>
              <w:rPr>
                <w:rFonts w:ascii="Calibri" w:eastAsia="Calibri" w:hAnsi="Calibri"/>
                <w:color w:val="000000"/>
                <w:lang w:val="en-GB"/>
              </w:rPr>
            </w:pPr>
            <w:r w:rsidRPr="00E06F74">
              <w:rPr>
                <w:rFonts w:ascii="Calibri" w:eastAsia="Calibri" w:hAnsi="Calibri"/>
                <w:color w:val="000000"/>
                <w:lang w:val="en-GB"/>
              </w:rPr>
              <w:t>98.</w:t>
            </w:r>
            <w:r w:rsidR="00A51880">
              <w:rPr>
                <w:rFonts w:ascii="Calibri" w:eastAsia="Calibri" w:hAnsi="Calibri"/>
                <w:color w:val="000000"/>
                <w:lang w:val="en-GB"/>
              </w:rPr>
              <w:t>3</w:t>
            </w:r>
          </w:p>
        </w:tc>
      </w:tr>
      <w:tr w:rsidR="00871213" w:rsidRPr="009F2D76" w14:paraId="79F5EAA6" w14:textId="77777777" w:rsidTr="00D65CA5">
        <w:trPr>
          <w:trHeight w:val="453"/>
        </w:trPr>
        <w:tc>
          <w:tcPr>
            <w:tcW w:w="2835" w:type="dxa"/>
            <w:tcBorders>
              <w:top w:val="single" w:sz="4" w:space="0" w:color="auto"/>
              <w:left w:val="single" w:sz="4" w:space="0" w:color="auto"/>
              <w:bottom w:val="single" w:sz="4" w:space="0" w:color="auto"/>
            </w:tcBorders>
            <w:vAlign w:val="center"/>
            <w:hideMark/>
          </w:tcPr>
          <w:p w14:paraId="1DD6BD7E" w14:textId="77777777" w:rsidR="00871213" w:rsidRPr="00E06F74" w:rsidRDefault="00871213" w:rsidP="00D65CA5">
            <w:pPr>
              <w:spacing w:after="0"/>
              <w:rPr>
                <w:rFonts w:ascii="Calibri" w:hAnsi="Calibri"/>
                <w:b/>
                <w:bCs/>
                <w:color w:val="000000"/>
                <w:lang w:val="en-GB" w:eastAsia="hr-HR"/>
              </w:rPr>
            </w:pPr>
            <w:r w:rsidRPr="00E06F74">
              <w:rPr>
                <w:rFonts w:ascii="Calibri" w:hAnsi="Calibri"/>
                <w:b/>
                <w:bCs/>
                <w:color w:val="000000"/>
                <w:lang w:val="en-GB" w:eastAsia="hr-HR"/>
              </w:rPr>
              <w:t>Provisions/gross portfolio</w:t>
            </w:r>
          </w:p>
        </w:tc>
        <w:tc>
          <w:tcPr>
            <w:tcW w:w="1735" w:type="dxa"/>
            <w:tcBorders>
              <w:top w:val="single" w:sz="4" w:space="0" w:color="auto"/>
              <w:bottom w:val="single" w:sz="4" w:space="0" w:color="auto"/>
            </w:tcBorders>
            <w:vAlign w:val="center"/>
            <w:hideMark/>
          </w:tcPr>
          <w:p w14:paraId="52305C72" w14:textId="77777777" w:rsidR="00871213" w:rsidRPr="00E06F74" w:rsidRDefault="00871213" w:rsidP="00D65CA5">
            <w:pPr>
              <w:spacing w:after="0"/>
              <w:jc w:val="right"/>
              <w:rPr>
                <w:rFonts w:ascii="Calibri" w:eastAsia="Calibri" w:hAnsi="Calibri"/>
                <w:b/>
                <w:bCs/>
                <w:color w:val="000000"/>
                <w:lang w:val="en-GB"/>
              </w:rPr>
            </w:pPr>
            <w:r w:rsidRPr="00E06F74">
              <w:rPr>
                <w:rFonts w:ascii="Calibri" w:eastAsia="Calibri" w:hAnsi="Calibri"/>
                <w:b/>
                <w:bCs/>
                <w:color w:val="000000"/>
                <w:lang w:val="en-GB"/>
              </w:rPr>
              <w:t>9.</w:t>
            </w:r>
            <w:r>
              <w:rPr>
                <w:rFonts w:ascii="Calibri" w:eastAsia="Calibri" w:hAnsi="Calibri"/>
                <w:b/>
                <w:bCs/>
                <w:color w:val="000000"/>
                <w:lang w:val="en-GB"/>
              </w:rPr>
              <w:t>8</w:t>
            </w:r>
            <w:r w:rsidRPr="00E06F74">
              <w:rPr>
                <w:rFonts w:ascii="Calibri" w:eastAsia="Calibri" w:hAnsi="Calibri"/>
                <w:b/>
                <w:bCs/>
                <w:color w:val="000000"/>
                <w:lang w:val="en-GB"/>
              </w:rPr>
              <w:t xml:space="preserve"> percent</w:t>
            </w:r>
          </w:p>
        </w:tc>
        <w:tc>
          <w:tcPr>
            <w:tcW w:w="1702" w:type="dxa"/>
            <w:tcBorders>
              <w:top w:val="single" w:sz="4" w:space="0" w:color="auto"/>
              <w:bottom w:val="single" w:sz="4" w:space="0" w:color="auto"/>
            </w:tcBorders>
            <w:noWrap/>
            <w:vAlign w:val="center"/>
            <w:hideMark/>
          </w:tcPr>
          <w:p w14:paraId="24575ACE" w14:textId="77777777" w:rsidR="00871213" w:rsidRPr="00E06F74" w:rsidRDefault="00871213" w:rsidP="00D65CA5">
            <w:pPr>
              <w:spacing w:after="0"/>
              <w:jc w:val="center"/>
              <w:rPr>
                <w:rFonts w:ascii="Calibri" w:eastAsia="Calibri" w:hAnsi="Calibri"/>
                <w:b/>
                <w:bCs/>
                <w:color w:val="000000"/>
                <w:lang w:val="en-GB"/>
              </w:rPr>
            </w:pPr>
            <w:r w:rsidRPr="00E06F74">
              <w:rPr>
                <w:rFonts w:ascii="Calibri" w:eastAsia="Calibri" w:hAnsi="Calibri"/>
                <w:b/>
                <w:bCs/>
                <w:color w:val="000000"/>
                <w:lang w:val="en-GB"/>
              </w:rPr>
              <w:t>-</w:t>
            </w:r>
          </w:p>
        </w:tc>
        <w:tc>
          <w:tcPr>
            <w:tcW w:w="1559" w:type="dxa"/>
            <w:tcBorders>
              <w:top w:val="single" w:sz="4" w:space="0" w:color="auto"/>
              <w:bottom w:val="single" w:sz="4" w:space="0" w:color="auto"/>
            </w:tcBorders>
            <w:vAlign w:val="center"/>
            <w:hideMark/>
          </w:tcPr>
          <w:p w14:paraId="46435F10" w14:textId="77777777" w:rsidR="00871213" w:rsidRPr="00E06F74" w:rsidRDefault="00871213" w:rsidP="00D65CA5">
            <w:pPr>
              <w:spacing w:after="0"/>
              <w:jc w:val="right"/>
              <w:rPr>
                <w:rFonts w:ascii="Calibri" w:eastAsia="Calibri" w:hAnsi="Calibri"/>
                <w:b/>
                <w:bCs/>
                <w:color w:val="000000"/>
                <w:lang w:val="en-GB"/>
              </w:rPr>
            </w:pPr>
            <w:r w:rsidRPr="00E06F74">
              <w:rPr>
                <w:rFonts w:ascii="Calibri" w:eastAsia="Calibri" w:hAnsi="Calibri"/>
                <w:b/>
                <w:bCs/>
                <w:color w:val="000000"/>
                <w:lang w:val="en-GB"/>
              </w:rPr>
              <w:t>9.</w:t>
            </w:r>
            <w:r>
              <w:rPr>
                <w:rFonts w:ascii="Calibri" w:eastAsia="Calibri" w:hAnsi="Calibri"/>
                <w:b/>
                <w:bCs/>
                <w:color w:val="000000"/>
                <w:lang w:val="en-GB"/>
              </w:rPr>
              <w:t>6</w:t>
            </w:r>
            <w:r w:rsidRPr="00E06F74">
              <w:rPr>
                <w:rFonts w:ascii="Calibri" w:eastAsia="Calibri" w:hAnsi="Calibri"/>
                <w:b/>
                <w:bCs/>
                <w:color w:val="000000"/>
                <w:lang w:val="en-GB"/>
              </w:rPr>
              <w:t xml:space="preserve"> percent</w:t>
            </w:r>
          </w:p>
        </w:tc>
        <w:tc>
          <w:tcPr>
            <w:tcW w:w="1559" w:type="dxa"/>
            <w:tcBorders>
              <w:top w:val="single" w:sz="4" w:space="0" w:color="auto"/>
              <w:bottom w:val="single" w:sz="4" w:space="0" w:color="auto"/>
              <w:right w:val="single" w:sz="4" w:space="0" w:color="auto"/>
            </w:tcBorders>
            <w:vAlign w:val="center"/>
            <w:hideMark/>
          </w:tcPr>
          <w:p w14:paraId="21A2B491" w14:textId="77777777" w:rsidR="00871213" w:rsidRPr="00E06F74" w:rsidRDefault="00871213" w:rsidP="00D65CA5">
            <w:pPr>
              <w:spacing w:after="0"/>
              <w:jc w:val="center"/>
              <w:rPr>
                <w:rFonts w:ascii="Calibri" w:eastAsia="Calibri" w:hAnsi="Calibri"/>
                <w:b/>
                <w:bCs/>
                <w:color w:val="000000"/>
                <w:lang w:val="en-GB"/>
              </w:rPr>
            </w:pPr>
            <w:r w:rsidRPr="00E06F74">
              <w:rPr>
                <w:rFonts w:ascii="Calibri" w:eastAsia="Calibri" w:hAnsi="Calibri"/>
                <w:b/>
                <w:bCs/>
                <w:color w:val="000000"/>
                <w:lang w:val="en-GB"/>
              </w:rPr>
              <w:t>-</w:t>
            </w:r>
          </w:p>
        </w:tc>
      </w:tr>
    </w:tbl>
    <w:p w14:paraId="6E69391D" w14:textId="32465414" w:rsidR="009C75D1" w:rsidRDefault="009C75D1" w:rsidP="00BF17D9">
      <w:pPr>
        <w:tabs>
          <w:tab w:val="left" w:pos="4536"/>
        </w:tabs>
        <w:spacing w:after="0" w:line="240" w:lineRule="auto"/>
        <w:ind w:right="-285" w:hanging="284"/>
        <w:jc w:val="both"/>
        <w:rPr>
          <w:rFonts w:eastAsia="Times New Roman" w:cs="Calibri"/>
          <w:b/>
          <w:spacing w:val="-3"/>
          <w:sz w:val="24"/>
          <w:szCs w:val="24"/>
          <w:lang w:val="en-GB" w:eastAsia="hr-HR"/>
        </w:rPr>
      </w:pPr>
    </w:p>
    <w:p w14:paraId="4F1457DC" w14:textId="77777777" w:rsidR="009C75D1" w:rsidRPr="00041197" w:rsidRDefault="009C75D1" w:rsidP="00BF17D9">
      <w:pPr>
        <w:tabs>
          <w:tab w:val="left" w:pos="4536"/>
        </w:tabs>
        <w:spacing w:after="0" w:line="240" w:lineRule="auto"/>
        <w:ind w:right="-285" w:hanging="284"/>
        <w:jc w:val="both"/>
        <w:rPr>
          <w:rFonts w:eastAsia="Times New Roman" w:cs="Calibri"/>
          <w:b/>
          <w:spacing w:val="-3"/>
          <w:sz w:val="24"/>
          <w:szCs w:val="24"/>
          <w:lang w:val="en-GB" w:eastAsia="hr-HR"/>
        </w:rPr>
      </w:pP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7"/>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480AE29A" w14:textId="77777777" w:rsidR="00F2036E" w:rsidRDefault="004037B0" w:rsidP="00F2036E">
      <w:pPr>
        <w:jc w:val="both"/>
      </w:pPr>
      <w:r w:rsidRPr="005B0A31">
        <w:rPr>
          <w:rFonts w:cstheme="minorHAnsi"/>
          <w:spacing w:val="-3"/>
          <w:sz w:val="24"/>
          <w:szCs w:val="24"/>
          <w:lang w:val="en-GB"/>
        </w:rPr>
        <w:t xml:space="preserve">Total assets of HBOR as at </w:t>
      </w:r>
      <w:r w:rsidR="00C5425F" w:rsidRPr="005B0A31">
        <w:rPr>
          <w:rFonts w:cstheme="minorHAnsi"/>
          <w:spacing w:val="-3"/>
          <w:sz w:val="24"/>
          <w:szCs w:val="24"/>
          <w:lang w:val="en-GB"/>
        </w:rPr>
        <w:t>3</w:t>
      </w:r>
      <w:r w:rsidR="005B0A31" w:rsidRPr="005B0A31">
        <w:rPr>
          <w:rFonts w:cstheme="minorHAnsi"/>
          <w:spacing w:val="-3"/>
          <w:sz w:val="24"/>
          <w:szCs w:val="24"/>
          <w:lang w:val="en-GB"/>
        </w:rPr>
        <w:t>0</w:t>
      </w:r>
      <w:r w:rsidRPr="005B0A31">
        <w:rPr>
          <w:rFonts w:cstheme="minorHAnsi"/>
          <w:spacing w:val="-3"/>
          <w:sz w:val="24"/>
          <w:szCs w:val="24"/>
          <w:lang w:val="en-GB"/>
        </w:rPr>
        <w:t xml:space="preserve"> </w:t>
      </w:r>
      <w:r w:rsidR="005B0A31" w:rsidRPr="005B0A31">
        <w:rPr>
          <w:rFonts w:cstheme="minorHAnsi"/>
          <w:spacing w:val="-3"/>
          <w:sz w:val="24"/>
          <w:szCs w:val="24"/>
          <w:lang w:val="en-GB"/>
        </w:rPr>
        <w:t>June</w:t>
      </w:r>
      <w:r w:rsidRPr="005B0A31">
        <w:rPr>
          <w:rFonts w:cstheme="minorHAnsi"/>
          <w:spacing w:val="-3"/>
          <w:sz w:val="24"/>
          <w:szCs w:val="24"/>
          <w:lang w:val="en-GB"/>
        </w:rPr>
        <w:t xml:space="preserve"> 20</w:t>
      </w:r>
      <w:r w:rsidR="004F726B" w:rsidRPr="005B0A31">
        <w:rPr>
          <w:rFonts w:cstheme="minorHAnsi"/>
          <w:spacing w:val="-3"/>
          <w:sz w:val="24"/>
          <w:szCs w:val="24"/>
          <w:lang w:val="en-GB"/>
        </w:rPr>
        <w:t>2</w:t>
      </w:r>
      <w:r w:rsidR="00623B18">
        <w:rPr>
          <w:rFonts w:cstheme="minorHAnsi"/>
          <w:spacing w:val="-3"/>
          <w:sz w:val="24"/>
          <w:szCs w:val="24"/>
          <w:lang w:val="en-GB"/>
        </w:rPr>
        <w:t>2</w:t>
      </w:r>
      <w:r w:rsidRPr="005B0A31">
        <w:rPr>
          <w:rFonts w:cstheme="minorHAnsi"/>
          <w:spacing w:val="-3"/>
          <w:sz w:val="24"/>
          <w:szCs w:val="24"/>
          <w:lang w:val="en-GB"/>
        </w:rPr>
        <w:t xml:space="preserve"> amounted to HRK</w:t>
      </w:r>
      <w:r w:rsidR="00810A4B" w:rsidRPr="005B0A31">
        <w:rPr>
          <w:rFonts w:cstheme="minorHAnsi"/>
          <w:spacing w:val="-3"/>
          <w:sz w:val="24"/>
          <w:szCs w:val="24"/>
          <w:lang w:val="en-GB"/>
        </w:rPr>
        <w:t xml:space="preserve"> </w:t>
      </w:r>
      <w:r w:rsidR="00C5425F" w:rsidRPr="005B0A31">
        <w:rPr>
          <w:rFonts w:cstheme="minorHAnsi"/>
          <w:spacing w:val="-3"/>
          <w:sz w:val="24"/>
          <w:szCs w:val="24"/>
          <w:lang w:val="en-GB"/>
        </w:rPr>
        <w:t>2</w:t>
      </w:r>
      <w:r w:rsidR="005B0A31" w:rsidRPr="005B0A31">
        <w:rPr>
          <w:rFonts w:cstheme="minorHAnsi"/>
          <w:spacing w:val="-3"/>
          <w:sz w:val="24"/>
          <w:szCs w:val="24"/>
          <w:lang w:val="en-GB"/>
        </w:rPr>
        <w:t>7</w:t>
      </w:r>
      <w:r w:rsidRPr="005B0A31">
        <w:rPr>
          <w:rFonts w:cstheme="minorHAnsi"/>
          <w:spacing w:val="-3"/>
          <w:sz w:val="24"/>
          <w:szCs w:val="24"/>
          <w:lang w:val="en-GB"/>
        </w:rPr>
        <w:t>,</w:t>
      </w:r>
      <w:r w:rsidR="00623B18">
        <w:rPr>
          <w:rFonts w:cstheme="minorHAnsi"/>
          <w:spacing w:val="-3"/>
          <w:sz w:val="24"/>
          <w:szCs w:val="24"/>
          <w:lang w:val="en-GB"/>
        </w:rPr>
        <w:t>527</w:t>
      </w:r>
      <w:r w:rsidRPr="005B0A31">
        <w:rPr>
          <w:rFonts w:cstheme="minorHAnsi"/>
          <w:spacing w:val="-3"/>
          <w:sz w:val="24"/>
          <w:szCs w:val="24"/>
          <w:lang w:val="en-GB"/>
        </w:rPr>
        <w:t>.</w:t>
      </w:r>
      <w:r w:rsidR="00623B18">
        <w:rPr>
          <w:rFonts w:cstheme="minorHAnsi"/>
          <w:spacing w:val="-3"/>
          <w:sz w:val="24"/>
          <w:szCs w:val="24"/>
          <w:lang w:val="en-GB"/>
        </w:rPr>
        <w:t>5</w:t>
      </w:r>
      <w:r w:rsidR="00810A4B" w:rsidRPr="005B0A31">
        <w:rPr>
          <w:rFonts w:cstheme="minorHAnsi"/>
          <w:spacing w:val="-3"/>
          <w:sz w:val="24"/>
          <w:szCs w:val="24"/>
          <w:lang w:val="en-GB"/>
        </w:rPr>
        <w:t xml:space="preserve"> mil</w:t>
      </w:r>
      <w:r w:rsidRPr="005B0A31">
        <w:rPr>
          <w:rFonts w:cstheme="minorHAnsi"/>
          <w:spacing w:val="-3"/>
          <w:sz w:val="24"/>
          <w:szCs w:val="24"/>
          <w:lang w:val="en-GB"/>
        </w:rPr>
        <w:t>lion, a</w:t>
      </w:r>
      <w:r w:rsidR="00697780">
        <w:rPr>
          <w:rFonts w:cstheme="minorHAnsi"/>
          <w:spacing w:val="-3"/>
          <w:sz w:val="24"/>
          <w:szCs w:val="24"/>
          <w:lang w:val="en-GB"/>
        </w:rPr>
        <w:t xml:space="preserve"> de</w:t>
      </w:r>
      <w:r w:rsidRPr="005B0A31">
        <w:rPr>
          <w:rFonts w:cstheme="minorHAnsi"/>
          <w:spacing w:val="-3"/>
          <w:sz w:val="24"/>
          <w:szCs w:val="24"/>
          <w:lang w:val="en-GB"/>
        </w:rPr>
        <w:t xml:space="preserve">crease of </w:t>
      </w:r>
      <w:r w:rsidR="00697780">
        <w:rPr>
          <w:rFonts w:cstheme="minorHAnsi"/>
          <w:spacing w:val="-3"/>
          <w:sz w:val="24"/>
          <w:szCs w:val="24"/>
          <w:lang w:val="en-GB"/>
        </w:rPr>
        <w:t>2</w:t>
      </w:r>
      <w:r w:rsidR="00C802B6" w:rsidRPr="005B0A31">
        <w:rPr>
          <w:rFonts w:cstheme="minorHAnsi"/>
          <w:spacing w:val="-3"/>
          <w:sz w:val="24"/>
          <w:szCs w:val="24"/>
          <w:lang w:val="en-GB"/>
        </w:rPr>
        <w:t>.</w:t>
      </w:r>
      <w:r w:rsidR="00697780">
        <w:rPr>
          <w:rFonts w:cstheme="minorHAnsi"/>
          <w:spacing w:val="-3"/>
          <w:sz w:val="24"/>
          <w:szCs w:val="24"/>
          <w:lang w:val="en-GB"/>
        </w:rPr>
        <w:t>6</w:t>
      </w:r>
      <w:r w:rsidR="00C802B6" w:rsidRPr="005B0A31">
        <w:rPr>
          <w:rFonts w:cstheme="minorHAnsi"/>
          <w:spacing w:val="-3"/>
          <w:sz w:val="24"/>
          <w:szCs w:val="24"/>
          <w:lang w:val="en-GB"/>
        </w:rPr>
        <w:t xml:space="preserve"> percent compared with</w:t>
      </w:r>
      <w:r w:rsidR="00810A4B" w:rsidRPr="005B0A31">
        <w:rPr>
          <w:rFonts w:cstheme="minorHAnsi"/>
          <w:spacing w:val="-3"/>
          <w:sz w:val="24"/>
          <w:szCs w:val="24"/>
          <w:lang w:val="en-GB"/>
        </w:rPr>
        <w:t xml:space="preserve"> </w:t>
      </w:r>
      <w:r w:rsidR="00154A76" w:rsidRPr="005B0A31">
        <w:rPr>
          <w:rFonts w:cstheme="minorHAnsi"/>
          <w:spacing w:val="-3"/>
          <w:sz w:val="24"/>
          <w:szCs w:val="24"/>
          <w:lang w:val="en-GB"/>
        </w:rPr>
        <w:t>31</w:t>
      </w:r>
      <w:r w:rsidR="00C802B6" w:rsidRPr="005B0A31">
        <w:rPr>
          <w:rFonts w:cstheme="minorHAnsi"/>
          <w:spacing w:val="-3"/>
          <w:sz w:val="24"/>
          <w:szCs w:val="24"/>
          <w:lang w:val="en-GB"/>
        </w:rPr>
        <w:t xml:space="preserve"> December </w:t>
      </w:r>
      <w:r w:rsidR="00154A76" w:rsidRPr="005B0A31">
        <w:rPr>
          <w:rFonts w:cstheme="minorHAnsi"/>
          <w:spacing w:val="-3"/>
          <w:sz w:val="24"/>
          <w:szCs w:val="24"/>
          <w:lang w:val="en-GB"/>
        </w:rPr>
        <w:t>20</w:t>
      </w:r>
      <w:r w:rsidR="00697780">
        <w:rPr>
          <w:rFonts w:cstheme="minorHAnsi"/>
          <w:spacing w:val="-3"/>
          <w:sz w:val="24"/>
          <w:szCs w:val="24"/>
          <w:lang w:val="en-GB"/>
        </w:rPr>
        <w:t>2</w:t>
      </w:r>
      <w:r w:rsidR="00623B18">
        <w:rPr>
          <w:rFonts w:cstheme="minorHAnsi"/>
          <w:spacing w:val="-3"/>
          <w:sz w:val="24"/>
          <w:szCs w:val="24"/>
          <w:lang w:val="en-GB"/>
        </w:rPr>
        <w:t>1</w:t>
      </w:r>
      <w:r w:rsidR="005B0A31" w:rsidRPr="005B0A31">
        <w:rPr>
          <w:rFonts w:cstheme="minorHAnsi"/>
          <w:spacing w:val="-3"/>
          <w:sz w:val="24"/>
          <w:szCs w:val="24"/>
          <w:lang w:val="en-GB"/>
        </w:rPr>
        <w:t xml:space="preserve"> </w:t>
      </w:r>
      <w:r w:rsidR="005B0A31" w:rsidRPr="005B0A31">
        <w:rPr>
          <w:sz w:val="24"/>
          <w:szCs w:val="24"/>
          <w:lang w:val="en-GB"/>
        </w:rPr>
        <w:t xml:space="preserve">due </w:t>
      </w:r>
      <w:r w:rsidR="00697780" w:rsidRPr="00697780">
        <w:rPr>
          <w:spacing w:val="-3"/>
          <w:sz w:val="24"/>
          <w:szCs w:val="24"/>
          <w:lang w:val="en-GB"/>
        </w:rPr>
        <w:t xml:space="preserve">to </w:t>
      </w:r>
      <w:r w:rsidR="00F2036E" w:rsidRPr="005731A8">
        <w:rPr>
          <w:spacing w:val="-3"/>
          <w:sz w:val="24"/>
          <w:szCs w:val="24"/>
          <w:lang w:val="en-GB"/>
        </w:rPr>
        <w:t xml:space="preserve">the reduction of liabilities on </w:t>
      </w:r>
      <w:proofErr w:type="gramStart"/>
      <w:r w:rsidR="00F2036E" w:rsidRPr="005731A8">
        <w:rPr>
          <w:spacing w:val="-3"/>
          <w:sz w:val="24"/>
          <w:szCs w:val="24"/>
          <w:lang w:val="en-GB"/>
        </w:rPr>
        <w:t xml:space="preserve">deposits </w:t>
      </w:r>
      <w:r w:rsidR="00F2036E">
        <w:rPr>
          <w:spacing w:val="-3"/>
          <w:sz w:val="24"/>
          <w:szCs w:val="24"/>
          <w:lang w:val="en-GB"/>
        </w:rPr>
        <w:t xml:space="preserve"> and</w:t>
      </w:r>
      <w:proofErr w:type="gramEnd"/>
      <w:r w:rsidR="00F2036E">
        <w:rPr>
          <w:spacing w:val="-3"/>
          <w:sz w:val="24"/>
          <w:szCs w:val="24"/>
          <w:lang w:val="en-GB"/>
        </w:rPr>
        <w:t xml:space="preserve"> </w:t>
      </w:r>
      <w:r w:rsidR="00F2036E" w:rsidRPr="00697780">
        <w:rPr>
          <w:spacing w:val="-3"/>
          <w:sz w:val="24"/>
          <w:szCs w:val="24"/>
          <w:lang w:val="en-GB"/>
        </w:rPr>
        <w:t>deleveraging on loan obligations</w:t>
      </w:r>
      <w:r w:rsidR="00F2036E">
        <w:rPr>
          <w:spacing w:val="-3"/>
          <w:sz w:val="24"/>
          <w:szCs w:val="24"/>
          <w:lang w:val="en-GB"/>
        </w:rPr>
        <w:t>.</w:t>
      </w:r>
    </w:p>
    <w:p w14:paraId="45CC3226" w14:textId="77777777" w:rsidR="00697780" w:rsidRDefault="00697780" w:rsidP="00697780">
      <w:pPr>
        <w:spacing w:after="0" w:line="240" w:lineRule="auto"/>
        <w:jc w:val="both"/>
        <w:rPr>
          <w:spacing w:val="-3"/>
          <w:sz w:val="24"/>
          <w:szCs w:val="24"/>
        </w:rPr>
      </w:pP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6CC9E48F" w14:textId="15E2A496" w:rsidR="00697780" w:rsidRPr="00D33A69" w:rsidRDefault="00C802B6" w:rsidP="00697780">
      <w:pPr>
        <w:spacing w:after="0" w:line="240" w:lineRule="auto"/>
        <w:jc w:val="both"/>
        <w:rPr>
          <w:sz w:val="24"/>
          <w:szCs w:val="24"/>
          <w:lang w:val="en-GB"/>
        </w:rPr>
      </w:pPr>
      <w:r>
        <w:rPr>
          <w:rFonts w:cstheme="minorHAnsi"/>
          <w:sz w:val="24"/>
          <w:szCs w:val="24"/>
          <w:lang w:val="en-GB"/>
        </w:rPr>
        <w:t xml:space="preserve">As </w:t>
      </w:r>
      <w:proofErr w:type="gramStart"/>
      <w:r>
        <w:rPr>
          <w:rFonts w:cstheme="minorHAnsi"/>
          <w:sz w:val="24"/>
          <w:szCs w:val="24"/>
          <w:lang w:val="en-GB"/>
        </w:rPr>
        <w:t>at</w:t>
      </w:r>
      <w:proofErr w:type="gramEnd"/>
      <w:r>
        <w:rPr>
          <w:rFonts w:cstheme="minorHAnsi"/>
          <w:sz w:val="24"/>
          <w:szCs w:val="24"/>
          <w:lang w:val="en-GB"/>
        </w:rPr>
        <w:t xml:space="preserve"> 3</w:t>
      </w:r>
      <w:r w:rsidR="005B0A31">
        <w:rPr>
          <w:rFonts w:cstheme="minorHAnsi"/>
          <w:sz w:val="24"/>
          <w:szCs w:val="24"/>
          <w:lang w:val="en-GB"/>
        </w:rPr>
        <w:t>0</w:t>
      </w:r>
      <w:r>
        <w:rPr>
          <w:rFonts w:cstheme="minorHAnsi"/>
          <w:sz w:val="24"/>
          <w:szCs w:val="24"/>
          <w:lang w:val="en-GB"/>
        </w:rPr>
        <w:t xml:space="preserve"> </w:t>
      </w:r>
      <w:r w:rsidR="005B0A31">
        <w:rPr>
          <w:rFonts w:cstheme="minorHAnsi"/>
          <w:sz w:val="24"/>
          <w:szCs w:val="24"/>
          <w:lang w:val="en-GB"/>
        </w:rPr>
        <w:t>June</w:t>
      </w:r>
      <w:r>
        <w:rPr>
          <w:rFonts w:cstheme="minorHAnsi"/>
          <w:sz w:val="24"/>
          <w:szCs w:val="24"/>
          <w:lang w:val="en-GB"/>
        </w:rPr>
        <w:t xml:space="preserve"> 20</w:t>
      </w:r>
      <w:r w:rsidR="004F726B">
        <w:rPr>
          <w:rFonts w:cstheme="minorHAnsi"/>
          <w:sz w:val="24"/>
          <w:szCs w:val="24"/>
          <w:lang w:val="en-GB"/>
        </w:rPr>
        <w:t>2</w:t>
      </w:r>
      <w:r w:rsidR="00B96F8C">
        <w:rPr>
          <w:rFonts w:cstheme="minorHAnsi"/>
          <w:sz w:val="24"/>
          <w:szCs w:val="24"/>
          <w:lang w:val="en-GB"/>
        </w:rPr>
        <w:t>2</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697780">
        <w:rPr>
          <w:rFonts w:cstheme="minorHAnsi"/>
          <w:sz w:val="24"/>
          <w:szCs w:val="24"/>
          <w:lang w:val="en-GB"/>
        </w:rPr>
        <w:t>1</w:t>
      </w:r>
      <w:r w:rsidR="004F726B">
        <w:rPr>
          <w:rFonts w:cstheme="minorHAnsi"/>
          <w:sz w:val="24"/>
          <w:szCs w:val="24"/>
          <w:lang w:val="en-GB"/>
        </w:rPr>
        <w:t>,</w:t>
      </w:r>
      <w:r w:rsidR="00697780">
        <w:rPr>
          <w:rFonts w:cstheme="minorHAnsi"/>
          <w:sz w:val="24"/>
          <w:szCs w:val="24"/>
          <w:lang w:val="en-GB"/>
        </w:rPr>
        <w:t>2</w:t>
      </w:r>
      <w:r w:rsidR="00B96F8C">
        <w:rPr>
          <w:rFonts w:cstheme="minorHAnsi"/>
          <w:sz w:val="24"/>
          <w:szCs w:val="24"/>
          <w:lang w:val="en-GB"/>
        </w:rPr>
        <w:t>56</w:t>
      </w:r>
      <w:r w:rsidR="00697780">
        <w:rPr>
          <w:rFonts w:cstheme="minorHAnsi"/>
          <w:sz w:val="24"/>
          <w:szCs w:val="24"/>
          <w:lang w:val="en-GB"/>
        </w:rPr>
        <w:t>.</w:t>
      </w:r>
      <w:r w:rsidR="00B96F8C">
        <w:rPr>
          <w:rFonts w:cstheme="minorHAnsi"/>
          <w:sz w:val="24"/>
          <w:szCs w:val="24"/>
          <w:lang w:val="en-GB"/>
        </w:rPr>
        <w:t>1</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697780">
        <w:rPr>
          <w:rFonts w:cstheme="minorHAnsi"/>
          <w:sz w:val="24"/>
          <w:szCs w:val="24"/>
          <w:lang w:val="en-GB"/>
        </w:rPr>
        <w:t>4</w:t>
      </w:r>
      <w:r>
        <w:rPr>
          <w:rFonts w:cstheme="minorHAnsi"/>
          <w:sz w:val="24"/>
          <w:szCs w:val="24"/>
          <w:lang w:val="en-GB"/>
        </w:rPr>
        <w:t>.</w:t>
      </w:r>
      <w:r w:rsidR="00B96F8C">
        <w:rPr>
          <w:rFonts w:cstheme="minorHAnsi"/>
          <w:sz w:val="24"/>
          <w:szCs w:val="24"/>
          <w:lang w:val="en-GB"/>
        </w:rPr>
        <w:t>6</w:t>
      </w:r>
      <w:r w:rsidR="00192762"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697780">
        <w:rPr>
          <w:rFonts w:cstheme="minorHAnsi"/>
          <w:sz w:val="24"/>
          <w:szCs w:val="24"/>
          <w:lang w:val="en-GB"/>
        </w:rPr>
        <w:t xml:space="preserve"> de</w:t>
      </w:r>
      <w:r>
        <w:rPr>
          <w:rFonts w:cstheme="minorHAnsi"/>
          <w:sz w:val="24"/>
          <w:szCs w:val="24"/>
          <w:lang w:val="en-GB"/>
        </w:rPr>
        <w:t>crease of</w:t>
      </w:r>
      <w:r w:rsidR="00810A4B" w:rsidRPr="00041197">
        <w:rPr>
          <w:rFonts w:cstheme="minorHAnsi"/>
          <w:sz w:val="24"/>
          <w:szCs w:val="24"/>
          <w:lang w:val="en-GB"/>
        </w:rPr>
        <w:t xml:space="preserve"> </w:t>
      </w:r>
      <w:r w:rsidR="00B96F8C">
        <w:rPr>
          <w:rFonts w:cstheme="minorHAnsi"/>
          <w:sz w:val="24"/>
          <w:szCs w:val="24"/>
          <w:lang w:val="en-GB"/>
        </w:rPr>
        <w:t>3</w:t>
      </w:r>
      <w:r w:rsidR="00697780">
        <w:rPr>
          <w:rFonts w:cstheme="minorHAnsi"/>
          <w:sz w:val="24"/>
          <w:szCs w:val="24"/>
          <w:lang w:val="en-GB"/>
        </w:rPr>
        <w:t>6</w:t>
      </w:r>
      <w:r>
        <w:rPr>
          <w:rFonts w:cstheme="minorHAnsi"/>
          <w:sz w:val="24"/>
          <w:szCs w:val="24"/>
          <w:lang w:val="en-GB"/>
        </w:rPr>
        <w:t>.</w:t>
      </w:r>
      <w:r w:rsidR="00B96F8C">
        <w:rPr>
          <w:rFonts w:cstheme="minorHAnsi"/>
          <w:sz w:val="24"/>
          <w:szCs w:val="24"/>
          <w:lang w:val="en-GB"/>
        </w:rPr>
        <w:t>1</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697780">
        <w:rPr>
          <w:rFonts w:cstheme="minorHAnsi"/>
          <w:sz w:val="24"/>
          <w:szCs w:val="24"/>
          <w:lang w:val="en-GB"/>
        </w:rPr>
        <w:t>20</w:t>
      </w:r>
      <w:r w:rsidR="00697780" w:rsidRPr="00697780">
        <w:rPr>
          <w:rFonts w:cstheme="minorHAnsi"/>
          <w:sz w:val="24"/>
          <w:szCs w:val="24"/>
          <w:lang w:val="en-GB"/>
        </w:rPr>
        <w:t>2</w:t>
      </w:r>
      <w:r w:rsidR="00B96F8C">
        <w:rPr>
          <w:rFonts w:cstheme="minorHAnsi"/>
          <w:sz w:val="24"/>
          <w:szCs w:val="24"/>
          <w:lang w:val="en-GB"/>
        </w:rPr>
        <w:t>1</w:t>
      </w:r>
      <w:r w:rsidR="00697780">
        <w:rPr>
          <w:rFonts w:cstheme="minorHAnsi"/>
          <w:sz w:val="24"/>
          <w:szCs w:val="24"/>
          <w:lang w:val="en-GB"/>
        </w:rPr>
        <w:t xml:space="preserve"> </w:t>
      </w:r>
      <w:r w:rsidR="00697780" w:rsidRPr="00697780">
        <w:rPr>
          <w:sz w:val="24"/>
          <w:szCs w:val="24"/>
          <w:lang w:val="en-GB"/>
        </w:rPr>
        <w:t xml:space="preserve">as a result of </w:t>
      </w:r>
      <w:r w:rsidR="00E96C80">
        <w:rPr>
          <w:sz w:val="24"/>
          <w:szCs w:val="24"/>
          <w:lang w:val="en-GB"/>
        </w:rPr>
        <w:t>the reduction of liabilities on deposits</w:t>
      </w:r>
      <w:r w:rsidR="00021087">
        <w:rPr>
          <w:sz w:val="24"/>
          <w:szCs w:val="24"/>
          <w:lang w:val="en-GB"/>
        </w:rPr>
        <w:t xml:space="preserve"> and</w:t>
      </w:r>
      <w:r w:rsidR="00697780" w:rsidRPr="00697780">
        <w:rPr>
          <w:sz w:val="24"/>
          <w:szCs w:val="24"/>
          <w:lang w:val="en-GB"/>
        </w:rPr>
        <w:t xml:space="preserve"> debt repayments.</w:t>
      </w:r>
    </w:p>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7E4B70EF" w14:textId="7417DC67" w:rsidR="00810A4B" w:rsidRPr="00041197" w:rsidRDefault="00B77DB9">
      <w:pPr>
        <w:spacing w:after="0" w:line="240" w:lineRule="auto"/>
        <w:jc w:val="both"/>
        <w:rPr>
          <w:rFonts w:cstheme="minorHAnsi"/>
          <w:spacing w:val="-3"/>
          <w:sz w:val="24"/>
          <w:szCs w:val="24"/>
          <w:lang w:val="en-GB"/>
        </w:rPr>
      </w:pPr>
      <w:r>
        <w:rPr>
          <w:rFonts w:cstheme="minorHAnsi"/>
          <w:spacing w:val="-3"/>
          <w:sz w:val="24"/>
          <w:szCs w:val="24"/>
          <w:lang w:val="en-GB"/>
        </w:rPr>
        <w:t xml:space="preserve">As </w:t>
      </w:r>
      <w:proofErr w:type="gramStart"/>
      <w:r>
        <w:rPr>
          <w:rFonts w:cstheme="minorHAnsi"/>
          <w:spacing w:val="-3"/>
          <w:sz w:val="24"/>
          <w:szCs w:val="24"/>
          <w:lang w:val="en-GB"/>
        </w:rPr>
        <w:t>at</w:t>
      </w:r>
      <w:proofErr w:type="gramEnd"/>
      <w:r>
        <w:rPr>
          <w:rFonts w:cstheme="minorHAnsi"/>
          <w:spacing w:val="-3"/>
          <w:sz w:val="24"/>
          <w:szCs w:val="24"/>
          <w:lang w:val="en-GB"/>
        </w:rPr>
        <w:t xml:space="preserve"> 3</w:t>
      </w:r>
      <w:r w:rsidR="00D83EB3">
        <w:rPr>
          <w:rFonts w:cstheme="minorHAnsi"/>
          <w:spacing w:val="-3"/>
          <w:sz w:val="24"/>
          <w:szCs w:val="24"/>
          <w:lang w:val="en-GB"/>
        </w:rPr>
        <w:t>0</w:t>
      </w:r>
      <w:r>
        <w:rPr>
          <w:rFonts w:cstheme="minorHAnsi"/>
          <w:spacing w:val="-3"/>
          <w:sz w:val="24"/>
          <w:szCs w:val="24"/>
          <w:lang w:val="en-GB"/>
        </w:rPr>
        <w:t xml:space="preserve"> </w:t>
      </w:r>
      <w:r w:rsidR="00D83EB3">
        <w:rPr>
          <w:rFonts w:cstheme="minorHAnsi"/>
          <w:spacing w:val="-3"/>
          <w:sz w:val="24"/>
          <w:szCs w:val="24"/>
          <w:lang w:val="en-GB"/>
        </w:rPr>
        <w:t>June</w:t>
      </w:r>
      <w:r>
        <w:rPr>
          <w:rFonts w:cstheme="minorHAnsi"/>
          <w:spacing w:val="-3"/>
          <w:sz w:val="24"/>
          <w:szCs w:val="24"/>
          <w:lang w:val="en-GB"/>
        </w:rPr>
        <w:t xml:space="preserve"> 20</w:t>
      </w:r>
      <w:r w:rsidR="00B6799C">
        <w:rPr>
          <w:rFonts w:cstheme="minorHAnsi"/>
          <w:spacing w:val="-3"/>
          <w:sz w:val="24"/>
          <w:szCs w:val="24"/>
          <w:lang w:val="en-GB"/>
        </w:rPr>
        <w:t>2</w:t>
      </w:r>
      <w:r w:rsidR="00E74D4D">
        <w:rPr>
          <w:rFonts w:cstheme="minorHAnsi"/>
          <w:spacing w:val="-3"/>
          <w:sz w:val="24"/>
          <w:szCs w:val="24"/>
          <w:lang w:val="en-GB"/>
        </w:rPr>
        <w:t>2</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697780">
        <w:rPr>
          <w:rFonts w:cstheme="minorHAnsi"/>
          <w:spacing w:val="-3"/>
          <w:sz w:val="24"/>
          <w:szCs w:val="24"/>
          <w:lang w:val="en-GB"/>
        </w:rPr>
        <w:t>3</w:t>
      </w:r>
      <w:r>
        <w:rPr>
          <w:rFonts w:cstheme="minorHAnsi"/>
          <w:spacing w:val="-3"/>
          <w:sz w:val="24"/>
          <w:szCs w:val="24"/>
          <w:lang w:val="en-GB"/>
        </w:rPr>
        <w:t>,</w:t>
      </w:r>
      <w:r w:rsidR="00E74D4D">
        <w:rPr>
          <w:rFonts w:cstheme="minorHAnsi"/>
          <w:spacing w:val="-3"/>
          <w:sz w:val="24"/>
          <w:szCs w:val="24"/>
          <w:lang w:val="en-GB"/>
        </w:rPr>
        <w:t>039.6</w:t>
      </w:r>
      <w:r w:rsidR="00810A4B" w:rsidRPr="00041197">
        <w:rPr>
          <w:rFonts w:cstheme="minorHAnsi"/>
          <w:spacing w:val="-3"/>
          <w:sz w:val="24"/>
          <w:szCs w:val="24"/>
          <w:lang w:val="en-GB"/>
        </w:rPr>
        <w:t xml:space="preserve"> 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697780">
        <w:rPr>
          <w:rFonts w:cstheme="minorHAnsi"/>
          <w:spacing w:val="-3"/>
          <w:sz w:val="24"/>
          <w:szCs w:val="24"/>
          <w:lang w:val="en-GB"/>
        </w:rPr>
        <w:t>3</w:t>
      </w:r>
      <w:r>
        <w:rPr>
          <w:rFonts w:cstheme="minorHAnsi"/>
          <w:spacing w:val="-3"/>
          <w:sz w:val="24"/>
          <w:szCs w:val="24"/>
          <w:lang w:val="en-GB"/>
        </w:rPr>
        <w:t>.</w:t>
      </w:r>
      <w:r w:rsidR="00697780">
        <w:rPr>
          <w:rFonts w:cstheme="minorHAnsi"/>
          <w:spacing w:val="-3"/>
          <w:sz w:val="24"/>
          <w:szCs w:val="24"/>
          <w:lang w:val="en-GB"/>
        </w:rPr>
        <w:t>7</w:t>
      </w:r>
      <w:r w:rsidR="003F2303" w:rsidRPr="00041197">
        <w:rPr>
          <w:rFonts w:cstheme="minorHAnsi"/>
          <w:spacing w:val="-3"/>
          <w:sz w:val="24"/>
          <w:szCs w:val="24"/>
          <w:lang w:val="en-GB"/>
        </w:rPr>
        <w:t xml:space="preserve"> p</w:t>
      </w:r>
      <w:r>
        <w:rPr>
          <w:rFonts w:cstheme="minorHAnsi"/>
          <w:spacing w:val="-3"/>
          <w:sz w:val="24"/>
          <w:szCs w:val="24"/>
          <w:lang w:val="en-GB"/>
        </w:rPr>
        <w:t>ercent of total assets</w:t>
      </w:r>
      <w:r w:rsidRPr="008E04C4">
        <w:rPr>
          <w:rFonts w:cstheme="minorHAnsi"/>
          <w:spacing w:val="-3"/>
          <w:sz w:val="24"/>
          <w:szCs w:val="24"/>
          <w:lang w:val="en-GB"/>
        </w:rPr>
        <w:t>, a</w:t>
      </w:r>
      <w:r w:rsidR="00F976B2">
        <w:rPr>
          <w:rFonts w:cstheme="minorHAnsi"/>
          <w:spacing w:val="-3"/>
          <w:sz w:val="24"/>
          <w:szCs w:val="24"/>
          <w:lang w:val="en-GB"/>
        </w:rPr>
        <w:t>n</w:t>
      </w:r>
      <w:r w:rsidR="00697780" w:rsidRPr="008E04C4">
        <w:rPr>
          <w:rFonts w:cstheme="minorHAnsi"/>
          <w:spacing w:val="-3"/>
          <w:sz w:val="24"/>
          <w:szCs w:val="24"/>
          <w:lang w:val="en-GB"/>
        </w:rPr>
        <w:t xml:space="preserve"> </w:t>
      </w:r>
      <w:r w:rsidR="008C4325">
        <w:rPr>
          <w:rFonts w:cstheme="minorHAnsi"/>
          <w:spacing w:val="-3"/>
          <w:sz w:val="24"/>
          <w:szCs w:val="24"/>
          <w:lang w:val="en-GB"/>
        </w:rPr>
        <w:t>in</w:t>
      </w:r>
      <w:r w:rsidRPr="008E04C4">
        <w:rPr>
          <w:rFonts w:cstheme="minorHAnsi"/>
          <w:spacing w:val="-3"/>
          <w:sz w:val="24"/>
          <w:szCs w:val="24"/>
          <w:lang w:val="en-GB"/>
        </w:rPr>
        <w:t xml:space="preserve">crease </w:t>
      </w:r>
      <w:r w:rsidR="00E74D4D" w:rsidRPr="008E04C4">
        <w:rPr>
          <w:rFonts w:cstheme="minorHAnsi"/>
          <w:spacing w:val="-3"/>
          <w:sz w:val="24"/>
          <w:szCs w:val="24"/>
          <w:lang w:val="en-GB"/>
        </w:rPr>
        <w:t>0.1</w:t>
      </w:r>
      <w:r w:rsidR="00157AA7" w:rsidRPr="008E04C4">
        <w:rPr>
          <w:rFonts w:cstheme="minorHAnsi"/>
          <w:spacing w:val="-3"/>
          <w:sz w:val="24"/>
          <w:szCs w:val="24"/>
          <w:lang w:val="en-GB"/>
        </w:rPr>
        <w:t xml:space="preserve"> p</w:t>
      </w:r>
      <w:r w:rsidRPr="008E04C4">
        <w:rPr>
          <w:rFonts w:cstheme="minorHAnsi"/>
          <w:spacing w:val="-3"/>
          <w:sz w:val="24"/>
          <w:szCs w:val="24"/>
          <w:lang w:val="en-GB"/>
        </w:rPr>
        <w:t>ercent on the beginning of the year</w:t>
      </w:r>
      <w:r w:rsidR="00810A4B" w:rsidRPr="008E04C4">
        <w:rPr>
          <w:rFonts w:cstheme="minorHAnsi"/>
          <w:spacing w:val="-3"/>
          <w:sz w:val="24"/>
          <w:szCs w:val="24"/>
          <w:lang w:val="en-GB"/>
        </w:rPr>
        <w:t>.</w:t>
      </w:r>
      <w:r w:rsidR="00810A4B" w:rsidRPr="00041197">
        <w:rPr>
          <w:rFonts w:cstheme="minorHAnsi"/>
          <w:spacing w:val="-3"/>
          <w:sz w:val="24"/>
          <w:szCs w:val="24"/>
          <w:lang w:val="en-GB"/>
        </w:rPr>
        <w:t xml:space="preserve"> </w:t>
      </w:r>
    </w:p>
    <w:p w14:paraId="2F388F57" w14:textId="77777777" w:rsidR="00810A4B" w:rsidRPr="002A10E9" w:rsidRDefault="00810A4B" w:rsidP="00810A4B">
      <w:pPr>
        <w:spacing w:after="0" w:line="240" w:lineRule="auto"/>
        <w:jc w:val="both"/>
        <w:rPr>
          <w:rFonts w:cstheme="minorHAnsi"/>
          <w:spacing w:val="-3"/>
          <w:sz w:val="18"/>
          <w:szCs w:val="24"/>
          <w:lang w:val="en-GB"/>
        </w:rPr>
      </w:pPr>
    </w:p>
    <w:p w14:paraId="6A5A7E3B" w14:textId="01DA6CAA"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746BE9" w:rsidRPr="00041197">
        <w:rPr>
          <w:rFonts w:cstheme="minorHAnsi"/>
          <w:spacing w:val="-3"/>
          <w:sz w:val="24"/>
          <w:szCs w:val="24"/>
          <w:lang w:val="en-GB"/>
        </w:rPr>
        <w:t>2</w:t>
      </w:r>
      <w:r w:rsidR="00697780">
        <w:rPr>
          <w:rFonts w:cstheme="minorHAnsi"/>
          <w:spacing w:val="-3"/>
          <w:sz w:val="24"/>
          <w:szCs w:val="24"/>
          <w:lang w:val="en-GB"/>
        </w:rPr>
        <w:t>6</w:t>
      </w:r>
      <w:r>
        <w:rPr>
          <w:rFonts w:cstheme="minorHAnsi"/>
          <w:spacing w:val="-3"/>
          <w:sz w:val="24"/>
          <w:szCs w:val="24"/>
          <w:lang w:val="en-GB"/>
        </w:rPr>
        <w:t>,</w:t>
      </w:r>
      <w:r w:rsidR="0046558A">
        <w:rPr>
          <w:rFonts w:cstheme="minorHAnsi"/>
          <w:spacing w:val="-3"/>
          <w:sz w:val="24"/>
          <w:szCs w:val="24"/>
          <w:lang w:val="en-GB"/>
        </w:rPr>
        <w:t>184.0</w:t>
      </w:r>
      <w:r w:rsidR="003F2303" w:rsidRPr="00041197">
        <w:rPr>
          <w:rFonts w:cstheme="minorHAnsi"/>
          <w:spacing w:val="-3"/>
          <w:sz w:val="24"/>
          <w:szCs w:val="24"/>
          <w:lang w:val="en-GB"/>
        </w:rPr>
        <w:t xml:space="preserve"> </w:t>
      </w:r>
      <w:r>
        <w:rPr>
          <w:rFonts w:cstheme="minorHAnsi"/>
          <w:spacing w:val="-3"/>
          <w:sz w:val="24"/>
          <w:szCs w:val="24"/>
          <w:lang w:val="en-GB"/>
        </w:rPr>
        <w:t xml:space="preserve">million, a </w:t>
      </w:r>
      <w:r w:rsidR="00D83EB3">
        <w:rPr>
          <w:rFonts w:cstheme="minorHAnsi"/>
          <w:spacing w:val="-3"/>
          <w:sz w:val="24"/>
          <w:szCs w:val="24"/>
          <w:lang w:val="en-GB"/>
        </w:rPr>
        <w:t>de</w:t>
      </w:r>
      <w:r>
        <w:rPr>
          <w:rFonts w:cstheme="minorHAnsi"/>
          <w:spacing w:val="-3"/>
          <w:sz w:val="24"/>
          <w:szCs w:val="24"/>
          <w:lang w:val="en-GB"/>
        </w:rPr>
        <w:t xml:space="preserve">crease of </w:t>
      </w:r>
      <w:r w:rsidR="0046558A">
        <w:rPr>
          <w:rFonts w:cstheme="minorHAnsi"/>
          <w:spacing w:val="-3"/>
          <w:sz w:val="24"/>
          <w:szCs w:val="24"/>
          <w:lang w:val="en-GB"/>
        </w:rPr>
        <w:t>0</w:t>
      </w:r>
      <w:r w:rsidR="00F62046">
        <w:rPr>
          <w:rFonts w:cstheme="minorHAnsi"/>
          <w:spacing w:val="-3"/>
          <w:sz w:val="24"/>
          <w:szCs w:val="24"/>
          <w:lang w:val="en-GB"/>
        </w:rPr>
        <w:t>.</w:t>
      </w:r>
      <w:r w:rsidR="0046558A">
        <w:rPr>
          <w:rFonts w:cstheme="minorHAnsi"/>
          <w:spacing w:val="-3"/>
          <w:sz w:val="24"/>
          <w:szCs w:val="24"/>
          <w:lang w:val="en-GB"/>
        </w:rPr>
        <w:t>6</w:t>
      </w:r>
      <w:r>
        <w:rPr>
          <w:rFonts w:cstheme="minorHAnsi"/>
          <w:spacing w:val="-3"/>
          <w:sz w:val="24"/>
          <w:szCs w:val="24"/>
          <w:lang w:val="en-GB"/>
        </w:rPr>
        <w:t xml:space="preserve">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w:t>
      </w:r>
      <w:r w:rsidR="00697780">
        <w:rPr>
          <w:rFonts w:cstheme="minorHAnsi"/>
          <w:spacing w:val="-3"/>
          <w:sz w:val="24"/>
          <w:szCs w:val="24"/>
          <w:lang w:val="en-GB"/>
        </w:rPr>
        <w:t>2</w:t>
      </w:r>
      <w:r w:rsidR="0046558A">
        <w:rPr>
          <w:rFonts w:cstheme="minorHAnsi"/>
          <w:spacing w:val="-3"/>
          <w:sz w:val="24"/>
          <w:szCs w:val="24"/>
          <w:lang w:val="en-GB"/>
        </w:rPr>
        <w:t>1</w:t>
      </w:r>
      <w:r w:rsidR="00F62046">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customers </w:t>
      </w:r>
      <w:r w:rsidR="009A18E9" w:rsidRPr="009A18E9">
        <w:rPr>
          <w:rFonts w:eastAsia="Times New Roman" w:cs="Calibri"/>
          <w:sz w:val="24"/>
          <w:szCs w:val="24"/>
          <w:lang w:val="en-GB" w:eastAsia="hr-HR"/>
        </w:rPr>
        <w:t xml:space="preserve">stood at the same level compared with the </w:t>
      </w:r>
      <w:r w:rsidR="00DF264F">
        <w:rPr>
          <w:rFonts w:eastAsia="Times New Roman" w:cs="Calibri"/>
          <w:sz w:val="24"/>
          <w:szCs w:val="24"/>
          <w:lang w:val="en-GB" w:eastAsia="hr-HR"/>
        </w:rPr>
        <w:t>beginning of the year</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Gross loans to financial institutions</w:t>
      </w:r>
      <w:r w:rsidR="00D83EB3">
        <w:rPr>
          <w:rFonts w:eastAsia="Times New Roman" w:cs="Calibri"/>
          <w:sz w:val="24"/>
          <w:szCs w:val="24"/>
          <w:lang w:val="en-GB" w:eastAsia="hr-HR"/>
        </w:rPr>
        <w:t xml:space="preserve"> decreased by </w:t>
      </w:r>
      <w:r w:rsidR="00CC66FD">
        <w:rPr>
          <w:rFonts w:eastAsia="Times New Roman" w:cs="Calibri"/>
          <w:sz w:val="24"/>
          <w:szCs w:val="24"/>
          <w:lang w:val="en-GB" w:eastAsia="hr-HR"/>
        </w:rPr>
        <w:t>2.1</w:t>
      </w:r>
      <w:r w:rsidR="00D83EB3">
        <w:rPr>
          <w:rFonts w:eastAsia="Times New Roman" w:cs="Calibri"/>
          <w:sz w:val="24"/>
          <w:szCs w:val="24"/>
          <w:lang w:val="en-GB" w:eastAsia="hr-HR"/>
        </w:rPr>
        <w:t xml:space="preserve"> percent compared with the end of 20</w:t>
      </w:r>
      <w:r w:rsidR="00697780">
        <w:rPr>
          <w:rFonts w:eastAsia="Times New Roman" w:cs="Calibri"/>
          <w:sz w:val="24"/>
          <w:szCs w:val="24"/>
          <w:lang w:val="en-GB" w:eastAsia="hr-HR"/>
        </w:rPr>
        <w:t>2</w:t>
      </w:r>
      <w:r w:rsidR="00F62046">
        <w:rPr>
          <w:rFonts w:eastAsia="Times New Roman" w:cs="Calibri"/>
          <w:sz w:val="24"/>
          <w:szCs w:val="24"/>
          <w:lang w:val="en-GB" w:eastAsia="hr-HR"/>
        </w:rPr>
        <w:t>1</w:t>
      </w:r>
      <w:r w:rsidR="00D83EB3">
        <w:rPr>
          <w:rFonts w:eastAsia="Times New Roman" w:cs="Calibri"/>
          <w:sz w:val="24"/>
          <w:szCs w:val="24"/>
          <w:lang w:val="en-GB" w:eastAsia="hr-HR"/>
        </w:rPr>
        <w:t>.</w:t>
      </w:r>
    </w:p>
    <w:p w14:paraId="5031FC7B" w14:textId="4B4709C1" w:rsidR="00697780" w:rsidRPr="003C574B" w:rsidRDefault="00B6799C" w:rsidP="00697780">
      <w:pPr>
        <w:spacing w:after="0" w:line="240" w:lineRule="auto"/>
        <w:jc w:val="both"/>
      </w:pPr>
      <w:r w:rsidRPr="00B6799C">
        <w:rPr>
          <w:rFonts w:ascii="Calibri" w:eastAsia="Calibri" w:hAnsi="Calibri" w:cs="Calibri"/>
          <w:sz w:val="24"/>
          <w:szCs w:val="24"/>
          <w:lang w:val="en-GB"/>
        </w:rPr>
        <w:t>As at 3</w:t>
      </w:r>
      <w:r w:rsidR="00D83EB3">
        <w:rPr>
          <w:rFonts w:ascii="Calibri" w:eastAsia="Calibri" w:hAnsi="Calibri" w:cs="Calibri"/>
          <w:sz w:val="24"/>
          <w:szCs w:val="24"/>
          <w:lang w:val="en-GB"/>
        </w:rPr>
        <w:t>0 June</w:t>
      </w:r>
      <w:r w:rsidRPr="00B6799C">
        <w:rPr>
          <w:rFonts w:ascii="Calibri" w:eastAsia="Calibri" w:hAnsi="Calibri" w:cs="Calibri"/>
          <w:sz w:val="24"/>
          <w:szCs w:val="24"/>
          <w:lang w:val="en-GB"/>
        </w:rPr>
        <w:t xml:space="preserve"> 202</w:t>
      </w:r>
      <w:r w:rsidR="00083BDC">
        <w:rPr>
          <w:rFonts w:ascii="Calibri" w:eastAsia="Calibri" w:hAnsi="Calibri" w:cs="Calibri"/>
          <w:sz w:val="24"/>
          <w:szCs w:val="24"/>
          <w:lang w:val="en-GB"/>
        </w:rPr>
        <w:t>2</w:t>
      </w:r>
      <w:r w:rsidRPr="00B6799C">
        <w:rPr>
          <w:rFonts w:ascii="Calibri" w:eastAsia="Calibri" w:hAnsi="Calibri" w:cs="Calibri"/>
          <w:sz w:val="24"/>
          <w:szCs w:val="24"/>
          <w:lang w:val="en-GB"/>
        </w:rPr>
        <w:t xml:space="preserve">, the proportion between gross loans on-lent through financial institutions and direct placements stood at </w:t>
      </w:r>
      <w:r w:rsidR="00697780">
        <w:rPr>
          <w:rFonts w:ascii="Calibri" w:eastAsia="Calibri" w:hAnsi="Calibri" w:cs="Calibri"/>
          <w:sz w:val="24"/>
          <w:szCs w:val="24"/>
          <w:lang w:val="en-GB"/>
        </w:rPr>
        <w:t>2</w:t>
      </w:r>
      <w:r w:rsidR="001A1366">
        <w:rPr>
          <w:rFonts w:ascii="Calibri" w:eastAsia="Calibri" w:hAnsi="Calibri" w:cs="Calibri"/>
          <w:sz w:val="24"/>
          <w:szCs w:val="24"/>
          <w:lang w:val="en-GB"/>
        </w:rPr>
        <w:t>7</w:t>
      </w:r>
      <w:r w:rsidRPr="00B6799C">
        <w:rPr>
          <w:rFonts w:ascii="Calibri" w:eastAsia="Calibri" w:hAnsi="Calibri" w:cs="Calibri"/>
          <w:sz w:val="24"/>
          <w:szCs w:val="24"/>
          <w:lang w:val="en-GB"/>
        </w:rPr>
        <w:t xml:space="preserve"> </w:t>
      </w:r>
      <w:proofErr w:type="gramStart"/>
      <w:r w:rsidRPr="00B6799C">
        <w:rPr>
          <w:rFonts w:ascii="Calibri" w:eastAsia="Calibri" w:hAnsi="Calibri" w:cs="Calibri"/>
          <w:sz w:val="24"/>
          <w:szCs w:val="24"/>
          <w:lang w:val="en-GB"/>
        </w:rPr>
        <w:t>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w:t>
      </w:r>
      <w:proofErr w:type="gramEnd"/>
      <w:r w:rsidRPr="00B6799C">
        <w:rPr>
          <w:rFonts w:ascii="Calibri" w:eastAsia="Calibri" w:hAnsi="Calibri" w:cs="Calibri"/>
          <w:sz w:val="24"/>
          <w:szCs w:val="24"/>
          <w:lang w:val="en-GB"/>
        </w:rPr>
        <w:t xml:space="preserve"> </w:t>
      </w:r>
      <w:r w:rsidR="00697780">
        <w:rPr>
          <w:rFonts w:ascii="Calibri" w:eastAsia="Calibri" w:hAnsi="Calibri" w:cs="Calibri"/>
          <w:sz w:val="24"/>
          <w:szCs w:val="24"/>
          <w:lang w:val="en-GB"/>
        </w:rPr>
        <w:t>7</w:t>
      </w:r>
      <w:r w:rsidR="001A1366">
        <w:rPr>
          <w:rFonts w:ascii="Calibri" w:eastAsia="Calibri" w:hAnsi="Calibri" w:cs="Calibri"/>
          <w:sz w:val="24"/>
          <w:szCs w:val="24"/>
          <w:lang w:val="en-GB"/>
        </w:rPr>
        <w:t>3</w:t>
      </w:r>
      <w:r w:rsidRPr="00B6799C">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 xml:space="preserve"> (</w:t>
      </w:r>
      <w:r w:rsidR="00697780" w:rsidRPr="00B6799C">
        <w:rPr>
          <w:rFonts w:ascii="Calibri" w:eastAsia="Calibri" w:hAnsi="Calibri" w:cs="Calibri"/>
          <w:sz w:val="24"/>
          <w:szCs w:val="24"/>
          <w:lang w:val="en-GB"/>
        </w:rPr>
        <w:t>31 December 20</w:t>
      </w:r>
      <w:r w:rsidR="00697780">
        <w:rPr>
          <w:rFonts w:ascii="Calibri" w:eastAsia="Calibri" w:hAnsi="Calibri" w:cs="Calibri"/>
          <w:sz w:val="24"/>
          <w:szCs w:val="24"/>
          <w:lang w:val="en-GB"/>
        </w:rPr>
        <w:t>2</w:t>
      </w:r>
      <w:r w:rsidR="001A1366">
        <w:rPr>
          <w:rFonts w:ascii="Calibri" w:eastAsia="Calibri" w:hAnsi="Calibri" w:cs="Calibri"/>
          <w:sz w:val="24"/>
          <w:szCs w:val="24"/>
          <w:lang w:val="en-GB"/>
        </w:rPr>
        <w:t>1</w:t>
      </w:r>
      <w:r w:rsidR="00697780">
        <w:rPr>
          <w:rFonts w:ascii="Calibri" w:eastAsia="Calibri" w:hAnsi="Calibri" w:cs="Calibri"/>
          <w:sz w:val="24"/>
          <w:szCs w:val="24"/>
          <w:lang w:val="en-GB"/>
        </w:rPr>
        <w:t xml:space="preserve">: </w:t>
      </w:r>
      <w:r w:rsidR="001A1366">
        <w:rPr>
          <w:rFonts w:ascii="Calibri" w:eastAsia="Calibri" w:hAnsi="Calibri" w:cs="Calibri"/>
          <w:sz w:val="24"/>
          <w:szCs w:val="24"/>
          <w:lang w:val="en-GB"/>
        </w:rPr>
        <w:t>27</w:t>
      </w:r>
      <w:r w:rsidR="00697780" w:rsidRPr="008B18AE">
        <w:rPr>
          <w:rFonts w:ascii="Calibri" w:eastAsia="Calibri" w:hAnsi="Calibri" w:cs="Calibri"/>
          <w:sz w:val="24"/>
          <w:szCs w:val="24"/>
          <w:lang w:val="en-GB"/>
        </w:rPr>
        <w:t xml:space="preserve"> percent : </w:t>
      </w:r>
      <w:r w:rsidR="001A1366">
        <w:rPr>
          <w:rFonts w:ascii="Calibri" w:eastAsia="Calibri" w:hAnsi="Calibri" w:cs="Calibri"/>
          <w:sz w:val="24"/>
          <w:szCs w:val="24"/>
          <w:lang w:val="en-GB"/>
        </w:rPr>
        <w:t>73</w:t>
      </w:r>
      <w:r w:rsidR="00697780" w:rsidRPr="008B18AE">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w:t>
      </w:r>
    </w:p>
    <w:p w14:paraId="6656E33F" w14:textId="16FEBC6F" w:rsidR="00AE785D" w:rsidRPr="002A10E9" w:rsidRDefault="00AE785D">
      <w:pPr>
        <w:spacing w:after="0" w:line="240" w:lineRule="auto"/>
        <w:jc w:val="both"/>
        <w:rPr>
          <w:rFonts w:eastAsia="Times New Roman" w:cs="Calibri"/>
          <w:b/>
          <w:i/>
          <w:spacing w:val="-3"/>
          <w:sz w:val="18"/>
          <w:szCs w:val="24"/>
          <w:lang w:val="en-GB" w:eastAsia="hr-HR"/>
        </w:rPr>
      </w:pP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41327EF0"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 xml:space="preserve">As </w:t>
      </w:r>
      <w:proofErr w:type="gramStart"/>
      <w:r>
        <w:rPr>
          <w:rFonts w:cstheme="minorHAnsi"/>
          <w:sz w:val="24"/>
          <w:szCs w:val="24"/>
          <w:lang w:val="en-GB"/>
        </w:rPr>
        <w:t>at</w:t>
      </w:r>
      <w:proofErr w:type="gramEnd"/>
      <w:r>
        <w:rPr>
          <w:rFonts w:cstheme="minorHAnsi"/>
          <w:sz w:val="24"/>
          <w:szCs w:val="24"/>
          <w:lang w:val="en-GB"/>
        </w:rPr>
        <w:t xml:space="preserve"> 3</w:t>
      </w:r>
      <w:r w:rsidR="003C1A73">
        <w:rPr>
          <w:rFonts w:cstheme="minorHAnsi"/>
          <w:sz w:val="24"/>
          <w:szCs w:val="24"/>
          <w:lang w:val="en-GB"/>
        </w:rPr>
        <w:t>0 June</w:t>
      </w:r>
      <w:r>
        <w:rPr>
          <w:rFonts w:cstheme="minorHAnsi"/>
          <w:sz w:val="24"/>
          <w:szCs w:val="24"/>
          <w:lang w:val="en-GB"/>
        </w:rPr>
        <w:t xml:space="preserve"> 20</w:t>
      </w:r>
      <w:r w:rsidR="000D7ADE">
        <w:rPr>
          <w:rFonts w:cstheme="minorHAnsi"/>
          <w:sz w:val="24"/>
          <w:szCs w:val="24"/>
          <w:lang w:val="en-GB"/>
        </w:rPr>
        <w:t>2</w:t>
      </w:r>
      <w:r w:rsidR="001A1366">
        <w:rPr>
          <w:rFonts w:cstheme="minorHAnsi"/>
          <w:sz w:val="24"/>
          <w:szCs w:val="24"/>
          <w:lang w:val="en-GB"/>
        </w:rPr>
        <w:t>2</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1A1366">
        <w:rPr>
          <w:rFonts w:cstheme="minorHAnsi"/>
          <w:sz w:val="24"/>
          <w:szCs w:val="24"/>
          <w:lang w:val="en-GB"/>
        </w:rPr>
        <w:t>149.8</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1A1366">
        <w:rPr>
          <w:rFonts w:cstheme="minorHAnsi"/>
          <w:sz w:val="24"/>
          <w:szCs w:val="24"/>
          <w:lang w:val="en-GB"/>
        </w:rPr>
        <w:t>5</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1EE5BCF5" w14:textId="287BA6FF" w:rsidR="003C1A73" w:rsidRDefault="0044218B" w:rsidP="007B069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3C1A73">
        <w:rPr>
          <w:rFonts w:cstheme="minorHAnsi"/>
          <w:sz w:val="24"/>
          <w:szCs w:val="24"/>
          <w:lang w:val="en-GB"/>
        </w:rPr>
        <w:t>2</w:t>
      </w:r>
      <w:r>
        <w:rPr>
          <w:rFonts w:cstheme="minorHAnsi"/>
          <w:sz w:val="24"/>
          <w:szCs w:val="24"/>
          <w:lang w:val="en-GB"/>
        </w:rPr>
        <w:t>,</w:t>
      </w:r>
      <w:r w:rsidR="00E31AC2">
        <w:rPr>
          <w:rFonts w:cstheme="minorHAnsi"/>
          <w:sz w:val="24"/>
          <w:szCs w:val="24"/>
          <w:lang w:val="en-GB"/>
        </w:rPr>
        <w:t>895.1</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697780">
        <w:rPr>
          <w:rFonts w:cstheme="minorHAnsi"/>
          <w:sz w:val="24"/>
          <w:szCs w:val="24"/>
          <w:lang w:val="en-GB"/>
        </w:rPr>
        <w:t>10</w:t>
      </w:r>
      <w:r>
        <w:rPr>
          <w:rFonts w:cstheme="minorHAnsi"/>
          <w:sz w:val="24"/>
          <w:szCs w:val="24"/>
          <w:lang w:val="en-GB"/>
        </w:rPr>
        <w:t>.</w:t>
      </w:r>
      <w:r w:rsidR="00E31AC2">
        <w:rPr>
          <w:rFonts w:cstheme="minorHAnsi"/>
          <w:sz w:val="24"/>
          <w:szCs w:val="24"/>
          <w:lang w:val="en-GB"/>
        </w:rPr>
        <w:t>5</w:t>
      </w:r>
      <w:r w:rsidR="007859D5" w:rsidRPr="00041197">
        <w:rPr>
          <w:rFonts w:cstheme="minorHAnsi"/>
          <w:sz w:val="24"/>
          <w:szCs w:val="24"/>
          <w:lang w:val="en-GB"/>
        </w:rPr>
        <w:t xml:space="preserve"> p</w:t>
      </w:r>
      <w:r>
        <w:rPr>
          <w:rFonts w:cstheme="minorHAnsi"/>
          <w:sz w:val="24"/>
          <w:szCs w:val="24"/>
          <w:lang w:val="en-GB"/>
        </w:rPr>
        <w:t>ercent of total assets</w:t>
      </w:r>
      <w:r w:rsidR="00C4189D">
        <w:rPr>
          <w:rFonts w:cstheme="minorHAnsi"/>
          <w:sz w:val="24"/>
          <w:szCs w:val="24"/>
          <w:lang w:val="en-GB"/>
        </w:rPr>
        <w:t xml:space="preserve"> and </w:t>
      </w:r>
      <w:r w:rsidR="00C4189D" w:rsidRPr="00153A85">
        <w:rPr>
          <w:color w:val="222222"/>
          <w:sz w:val="24"/>
          <w:szCs w:val="24"/>
          <w:lang w:val="en"/>
        </w:rPr>
        <w:t>recorded a</w:t>
      </w:r>
      <w:r w:rsidR="00E31AC2">
        <w:rPr>
          <w:color w:val="222222"/>
          <w:sz w:val="24"/>
          <w:szCs w:val="24"/>
          <w:lang w:val="en"/>
        </w:rPr>
        <w:t>n in</w:t>
      </w:r>
      <w:r w:rsidR="00C4189D" w:rsidRPr="00153A85">
        <w:rPr>
          <w:color w:val="222222"/>
          <w:sz w:val="24"/>
          <w:szCs w:val="24"/>
          <w:lang w:val="en"/>
        </w:rPr>
        <w:t>crease compared to the beginning of the year by</w:t>
      </w:r>
      <w:r w:rsidR="002747FD">
        <w:rPr>
          <w:color w:val="222222"/>
          <w:sz w:val="24"/>
          <w:szCs w:val="24"/>
          <w:lang w:val="en"/>
        </w:rPr>
        <w:t xml:space="preserve"> 0.8</w:t>
      </w:r>
      <w:r w:rsidR="00C4189D" w:rsidRPr="00153A85">
        <w:rPr>
          <w:color w:val="222222"/>
          <w:sz w:val="24"/>
          <w:szCs w:val="24"/>
          <w:lang w:val="en"/>
        </w:rPr>
        <w:t xml:space="preserve"> percent</w:t>
      </w:r>
      <w:r w:rsidR="007859D5" w:rsidRPr="00153A85">
        <w:rPr>
          <w:rFonts w:cstheme="minorHAnsi"/>
          <w:sz w:val="24"/>
          <w:szCs w:val="24"/>
          <w:lang w:val="en-GB"/>
        </w:rPr>
        <w:t>.</w:t>
      </w:r>
      <w:r w:rsidR="007859D5" w:rsidRPr="00041197">
        <w:rPr>
          <w:rFonts w:cstheme="minorHAnsi"/>
          <w:sz w:val="24"/>
          <w:szCs w:val="24"/>
          <w:lang w:val="en-GB"/>
        </w:rPr>
        <w:t xml:space="preserve"> </w:t>
      </w:r>
    </w:p>
    <w:p w14:paraId="617A4895" w14:textId="2241062F"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38"/>
          <w:pgSz w:w="11906" w:h="16838"/>
          <w:pgMar w:top="1417" w:right="1416" w:bottom="1417" w:left="1417" w:header="708" w:footer="708" w:gutter="0"/>
          <w:cols w:space="708"/>
          <w:docGrid w:linePitch="360"/>
        </w:sectPr>
      </w:pP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060F44">
        <w:rPr>
          <w:rFonts w:cstheme="minorHAnsi"/>
          <w:sz w:val="24"/>
          <w:szCs w:val="24"/>
          <w:lang w:val="en-GB"/>
        </w:rPr>
        <w:t>4</w:t>
      </w:r>
      <w:r w:rsidR="00153A85">
        <w:rPr>
          <w:rFonts w:cstheme="minorHAnsi"/>
          <w:sz w:val="24"/>
          <w:szCs w:val="24"/>
          <w:lang w:val="en-GB"/>
        </w:rPr>
        <w:t>.</w:t>
      </w:r>
      <w:r w:rsidR="00060F44">
        <w:rPr>
          <w:rFonts w:cstheme="minorHAnsi"/>
          <w:sz w:val="24"/>
          <w:szCs w:val="24"/>
          <w:lang w:val="en-GB"/>
        </w:rPr>
        <w:t>5</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 xml:space="preserve">Equity instruments (shares of companies) that HBOR does not intend to sell and to which irrevocable option of subsequent measurement of fair value through other comprehensive income without recycling is applied are classified to these assets, </w:t>
      </w:r>
      <w:proofErr w:type="gramStart"/>
      <w:r w:rsidRPr="00395073">
        <w:rPr>
          <w:rFonts w:cstheme="minorHAnsi"/>
          <w:sz w:val="24"/>
          <w:szCs w:val="24"/>
          <w:lang w:val="en-GB"/>
        </w:rPr>
        <w:t>i.e.</w:t>
      </w:r>
      <w:proofErr w:type="gramEnd"/>
      <w:r w:rsidRPr="00395073">
        <w:rPr>
          <w:rFonts w:cstheme="minorHAnsi"/>
          <w:sz w:val="24"/>
          <w:szCs w:val="24"/>
          <w:lang w:val="en-GB"/>
        </w:rPr>
        <w:t xml:space="preserve"> reserves recognised under other comprehensive income will never be transferred to the statement on profit or loss.</w:t>
      </w:r>
    </w:p>
    <w:p w14:paraId="0BC2FAC8" w14:textId="2EA867B8"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8B3BE2">
        <w:rPr>
          <w:rFonts w:cstheme="minorHAnsi"/>
          <w:sz w:val="24"/>
          <w:szCs w:val="24"/>
          <w:lang w:val="en-GB"/>
        </w:rPr>
        <w:t>53.1</w:t>
      </w:r>
      <w:r w:rsidR="007859D5" w:rsidRPr="00041197">
        <w:rPr>
          <w:rFonts w:cstheme="minorHAnsi"/>
          <w:spacing w:val="-3"/>
          <w:sz w:val="24"/>
          <w:szCs w:val="24"/>
          <w:lang w:val="en-GB"/>
        </w:rPr>
        <w:t xml:space="preserve"> 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B3BE2">
        <w:rPr>
          <w:rFonts w:cstheme="minorHAnsi"/>
          <w:spacing w:val="-3"/>
          <w:sz w:val="24"/>
          <w:szCs w:val="24"/>
          <w:lang w:val="en-GB"/>
        </w:rPr>
        <w:t>2</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5B13F6C9"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8C6CBC">
        <w:rPr>
          <w:rFonts w:cstheme="minorHAnsi"/>
          <w:spacing w:val="-3"/>
          <w:sz w:val="24"/>
          <w:szCs w:val="24"/>
        </w:rPr>
        <w:t xml:space="preserve"> </w:t>
      </w:r>
      <w:r w:rsidR="0033512D">
        <w:rPr>
          <w:rFonts w:cstheme="minorHAnsi"/>
          <w:noProof/>
          <w:spacing w:val="-3"/>
          <w:sz w:val="24"/>
          <w:szCs w:val="24"/>
        </w:rPr>
        <w:drawing>
          <wp:inline distT="0" distB="0" distL="0" distR="0" wp14:anchorId="29CA8AF1" wp14:editId="0F809C1D">
            <wp:extent cx="2771335" cy="3083294"/>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9246" cy="3092095"/>
                    </a:xfrm>
                    <a:prstGeom prst="rect">
                      <a:avLst/>
                    </a:prstGeom>
                    <a:noFill/>
                  </pic:spPr>
                </pic:pic>
              </a:graphicData>
            </a:graphic>
          </wp:inline>
        </w:drawing>
      </w:r>
      <w:r w:rsidR="008C6CBC">
        <w:rPr>
          <w:rFonts w:cstheme="minorHAnsi"/>
          <w:spacing w:val="-3"/>
          <w:sz w:val="24"/>
          <w:szCs w:val="24"/>
        </w:rPr>
        <w:t xml:space="preserve"> </w:t>
      </w:r>
      <w:r w:rsidR="00B8199A">
        <w:rPr>
          <w:rFonts w:cstheme="minorHAnsi"/>
          <w:spacing w:val="-3"/>
          <w:sz w:val="24"/>
          <w:szCs w:val="24"/>
        </w:rPr>
        <w:t xml:space="preserve">    </w:t>
      </w:r>
      <w:r w:rsidRPr="00374300">
        <w:rPr>
          <w:rFonts w:cstheme="minorHAnsi"/>
          <w:spacing w:val="-3"/>
          <w:sz w:val="24"/>
          <w:szCs w:val="24"/>
        </w:rPr>
        <w:t xml:space="preserve"> </w:t>
      </w:r>
      <w:r w:rsidR="0030630F">
        <w:rPr>
          <w:rFonts w:cstheme="minorHAnsi"/>
          <w:noProof/>
          <w:spacing w:val="-3"/>
          <w:sz w:val="24"/>
          <w:szCs w:val="24"/>
        </w:rPr>
        <w:drawing>
          <wp:inline distT="0" distB="0" distL="0" distR="0" wp14:anchorId="51CDB499" wp14:editId="4AD2DEF8">
            <wp:extent cx="2756780" cy="3077310"/>
            <wp:effectExtent l="0" t="0" r="5715"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1152" cy="3093353"/>
                    </a:xfrm>
                    <a:prstGeom prst="rect">
                      <a:avLst/>
                    </a:prstGeom>
                    <a:noFill/>
                  </pic:spPr>
                </pic:pic>
              </a:graphicData>
            </a:graphic>
          </wp:inline>
        </w:drawing>
      </w:r>
      <w:r w:rsidR="008C6CBC">
        <w:rPr>
          <w:rFonts w:cstheme="minorHAnsi"/>
          <w:spacing w:val="-3"/>
          <w:sz w:val="24"/>
          <w:szCs w:val="24"/>
        </w:rPr>
        <w:t xml:space="preserve"> </w:t>
      </w:r>
      <w:r w:rsidRPr="00374300">
        <w:rPr>
          <w:rFonts w:cstheme="minorHAnsi"/>
          <w:spacing w:val="-3"/>
          <w:sz w:val="24"/>
          <w:szCs w:val="24"/>
        </w:rPr>
        <w:t xml:space="preserve"> </w:t>
      </w:r>
      <w:r w:rsidR="00E43402"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24"/>
          <w:szCs w:val="24"/>
        </w:rPr>
        <w:t xml:space="preserve">       </w:t>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6F23A9E3" w:rsidR="00374300" w:rsidRPr="00374300" w:rsidRDefault="00E43402" w:rsidP="00E43402">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sidR="00DA2529">
        <w:rPr>
          <w:rFonts w:cstheme="minorHAnsi"/>
          <w:noProof/>
          <w:spacing w:val="-3"/>
          <w:sz w:val="24"/>
          <w:szCs w:val="24"/>
        </w:rPr>
        <w:drawing>
          <wp:inline distT="0" distB="0" distL="0" distR="0" wp14:anchorId="37601884" wp14:editId="68091D27">
            <wp:extent cx="2820185" cy="2967893"/>
            <wp:effectExtent l="0" t="0" r="0" b="444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29699" cy="2977906"/>
                    </a:xfrm>
                    <a:prstGeom prst="rect">
                      <a:avLst/>
                    </a:prstGeom>
                    <a:noFill/>
                  </pic:spPr>
                </pic:pic>
              </a:graphicData>
            </a:graphic>
          </wp:inline>
        </w:drawing>
      </w:r>
      <w:r>
        <w:rPr>
          <w:rFonts w:cstheme="minorHAnsi"/>
          <w:spacing w:val="-3"/>
          <w:sz w:val="24"/>
          <w:szCs w:val="24"/>
        </w:rPr>
        <w:t xml:space="preserve">   </w:t>
      </w:r>
      <w:r w:rsidR="00B36595">
        <w:rPr>
          <w:rFonts w:cstheme="minorHAnsi"/>
          <w:spacing w:val="-3"/>
          <w:sz w:val="24"/>
          <w:szCs w:val="24"/>
        </w:rPr>
        <w:t xml:space="preserve">  </w:t>
      </w:r>
      <w:r w:rsidRPr="00374300">
        <w:rPr>
          <w:rFonts w:cstheme="minorHAnsi"/>
          <w:spacing w:val="-3"/>
          <w:sz w:val="14"/>
          <w:szCs w:val="24"/>
        </w:rPr>
        <w:t xml:space="preserve"> </w:t>
      </w:r>
      <w:r w:rsidR="00974567">
        <w:rPr>
          <w:rFonts w:cstheme="minorHAnsi"/>
          <w:noProof/>
          <w:spacing w:val="-3"/>
          <w:sz w:val="14"/>
          <w:szCs w:val="24"/>
        </w:rPr>
        <w:drawing>
          <wp:inline distT="0" distB="0" distL="0" distR="0" wp14:anchorId="4809B9E5" wp14:editId="40C712BD">
            <wp:extent cx="2722098" cy="2971932"/>
            <wp:effectExtent l="0" t="0" r="254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30539" cy="2981147"/>
                    </a:xfrm>
                    <a:prstGeom prst="rect">
                      <a:avLst/>
                    </a:prstGeom>
                    <a:noFill/>
                  </pic:spPr>
                </pic:pic>
              </a:graphicData>
            </a:graphic>
          </wp:inline>
        </w:drawing>
      </w:r>
      <w:r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3"/>
          <w:pgSz w:w="11906" w:h="16838"/>
          <w:pgMar w:top="1417" w:right="1416" w:bottom="1417" w:left="1417" w:header="708" w:footer="708" w:gutter="0"/>
          <w:cols w:space="708"/>
          <w:docGrid w:linePitch="360"/>
        </w:sectPr>
      </w:pPr>
    </w:p>
    <w:p w14:paraId="38B74870" w14:textId="77777777" w:rsidR="00902093" w:rsidRPr="00395073" w:rsidRDefault="00902093" w:rsidP="00902093">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Total liabilities </w:t>
      </w:r>
    </w:p>
    <w:p w14:paraId="6A62C73A" w14:textId="77777777" w:rsidR="00902093" w:rsidRPr="002A10E9" w:rsidRDefault="00902093" w:rsidP="00902093">
      <w:pPr>
        <w:tabs>
          <w:tab w:val="left" w:pos="-720"/>
        </w:tabs>
        <w:suppressAutoHyphens/>
        <w:spacing w:after="0" w:line="240" w:lineRule="auto"/>
        <w:jc w:val="both"/>
        <w:rPr>
          <w:rFonts w:eastAsia="Times New Roman" w:cs="Calibri"/>
          <w:b/>
          <w:i/>
          <w:spacing w:val="-3"/>
          <w:sz w:val="20"/>
          <w:szCs w:val="24"/>
          <w:lang w:val="en-GB" w:eastAsia="hr-HR"/>
        </w:rPr>
      </w:pPr>
    </w:p>
    <w:p w14:paraId="68D366F7" w14:textId="70D93029" w:rsidR="00383965" w:rsidRDefault="00902093" w:rsidP="00902093">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As </w:t>
      </w:r>
      <w:proofErr w:type="gramStart"/>
      <w:r w:rsidRPr="00395073">
        <w:rPr>
          <w:rFonts w:cstheme="minorHAnsi"/>
          <w:spacing w:val="-3"/>
          <w:sz w:val="24"/>
          <w:szCs w:val="24"/>
          <w:lang w:val="en-GB"/>
        </w:rPr>
        <w:t>at</w:t>
      </w:r>
      <w:proofErr w:type="gramEnd"/>
      <w:r w:rsidRPr="00041197">
        <w:rPr>
          <w:rFonts w:cstheme="minorHAnsi"/>
          <w:spacing w:val="-3"/>
          <w:sz w:val="24"/>
          <w:szCs w:val="24"/>
          <w:lang w:val="en-GB"/>
        </w:rPr>
        <w:t xml:space="preserve"> 3</w:t>
      </w:r>
      <w:r>
        <w:rPr>
          <w:rFonts w:cstheme="minorHAnsi"/>
          <w:spacing w:val="-3"/>
          <w:sz w:val="24"/>
          <w:szCs w:val="24"/>
          <w:lang w:val="en-GB"/>
        </w:rPr>
        <w:t xml:space="preserve">0 June </w:t>
      </w:r>
      <w:r w:rsidRPr="00041197">
        <w:rPr>
          <w:rFonts w:cstheme="minorHAnsi"/>
          <w:spacing w:val="-3"/>
          <w:sz w:val="24"/>
          <w:szCs w:val="24"/>
          <w:lang w:val="en-GB"/>
        </w:rPr>
        <w:t>20</w:t>
      </w:r>
      <w:r>
        <w:rPr>
          <w:rFonts w:cstheme="minorHAnsi"/>
          <w:spacing w:val="-3"/>
          <w:sz w:val="24"/>
          <w:szCs w:val="24"/>
          <w:lang w:val="en-GB"/>
        </w:rPr>
        <w:t>2</w:t>
      </w:r>
      <w:r w:rsidR="000F2D32">
        <w:rPr>
          <w:rFonts w:cstheme="minorHAnsi"/>
          <w:spacing w:val="-3"/>
          <w:sz w:val="24"/>
          <w:szCs w:val="24"/>
          <w:lang w:val="en-GB"/>
        </w:rPr>
        <w:t>2</w:t>
      </w:r>
      <w:r>
        <w:rPr>
          <w:rFonts w:cstheme="minorHAnsi"/>
          <w:spacing w:val="-3"/>
          <w:sz w:val="24"/>
          <w:szCs w:val="24"/>
          <w:lang w:val="en-GB"/>
        </w:rPr>
        <w:t>, total liabilities amounted to HRK</w:t>
      </w:r>
      <w:r w:rsidRPr="00041197">
        <w:rPr>
          <w:rFonts w:cstheme="minorHAnsi"/>
          <w:spacing w:val="-3"/>
          <w:sz w:val="24"/>
          <w:szCs w:val="24"/>
          <w:lang w:val="en-GB"/>
        </w:rPr>
        <w:t xml:space="preserve"> 1</w:t>
      </w:r>
      <w:r w:rsidR="000F2D32">
        <w:rPr>
          <w:rFonts w:cstheme="minorHAnsi"/>
          <w:spacing w:val="-3"/>
          <w:sz w:val="24"/>
          <w:szCs w:val="24"/>
          <w:lang w:val="en-GB"/>
        </w:rPr>
        <w:t>6</w:t>
      </w:r>
      <w:r>
        <w:rPr>
          <w:rFonts w:cstheme="minorHAnsi"/>
          <w:spacing w:val="-3"/>
          <w:sz w:val="24"/>
          <w:szCs w:val="24"/>
          <w:lang w:val="en-GB"/>
        </w:rPr>
        <w:t>,</w:t>
      </w:r>
      <w:r w:rsidR="000F2D32">
        <w:rPr>
          <w:rFonts w:cstheme="minorHAnsi"/>
          <w:spacing w:val="-3"/>
          <w:sz w:val="24"/>
          <w:szCs w:val="24"/>
          <w:lang w:val="en-GB"/>
        </w:rPr>
        <w:t>630.2</w:t>
      </w:r>
      <w:r w:rsidRPr="00041197">
        <w:rPr>
          <w:rFonts w:cstheme="minorHAnsi"/>
          <w:spacing w:val="-3"/>
          <w:sz w:val="24"/>
          <w:szCs w:val="24"/>
          <w:lang w:val="en-GB"/>
        </w:rPr>
        <w:t xml:space="preserve"> mil</w:t>
      </w:r>
      <w:r>
        <w:rPr>
          <w:rFonts w:cstheme="minorHAnsi"/>
          <w:spacing w:val="-3"/>
          <w:sz w:val="24"/>
          <w:szCs w:val="24"/>
          <w:lang w:val="en-GB"/>
        </w:rPr>
        <w:t>lion, which represents</w:t>
      </w:r>
      <w:r w:rsidRPr="00041197">
        <w:rPr>
          <w:rFonts w:cstheme="minorHAnsi"/>
          <w:spacing w:val="-3"/>
          <w:sz w:val="24"/>
          <w:szCs w:val="24"/>
          <w:lang w:val="en-GB"/>
        </w:rPr>
        <w:t xml:space="preserve"> 6</w:t>
      </w:r>
      <w:r w:rsidR="000F2D32">
        <w:rPr>
          <w:rFonts w:cstheme="minorHAnsi"/>
          <w:spacing w:val="-3"/>
          <w:sz w:val="24"/>
          <w:szCs w:val="24"/>
          <w:lang w:val="en-GB"/>
        </w:rPr>
        <w:t>0</w:t>
      </w:r>
      <w:r>
        <w:rPr>
          <w:rFonts w:cstheme="minorHAnsi"/>
          <w:spacing w:val="-3"/>
          <w:sz w:val="24"/>
          <w:szCs w:val="24"/>
          <w:lang w:val="en-GB"/>
        </w:rPr>
        <w:t>.</w:t>
      </w:r>
      <w:r w:rsidR="000F2D32">
        <w:rPr>
          <w:rFonts w:cstheme="minorHAnsi"/>
          <w:spacing w:val="-3"/>
          <w:sz w:val="24"/>
          <w:szCs w:val="24"/>
          <w:lang w:val="en-GB"/>
        </w:rPr>
        <w:t>4</w:t>
      </w:r>
      <w:r w:rsidRPr="00041197">
        <w:rPr>
          <w:rFonts w:cstheme="minorHAnsi"/>
          <w:spacing w:val="-3"/>
          <w:sz w:val="24"/>
          <w:szCs w:val="24"/>
          <w:lang w:val="en-GB"/>
        </w:rPr>
        <w:t xml:space="preserve"> 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Pr="00041197">
        <w:rPr>
          <w:rFonts w:cstheme="minorHAnsi"/>
          <w:spacing w:val="-3"/>
          <w:sz w:val="24"/>
          <w:szCs w:val="24"/>
          <w:lang w:val="en-GB"/>
        </w:rPr>
        <w:t xml:space="preserve">. </w:t>
      </w:r>
      <w:proofErr w:type="gramStart"/>
      <w:r w:rsidRPr="00395073">
        <w:rPr>
          <w:rFonts w:cstheme="minorHAnsi"/>
          <w:spacing w:val="-3"/>
          <w:sz w:val="24"/>
          <w:szCs w:val="24"/>
          <w:lang w:val="en-GB"/>
        </w:rPr>
        <w:t>The</w:t>
      </w:r>
      <w:proofErr w:type="gramEnd"/>
      <w:r w:rsidRPr="00395073">
        <w:rPr>
          <w:rFonts w:cstheme="minorHAnsi"/>
          <w:spacing w:val="-3"/>
          <w:sz w:val="24"/>
          <w:szCs w:val="24"/>
          <w:lang w:val="en-GB"/>
        </w:rPr>
        <w:t xml:space="preserve"> major part of total liabilities consists of HBOR’s foreign borrowings in the total amount of HRK </w:t>
      </w:r>
      <w:r w:rsidRPr="00041197">
        <w:rPr>
          <w:rFonts w:cstheme="minorHAnsi"/>
          <w:spacing w:val="-3"/>
          <w:sz w:val="24"/>
          <w:szCs w:val="24"/>
          <w:lang w:val="en-GB"/>
        </w:rPr>
        <w:t>1</w:t>
      </w:r>
      <w:r w:rsidR="001E0C96">
        <w:rPr>
          <w:rFonts w:cstheme="minorHAnsi"/>
          <w:spacing w:val="-3"/>
          <w:sz w:val="24"/>
          <w:szCs w:val="24"/>
          <w:lang w:val="en-GB"/>
        </w:rPr>
        <w:t>5</w:t>
      </w:r>
      <w:r>
        <w:rPr>
          <w:rFonts w:cstheme="minorHAnsi"/>
          <w:spacing w:val="-3"/>
          <w:sz w:val="24"/>
          <w:szCs w:val="24"/>
          <w:lang w:val="en-GB"/>
        </w:rPr>
        <w:t>,</w:t>
      </w:r>
      <w:r w:rsidR="000F2D32">
        <w:rPr>
          <w:rFonts w:cstheme="minorHAnsi"/>
          <w:spacing w:val="-3"/>
          <w:sz w:val="24"/>
          <w:szCs w:val="24"/>
          <w:lang w:val="en-GB"/>
        </w:rPr>
        <w:t>644</w:t>
      </w:r>
      <w:r>
        <w:rPr>
          <w:rFonts w:cstheme="minorHAnsi"/>
          <w:spacing w:val="-3"/>
          <w:sz w:val="24"/>
          <w:szCs w:val="24"/>
          <w:lang w:val="en-GB"/>
        </w:rPr>
        <w:t>.</w:t>
      </w:r>
      <w:r w:rsidR="000F2D32">
        <w:rPr>
          <w:rFonts w:cstheme="minorHAnsi"/>
          <w:spacing w:val="-3"/>
          <w:sz w:val="24"/>
          <w:szCs w:val="24"/>
          <w:lang w:val="en-GB"/>
        </w:rPr>
        <w:t>7</w:t>
      </w:r>
      <w:r w:rsidRPr="00041197">
        <w:rPr>
          <w:rFonts w:cstheme="minorHAnsi"/>
          <w:spacing w:val="-3"/>
          <w:sz w:val="24"/>
          <w:szCs w:val="24"/>
          <w:lang w:val="en-GB"/>
        </w:rPr>
        <w:t xml:space="preserve"> mil</w:t>
      </w:r>
      <w:r>
        <w:rPr>
          <w:rFonts w:cstheme="minorHAnsi"/>
          <w:spacing w:val="-3"/>
          <w:sz w:val="24"/>
          <w:szCs w:val="24"/>
          <w:lang w:val="en-GB"/>
        </w:rPr>
        <w:t>lion</w:t>
      </w:r>
      <w:r w:rsidRPr="00041197">
        <w:rPr>
          <w:rFonts w:cstheme="minorHAnsi"/>
          <w:spacing w:val="-3"/>
          <w:sz w:val="24"/>
          <w:szCs w:val="24"/>
          <w:lang w:val="en-GB"/>
        </w:rPr>
        <w:t>.</w:t>
      </w:r>
    </w:p>
    <w:p w14:paraId="5E8D83BE" w14:textId="77777777" w:rsidR="00383965" w:rsidRPr="001E1110" w:rsidRDefault="00383965" w:rsidP="00FF28FF">
      <w:pPr>
        <w:tabs>
          <w:tab w:val="left" w:pos="-720"/>
        </w:tabs>
        <w:suppressAutoHyphens/>
        <w:spacing w:after="0" w:line="240" w:lineRule="auto"/>
        <w:jc w:val="both"/>
        <w:rPr>
          <w:rFonts w:cstheme="minorHAnsi"/>
          <w:spacing w:val="-3"/>
          <w:sz w:val="18"/>
          <w:szCs w:val="18"/>
          <w:lang w:val="en-GB"/>
        </w:rPr>
      </w:pPr>
    </w:p>
    <w:p w14:paraId="05705E7E" w14:textId="14F8DF24"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 xml:space="preserve">Borrowings </w:t>
      </w:r>
      <w:r w:rsidR="001E0C96">
        <w:rPr>
          <w:rFonts w:cstheme="minorHAnsi"/>
          <w:spacing w:val="-3"/>
          <w:sz w:val="24"/>
          <w:szCs w:val="24"/>
          <w:lang w:val="en-GB"/>
        </w:rPr>
        <w:t>dec</w:t>
      </w:r>
      <w:r w:rsidRPr="0041359D">
        <w:rPr>
          <w:rFonts w:cstheme="minorHAnsi"/>
          <w:spacing w:val="-3"/>
          <w:sz w:val="24"/>
          <w:szCs w:val="24"/>
          <w:lang w:val="en-GB"/>
        </w:rPr>
        <w:t>reased by</w:t>
      </w:r>
      <w:r w:rsidR="00810A4B" w:rsidRPr="0041359D">
        <w:rPr>
          <w:rFonts w:cstheme="minorHAnsi"/>
          <w:spacing w:val="-3"/>
          <w:sz w:val="24"/>
          <w:szCs w:val="24"/>
          <w:lang w:val="en-GB"/>
        </w:rPr>
        <w:t xml:space="preserve"> </w:t>
      </w:r>
      <w:r w:rsidR="000F2D32">
        <w:rPr>
          <w:rFonts w:cstheme="minorHAnsi"/>
          <w:spacing w:val="-3"/>
          <w:sz w:val="24"/>
          <w:szCs w:val="24"/>
          <w:lang w:val="en-GB"/>
        </w:rPr>
        <w:t>2.9</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1E1110" w14:paraId="3248A08D" w14:textId="77777777" w:rsidTr="00431335">
        <w:trPr>
          <w:trHeight w:val="295"/>
        </w:trPr>
        <w:tc>
          <w:tcPr>
            <w:tcW w:w="6379" w:type="dxa"/>
            <w:vAlign w:val="bottom"/>
          </w:tcPr>
          <w:p w14:paraId="7F7618A3" w14:textId="77777777" w:rsidR="00B355A8" w:rsidRPr="001E1110" w:rsidRDefault="00B355A8">
            <w:pPr>
              <w:tabs>
                <w:tab w:val="left" w:pos="-720"/>
              </w:tabs>
              <w:suppressAutoHyphens/>
              <w:rPr>
                <w:rFonts w:cstheme="minorHAnsi"/>
                <w:spacing w:val="-3"/>
                <w:sz w:val="23"/>
                <w:szCs w:val="23"/>
                <w:lang w:val="en-GB"/>
              </w:rPr>
            </w:pPr>
          </w:p>
        </w:tc>
        <w:tc>
          <w:tcPr>
            <w:tcW w:w="2684" w:type="dxa"/>
            <w:vAlign w:val="bottom"/>
          </w:tcPr>
          <w:p w14:paraId="709C2BC9" w14:textId="77777777" w:rsidR="00B355A8" w:rsidRPr="001E1110" w:rsidRDefault="00B355A8" w:rsidP="00B355A8">
            <w:pPr>
              <w:tabs>
                <w:tab w:val="left" w:pos="-720"/>
              </w:tabs>
              <w:suppressAutoHyphens/>
              <w:jc w:val="right"/>
              <w:rPr>
                <w:rFonts w:cstheme="minorHAnsi"/>
                <w:spacing w:val="-3"/>
                <w:sz w:val="23"/>
                <w:szCs w:val="23"/>
                <w:lang w:val="en-GB"/>
              </w:rPr>
            </w:pPr>
            <w:r w:rsidRPr="001E1110">
              <w:rPr>
                <w:rFonts w:cstheme="minorHAnsi"/>
                <w:spacing w:val="-3"/>
                <w:sz w:val="23"/>
                <w:szCs w:val="23"/>
                <w:lang w:val="en-GB"/>
              </w:rPr>
              <w:t>(</w:t>
            </w:r>
            <w:proofErr w:type="gramStart"/>
            <w:r w:rsidR="00285B71" w:rsidRPr="001E1110">
              <w:rPr>
                <w:rFonts w:cstheme="minorHAnsi"/>
                <w:spacing w:val="-3"/>
                <w:sz w:val="23"/>
                <w:szCs w:val="23"/>
                <w:lang w:val="en-GB"/>
              </w:rPr>
              <w:t>in</w:t>
            </w:r>
            <w:proofErr w:type="gramEnd"/>
            <w:r w:rsidR="00285B71" w:rsidRPr="001E1110">
              <w:rPr>
                <w:rFonts w:cstheme="minorHAnsi"/>
                <w:spacing w:val="-3"/>
                <w:sz w:val="23"/>
                <w:szCs w:val="23"/>
                <w:lang w:val="en-GB"/>
              </w:rPr>
              <w:t xml:space="preserve"> HRK millions</w:t>
            </w:r>
            <w:r w:rsidRPr="001E1110">
              <w:rPr>
                <w:rFonts w:cstheme="minorHAnsi"/>
                <w:spacing w:val="-3"/>
                <w:sz w:val="23"/>
                <w:szCs w:val="23"/>
                <w:lang w:val="en-GB"/>
              </w:rPr>
              <w:t>)</w:t>
            </w:r>
          </w:p>
        </w:tc>
      </w:tr>
      <w:tr w:rsidR="001E0C96" w:rsidRPr="001E1110" w14:paraId="22982424" w14:textId="77777777" w:rsidTr="00431335">
        <w:tc>
          <w:tcPr>
            <w:tcW w:w="6379" w:type="dxa"/>
          </w:tcPr>
          <w:p w14:paraId="274415AB" w14:textId="77777777" w:rsidR="001E0C96" w:rsidRPr="001E1110" w:rsidRDefault="001E0C96" w:rsidP="001E0C96">
            <w:pPr>
              <w:tabs>
                <w:tab w:val="left" w:pos="-720"/>
              </w:tabs>
              <w:suppressAutoHyphens/>
              <w:rPr>
                <w:rFonts w:cstheme="minorHAnsi"/>
                <w:spacing w:val="-3"/>
                <w:sz w:val="23"/>
                <w:szCs w:val="23"/>
                <w:lang w:val="en-GB"/>
              </w:rPr>
            </w:pPr>
            <w:r w:rsidRPr="001E1110">
              <w:rPr>
                <w:rFonts w:cstheme="minorHAnsi"/>
                <w:spacing w:val="-3"/>
                <w:sz w:val="23"/>
                <w:szCs w:val="23"/>
                <w:lang w:val="en-GB"/>
              </w:rPr>
              <w:t>- Draw-down of funds borrowed under previously contracted</w:t>
            </w:r>
          </w:p>
          <w:p w14:paraId="7A000FCB" w14:textId="77777777" w:rsidR="001E0C96" w:rsidRPr="001E1110" w:rsidRDefault="001E0C96" w:rsidP="001E0C96">
            <w:pPr>
              <w:tabs>
                <w:tab w:val="left" w:pos="-720"/>
              </w:tabs>
              <w:suppressAutoHyphens/>
              <w:rPr>
                <w:rFonts w:cstheme="minorHAnsi"/>
                <w:spacing w:val="-3"/>
                <w:sz w:val="23"/>
                <w:szCs w:val="23"/>
                <w:lang w:val="en-GB"/>
              </w:rPr>
            </w:pPr>
            <w:r w:rsidRPr="001E1110">
              <w:rPr>
                <w:rFonts w:cstheme="minorHAnsi"/>
                <w:spacing w:val="-3"/>
                <w:sz w:val="23"/>
                <w:szCs w:val="23"/>
                <w:lang w:val="en-GB"/>
              </w:rPr>
              <w:t xml:space="preserve">  funds of special financial institutions   </w:t>
            </w:r>
          </w:p>
        </w:tc>
        <w:tc>
          <w:tcPr>
            <w:tcW w:w="2684" w:type="dxa"/>
          </w:tcPr>
          <w:p w14:paraId="7897D931" w14:textId="77777777" w:rsidR="001E0C96" w:rsidRPr="001E1110" w:rsidRDefault="001E0C96" w:rsidP="001E0C96">
            <w:pPr>
              <w:tabs>
                <w:tab w:val="left" w:pos="-720"/>
              </w:tabs>
              <w:suppressAutoHyphens/>
              <w:jc w:val="right"/>
              <w:rPr>
                <w:rFonts w:cstheme="minorHAnsi"/>
                <w:spacing w:val="-3"/>
                <w:sz w:val="23"/>
                <w:szCs w:val="23"/>
              </w:rPr>
            </w:pPr>
          </w:p>
          <w:p w14:paraId="705FB463" w14:textId="4AE593FE" w:rsidR="001E0C96" w:rsidRPr="001E1110" w:rsidRDefault="009872CA" w:rsidP="001E0C96">
            <w:pPr>
              <w:tabs>
                <w:tab w:val="left" w:pos="-720"/>
              </w:tabs>
              <w:suppressAutoHyphens/>
              <w:jc w:val="right"/>
              <w:rPr>
                <w:rFonts w:cstheme="minorHAnsi"/>
                <w:spacing w:val="-3"/>
                <w:sz w:val="23"/>
                <w:szCs w:val="23"/>
                <w:lang w:val="en-GB"/>
              </w:rPr>
            </w:pPr>
            <w:r w:rsidRPr="001E1110">
              <w:rPr>
                <w:rFonts w:cstheme="minorHAnsi"/>
                <w:spacing w:val="-3"/>
                <w:sz w:val="23"/>
                <w:szCs w:val="23"/>
              </w:rPr>
              <w:t>747.4</w:t>
            </w:r>
          </w:p>
        </w:tc>
      </w:tr>
      <w:tr w:rsidR="001E0C96" w:rsidRPr="001E1110" w14:paraId="0AAB44B9" w14:textId="77777777" w:rsidTr="002A10E9">
        <w:tc>
          <w:tcPr>
            <w:tcW w:w="6379" w:type="dxa"/>
          </w:tcPr>
          <w:p w14:paraId="41AF3B64" w14:textId="11B5C66D" w:rsidR="001E0C96" w:rsidRPr="001E1110" w:rsidRDefault="001E0C96" w:rsidP="001E0C96">
            <w:pPr>
              <w:tabs>
                <w:tab w:val="left" w:pos="-720"/>
              </w:tabs>
              <w:suppressAutoHyphens/>
              <w:jc w:val="both"/>
              <w:rPr>
                <w:rFonts w:cstheme="minorHAnsi"/>
                <w:spacing w:val="-3"/>
                <w:sz w:val="23"/>
                <w:szCs w:val="23"/>
                <w:lang w:val="en-GB"/>
              </w:rPr>
            </w:pPr>
            <w:r w:rsidRPr="001E1110">
              <w:rPr>
                <w:rFonts w:cstheme="minorHAnsi"/>
                <w:spacing w:val="-3"/>
                <w:sz w:val="23"/>
                <w:szCs w:val="23"/>
                <w:lang w:val="en-GB"/>
              </w:rPr>
              <w:t>- Repayments of borrowings</w:t>
            </w:r>
          </w:p>
        </w:tc>
        <w:tc>
          <w:tcPr>
            <w:tcW w:w="2684" w:type="dxa"/>
          </w:tcPr>
          <w:p w14:paraId="7A863BA6" w14:textId="64E56904" w:rsidR="001E0C96" w:rsidRPr="001E1110" w:rsidRDefault="001E0C96" w:rsidP="001E0C96">
            <w:pPr>
              <w:tabs>
                <w:tab w:val="left" w:pos="-720"/>
              </w:tabs>
              <w:suppressAutoHyphens/>
              <w:jc w:val="right"/>
              <w:rPr>
                <w:rFonts w:cstheme="minorHAnsi"/>
                <w:spacing w:val="-3"/>
                <w:sz w:val="23"/>
                <w:szCs w:val="23"/>
                <w:lang w:val="en-GB"/>
              </w:rPr>
            </w:pPr>
            <w:r w:rsidRPr="001E1110">
              <w:rPr>
                <w:rFonts w:cstheme="minorHAnsi"/>
                <w:spacing w:val="-3"/>
                <w:sz w:val="23"/>
                <w:szCs w:val="23"/>
              </w:rPr>
              <w:t>(1,2</w:t>
            </w:r>
            <w:r w:rsidR="009872CA" w:rsidRPr="001E1110">
              <w:rPr>
                <w:rFonts w:cstheme="minorHAnsi"/>
                <w:spacing w:val="-3"/>
                <w:sz w:val="23"/>
                <w:szCs w:val="23"/>
              </w:rPr>
              <w:t>4</w:t>
            </w:r>
            <w:r w:rsidRPr="001E1110">
              <w:rPr>
                <w:rFonts w:cstheme="minorHAnsi"/>
                <w:spacing w:val="-3"/>
                <w:sz w:val="23"/>
                <w:szCs w:val="23"/>
              </w:rPr>
              <w:t>6.</w:t>
            </w:r>
            <w:r w:rsidR="009872CA" w:rsidRPr="001E1110">
              <w:rPr>
                <w:rFonts w:cstheme="minorHAnsi"/>
                <w:spacing w:val="-3"/>
                <w:sz w:val="23"/>
                <w:szCs w:val="23"/>
              </w:rPr>
              <w:t>7</w:t>
            </w:r>
            <w:r w:rsidRPr="001E1110">
              <w:rPr>
                <w:rFonts w:cstheme="minorHAnsi"/>
                <w:spacing w:val="-3"/>
                <w:sz w:val="23"/>
                <w:szCs w:val="23"/>
              </w:rPr>
              <w:t>)</w:t>
            </w:r>
          </w:p>
        </w:tc>
      </w:tr>
      <w:tr w:rsidR="001E0C96" w:rsidRPr="001E1110" w14:paraId="1522A5D6" w14:textId="77777777" w:rsidTr="002A10E9">
        <w:tc>
          <w:tcPr>
            <w:tcW w:w="6379" w:type="dxa"/>
          </w:tcPr>
          <w:p w14:paraId="67781298" w14:textId="77777777" w:rsidR="001E0C96" w:rsidRPr="001E1110" w:rsidRDefault="001E0C96" w:rsidP="001E0C96">
            <w:pPr>
              <w:tabs>
                <w:tab w:val="left" w:pos="-720"/>
              </w:tabs>
              <w:suppressAutoHyphens/>
              <w:jc w:val="both"/>
              <w:rPr>
                <w:rFonts w:cstheme="minorHAnsi"/>
                <w:spacing w:val="-3"/>
                <w:sz w:val="23"/>
                <w:szCs w:val="23"/>
                <w:lang w:val="en-GB"/>
              </w:rPr>
            </w:pPr>
            <w:r w:rsidRPr="001E1110">
              <w:rPr>
                <w:rFonts w:cstheme="minorHAnsi"/>
                <w:spacing w:val="-3"/>
                <w:sz w:val="23"/>
                <w:szCs w:val="23"/>
                <w:lang w:val="en-GB"/>
              </w:rPr>
              <w:t>- Foreign exchange gains or losses</w:t>
            </w:r>
          </w:p>
        </w:tc>
        <w:tc>
          <w:tcPr>
            <w:tcW w:w="2684" w:type="dxa"/>
          </w:tcPr>
          <w:p w14:paraId="046E4390" w14:textId="763C6519" w:rsidR="001E0C96" w:rsidRPr="001E1110" w:rsidRDefault="009872CA" w:rsidP="001E0C96">
            <w:pPr>
              <w:tabs>
                <w:tab w:val="left" w:pos="-720"/>
              </w:tabs>
              <w:suppressAutoHyphens/>
              <w:jc w:val="right"/>
              <w:rPr>
                <w:rFonts w:cstheme="minorHAnsi"/>
                <w:spacing w:val="-3"/>
                <w:sz w:val="23"/>
                <w:szCs w:val="23"/>
                <w:lang w:val="en-GB"/>
              </w:rPr>
            </w:pPr>
            <w:r w:rsidRPr="001E1110">
              <w:rPr>
                <w:rFonts w:cstheme="minorHAnsi"/>
                <w:spacing w:val="-3"/>
                <w:sz w:val="23"/>
                <w:szCs w:val="23"/>
              </w:rPr>
              <w:t>36.7</w:t>
            </w:r>
          </w:p>
        </w:tc>
      </w:tr>
      <w:tr w:rsidR="001E0C96" w:rsidRPr="001E1110" w14:paraId="5A6B98AE" w14:textId="77777777" w:rsidTr="002A10E9">
        <w:tc>
          <w:tcPr>
            <w:tcW w:w="6379" w:type="dxa"/>
            <w:tcBorders>
              <w:bottom w:val="single" w:sz="4" w:space="0" w:color="auto"/>
            </w:tcBorders>
          </w:tcPr>
          <w:p w14:paraId="6D40B0E5" w14:textId="77777777" w:rsidR="001E0C96" w:rsidRPr="001E1110" w:rsidRDefault="001E0C96" w:rsidP="001E0C96">
            <w:pPr>
              <w:tabs>
                <w:tab w:val="left" w:pos="-720"/>
              </w:tabs>
              <w:suppressAutoHyphens/>
              <w:jc w:val="both"/>
              <w:rPr>
                <w:rFonts w:cstheme="minorHAnsi"/>
                <w:spacing w:val="-3"/>
                <w:sz w:val="23"/>
                <w:szCs w:val="23"/>
                <w:lang w:val="en-GB"/>
              </w:rPr>
            </w:pPr>
            <w:r w:rsidRPr="001E1110">
              <w:rPr>
                <w:rFonts w:cstheme="minorHAnsi"/>
                <w:spacing w:val="-3"/>
                <w:sz w:val="23"/>
                <w:szCs w:val="23"/>
                <w:lang w:val="en-GB"/>
              </w:rPr>
              <w:t>- Other calculations *</w:t>
            </w:r>
          </w:p>
        </w:tc>
        <w:tc>
          <w:tcPr>
            <w:tcW w:w="2684" w:type="dxa"/>
            <w:tcBorders>
              <w:bottom w:val="single" w:sz="4" w:space="0" w:color="auto"/>
            </w:tcBorders>
          </w:tcPr>
          <w:p w14:paraId="65CF3D32" w14:textId="39D23F3E" w:rsidR="001E0C96" w:rsidRPr="001E1110" w:rsidRDefault="001E0C96" w:rsidP="001E0C96">
            <w:pPr>
              <w:tabs>
                <w:tab w:val="left" w:pos="-720"/>
              </w:tabs>
              <w:suppressAutoHyphens/>
              <w:jc w:val="right"/>
              <w:rPr>
                <w:rFonts w:cstheme="minorHAnsi"/>
                <w:spacing w:val="-3"/>
                <w:sz w:val="23"/>
                <w:szCs w:val="23"/>
                <w:lang w:val="en-GB"/>
              </w:rPr>
            </w:pPr>
            <w:r w:rsidRPr="001E1110">
              <w:rPr>
                <w:rFonts w:cstheme="minorHAnsi"/>
                <w:spacing w:val="-3"/>
                <w:sz w:val="23"/>
                <w:szCs w:val="23"/>
              </w:rPr>
              <w:t>(</w:t>
            </w:r>
            <w:r w:rsidR="009872CA" w:rsidRPr="001E1110">
              <w:rPr>
                <w:rFonts w:cstheme="minorHAnsi"/>
                <w:spacing w:val="-3"/>
                <w:sz w:val="23"/>
                <w:szCs w:val="23"/>
              </w:rPr>
              <w:t>7.9</w:t>
            </w:r>
            <w:r w:rsidRPr="001E1110">
              <w:rPr>
                <w:rFonts w:cstheme="minorHAnsi"/>
                <w:spacing w:val="-3"/>
                <w:sz w:val="23"/>
                <w:szCs w:val="23"/>
              </w:rPr>
              <w:t>)</w:t>
            </w:r>
          </w:p>
        </w:tc>
      </w:tr>
      <w:tr w:rsidR="001E0C96" w:rsidRPr="001E1110" w14:paraId="091588C6" w14:textId="77777777" w:rsidTr="00431335">
        <w:tc>
          <w:tcPr>
            <w:tcW w:w="6379" w:type="dxa"/>
            <w:tcBorders>
              <w:top w:val="single" w:sz="4" w:space="0" w:color="auto"/>
            </w:tcBorders>
          </w:tcPr>
          <w:p w14:paraId="6CCD2C2A" w14:textId="77777777" w:rsidR="001E0C96" w:rsidRPr="001E1110" w:rsidRDefault="001E0C96" w:rsidP="001E0C96">
            <w:pPr>
              <w:tabs>
                <w:tab w:val="left" w:pos="-720"/>
              </w:tabs>
              <w:suppressAutoHyphens/>
              <w:jc w:val="both"/>
              <w:rPr>
                <w:rFonts w:cstheme="minorHAnsi"/>
                <w:b/>
                <w:spacing w:val="-3"/>
                <w:sz w:val="23"/>
                <w:szCs w:val="23"/>
                <w:lang w:val="en-GB"/>
              </w:rPr>
            </w:pPr>
            <w:r w:rsidRPr="001E1110">
              <w:rPr>
                <w:rFonts w:cstheme="minorHAnsi"/>
                <w:b/>
                <w:spacing w:val="-3"/>
                <w:sz w:val="23"/>
                <w:szCs w:val="23"/>
                <w:lang w:val="en-GB"/>
              </w:rPr>
              <w:t>Total changes</w:t>
            </w:r>
          </w:p>
        </w:tc>
        <w:tc>
          <w:tcPr>
            <w:tcW w:w="2684" w:type="dxa"/>
            <w:tcBorders>
              <w:top w:val="single" w:sz="4" w:space="0" w:color="auto"/>
            </w:tcBorders>
          </w:tcPr>
          <w:p w14:paraId="1624491D" w14:textId="3520238B" w:rsidR="001E0C96" w:rsidRPr="001E1110" w:rsidRDefault="009872CA" w:rsidP="001E0C96">
            <w:pPr>
              <w:tabs>
                <w:tab w:val="left" w:pos="-720"/>
              </w:tabs>
              <w:suppressAutoHyphens/>
              <w:jc w:val="right"/>
              <w:rPr>
                <w:rFonts w:cstheme="minorHAnsi"/>
                <w:b/>
                <w:spacing w:val="-3"/>
                <w:sz w:val="23"/>
                <w:szCs w:val="23"/>
                <w:lang w:val="en-GB"/>
              </w:rPr>
            </w:pPr>
            <w:r w:rsidRPr="001E1110">
              <w:rPr>
                <w:rFonts w:cstheme="minorHAnsi"/>
                <w:b/>
                <w:spacing w:val="-3"/>
                <w:sz w:val="23"/>
                <w:szCs w:val="23"/>
              </w:rPr>
              <w:t>(470.5)</w:t>
            </w:r>
          </w:p>
        </w:tc>
      </w:tr>
      <w:tr w:rsidR="001E0C96" w:rsidRPr="001E1110" w14:paraId="1B91F25B" w14:textId="77777777" w:rsidTr="00431335">
        <w:tc>
          <w:tcPr>
            <w:tcW w:w="6379" w:type="dxa"/>
            <w:tcBorders>
              <w:top w:val="single" w:sz="4" w:space="0" w:color="auto"/>
            </w:tcBorders>
          </w:tcPr>
          <w:p w14:paraId="1A2CBFFD" w14:textId="77777777" w:rsidR="001E0C96" w:rsidRPr="00FB762D" w:rsidRDefault="001E0C96" w:rsidP="001E0C96">
            <w:pPr>
              <w:tabs>
                <w:tab w:val="left" w:pos="-720"/>
              </w:tabs>
              <w:suppressAutoHyphens/>
              <w:jc w:val="both"/>
              <w:rPr>
                <w:rFonts w:cstheme="minorHAnsi"/>
                <w:b/>
                <w:spacing w:val="-3"/>
                <w:sz w:val="18"/>
                <w:szCs w:val="18"/>
                <w:lang w:val="en-GB"/>
              </w:rPr>
            </w:pPr>
          </w:p>
        </w:tc>
        <w:tc>
          <w:tcPr>
            <w:tcW w:w="2684" w:type="dxa"/>
            <w:tcBorders>
              <w:top w:val="single" w:sz="4" w:space="0" w:color="auto"/>
            </w:tcBorders>
          </w:tcPr>
          <w:p w14:paraId="41CE1F42" w14:textId="77777777" w:rsidR="001E0C96" w:rsidRPr="001E1110" w:rsidRDefault="001E0C96" w:rsidP="001E0C96">
            <w:pPr>
              <w:tabs>
                <w:tab w:val="left" w:pos="-720"/>
              </w:tabs>
              <w:suppressAutoHyphens/>
              <w:jc w:val="right"/>
              <w:rPr>
                <w:rFonts w:cstheme="minorHAnsi"/>
                <w:b/>
                <w:spacing w:val="-3"/>
                <w:sz w:val="23"/>
                <w:szCs w:val="23"/>
                <w:lang w:val="en-GB"/>
              </w:rPr>
            </w:pPr>
          </w:p>
        </w:tc>
      </w:tr>
      <w:tr w:rsidR="001E0C96" w:rsidRPr="00FB762D" w14:paraId="53EAA913" w14:textId="77777777" w:rsidTr="00431335">
        <w:tc>
          <w:tcPr>
            <w:tcW w:w="9063" w:type="dxa"/>
            <w:gridSpan w:val="2"/>
          </w:tcPr>
          <w:p w14:paraId="490B5C8F" w14:textId="3FC70DDE" w:rsidR="001E0C96" w:rsidRPr="00FB762D" w:rsidRDefault="001E0C96" w:rsidP="001E0C96">
            <w:pPr>
              <w:tabs>
                <w:tab w:val="left" w:pos="-720"/>
              </w:tabs>
              <w:suppressAutoHyphens/>
              <w:jc w:val="both"/>
              <w:rPr>
                <w:rFonts w:cstheme="minorHAnsi"/>
                <w:i/>
                <w:spacing w:val="-3"/>
                <w:sz w:val="20"/>
                <w:szCs w:val="20"/>
                <w:lang w:val="en-GB"/>
              </w:rPr>
            </w:pPr>
            <w:r w:rsidRPr="00FB762D">
              <w:rPr>
                <w:rFonts w:cstheme="minorHAnsi"/>
                <w:i/>
                <w:spacing w:val="-3"/>
                <w:sz w:val="20"/>
                <w:szCs w:val="20"/>
                <w:lang w:val="en-GB"/>
              </w:rPr>
              <w:t xml:space="preserve">* Other calculations relate to </w:t>
            </w:r>
            <w:r w:rsidR="004475A0" w:rsidRPr="00FB762D">
              <w:rPr>
                <w:rFonts w:cstheme="minorHAnsi"/>
                <w:i/>
                <w:spacing w:val="-3"/>
                <w:sz w:val="20"/>
                <w:szCs w:val="20"/>
                <w:lang w:val="en-GB"/>
              </w:rPr>
              <w:t>changes</w:t>
            </w:r>
            <w:r w:rsidRPr="00FB762D">
              <w:rPr>
                <w:rFonts w:cstheme="minorHAnsi"/>
                <w:i/>
                <w:spacing w:val="-3"/>
                <w:sz w:val="20"/>
                <w:szCs w:val="20"/>
                <w:lang w:val="en-GB"/>
              </w:rPr>
              <w:t xml:space="preserve"> in amount of interest not due and deferred fees.</w:t>
            </w:r>
          </w:p>
        </w:tc>
      </w:tr>
    </w:tbl>
    <w:p w14:paraId="45A2C89B" w14:textId="77777777" w:rsidR="00751141" w:rsidRDefault="00751141" w:rsidP="00751141">
      <w:pPr>
        <w:spacing w:after="0" w:line="240" w:lineRule="auto"/>
        <w:jc w:val="both"/>
        <w:rPr>
          <w:spacing w:val="-3"/>
          <w:sz w:val="24"/>
          <w:szCs w:val="24"/>
          <w:lang w:val="en-GB"/>
        </w:rPr>
      </w:pPr>
    </w:p>
    <w:p w14:paraId="17A0FCF5" w14:textId="7D66E85A" w:rsidR="002D0CE5" w:rsidRPr="002D0CE5" w:rsidRDefault="00751141" w:rsidP="002D0CE5">
      <w:pPr>
        <w:spacing w:after="0" w:line="240" w:lineRule="auto"/>
        <w:jc w:val="both"/>
        <w:rPr>
          <w:sz w:val="24"/>
          <w:szCs w:val="24"/>
          <w:lang w:val="en-GB"/>
        </w:rPr>
      </w:pPr>
      <w:r w:rsidRPr="00D33A69">
        <w:rPr>
          <w:spacing w:val="-3"/>
          <w:sz w:val="24"/>
          <w:szCs w:val="24"/>
          <w:lang w:val="en-GB"/>
        </w:rPr>
        <w:t>In 202</w:t>
      </w:r>
      <w:r w:rsidR="0074784B">
        <w:rPr>
          <w:spacing w:val="-3"/>
          <w:sz w:val="24"/>
          <w:szCs w:val="24"/>
          <w:lang w:val="en-GB"/>
        </w:rPr>
        <w:t>2</w:t>
      </w:r>
      <w:r w:rsidRPr="00D33A69">
        <w:rPr>
          <w:spacing w:val="-3"/>
          <w:sz w:val="24"/>
          <w:szCs w:val="24"/>
          <w:lang w:val="en-GB"/>
        </w:rPr>
        <w:t xml:space="preserve">, HBOR continued to raise funds, and on </w:t>
      </w:r>
      <w:r w:rsidR="00BE4314">
        <w:rPr>
          <w:spacing w:val="-3"/>
          <w:sz w:val="24"/>
          <w:szCs w:val="24"/>
          <w:lang w:val="en-GB"/>
        </w:rPr>
        <w:t>1</w:t>
      </w:r>
      <w:r w:rsidRPr="00D33A69">
        <w:rPr>
          <w:spacing w:val="-3"/>
          <w:sz w:val="24"/>
          <w:szCs w:val="24"/>
          <w:lang w:val="en-GB"/>
        </w:rPr>
        <w:t xml:space="preserve">7 </w:t>
      </w:r>
      <w:r w:rsidR="00BE4314">
        <w:rPr>
          <w:spacing w:val="-3"/>
          <w:sz w:val="24"/>
          <w:szCs w:val="24"/>
          <w:lang w:val="en-GB"/>
        </w:rPr>
        <w:t>Ma</w:t>
      </w:r>
      <w:r w:rsidR="00804E1D">
        <w:rPr>
          <w:spacing w:val="-3"/>
          <w:sz w:val="24"/>
          <w:szCs w:val="24"/>
          <w:lang w:val="en-GB"/>
        </w:rPr>
        <w:t>y</w:t>
      </w:r>
      <w:r w:rsidRPr="00D33A69">
        <w:rPr>
          <w:spacing w:val="-3"/>
          <w:sz w:val="24"/>
          <w:szCs w:val="24"/>
          <w:lang w:val="en-GB"/>
        </w:rPr>
        <w:t xml:space="preserve"> 202</w:t>
      </w:r>
      <w:r w:rsidR="00804E1D">
        <w:rPr>
          <w:spacing w:val="-3"/>
          <w:sz w:val="24"/>
          <w:szCs w:val="24"/>
          <w:lang w:val="en-GB"/>
        </w:rPr>
        <w:t>2</w:t>
      </w:r>
      <w:r w:rsidR="008D0498">
        <w:rPr>
          <w:spacing w:val="-3"/>
          <w:sz w:val="24"/>
          <w:szCs w:val="24"/>
          <w:lang w:val="en-GB"/>
        </w:rPr>
        <w:t>,</w:t>
      </w:r>
      <w:r w:rsidRPr="00D33A69">
        <w:rPr>
          <w:spacing w:val="-3"/>
          <w:sz w:val="24"/>
          <w:szCs w:val="24"/>
          <w:lang w:val="en-GB"/>
        </w:rPr>
        <w:t xml:space="preserve"> </w:t>
      </w:r>
      <w:r w:rsidR="00621767">
        <w:rPr>
          <w:spacing w:val="-3"/>
          <w:sz w:val="24"/>
          <w:szCs w:val="24"/>
          <w:lang w:val="en-GB"/>
        </w:rPr>
        <w:t>signed a loan</w:t>
      </w:r>
      <w:r w:rsidR="00611536">
        <w:rPr>
          <w:spacing w:val="-3"/>
          <w:sz w:val="24"/>
          <w:szCs w:val="24"/>
          <w:lang w:val="en-GB"/>
        </w:rPr>
        <w:t xml:space="preserve"> agreement in the amount of EUR 200 million</w:t>
      </w:r>
      <w:r w:rsidRPr="00D33A69">
        <w:rPr>
          <w:spacing w:val="-3"/>
          <w:sz w:val="24"/>
          <w:szCs w:val="24"/>
          <w:lang w:val="en-GB"/>
        </w:rPr>
        <w:t xml:space="preserve"> with</w:t>
      </w:r>
      <w:r w:rsidR="002D0CE5" w:rsidRPr="002D0CE5">
        <w:rPr>
          <w:sz w:val="24"/>
          <w:szCs w:val="24"/>
          <w:lang w:val="en-GB"/>
        </w:rPr>
        <w:t xml:space="preserve"> the Council of Europe Development Bank (CEB) for the promotion of economic growth and assistance for recovery and reconstruction after the earthquakes in Croatia. The proceeds of this loan will be used for financing under existing finance programmes, but also for projects that will be financed within the National Recovery and Resilience Plan (NRRP).</w:t>
      </w:r>
    </w:p>
    <w:p w14:paraId="1614FCDA" w14:textId="77777777" w:rsidR="002D0CE5" w:rsidRPr="001E1110" w:rsidRDefault="002D0CE5" w:rsidP="002D0CE5">
      <w:pPr>
        <w:spacing w:after="0" w:line="240" w:lineRule="auto"/>
        <w:jc w:val="both"/>
        <w:rPr>
          <w:sz w:val="18"/>
          <w:szCs w:val="18"/>
          <w:lang w:val="en-GB"/>
        </w:rPr>
      </w:pPr>
    </w:p>
    <w:p w14:paraId="3E34F35D" w14:textId="77777777" w:rsidR="002D0CE5" w:rsidRPr="002D0CE5" w:rsidRDefault="002D0CE5" w:rsidP="002D0CE5">
      <w:pPr>
        <w:spacing w:after="0" w:line="240" w:lineRule="auto"/>
        <w:jc w:val="both"/>
        <w:rPr>
          <w:sz w:val="24"/>
          <w:szCs w:val="24"/>
          <w:lang w:val="en-GB"/>
        </w:rPr>
      </w:pPr>
      <w:r w:rsidRPr="002D0CE5">
        <w:rPr>
          <w:sz w:val="24"/>
          <w:szCs w:val="24"/>
          <w:lang w:val="en-GB"/>
        </w:rPr>
        <w:t xml:space="preserve">Through HBOR, the CEB loan will be placed directly to the end users for partial financing of the development and upgrading of local and regional infrastructure, such as water supply, sewerage and wastewater treatment networks, local roads, educational, </w:t>
      </w:r>
      <w:proofErr w:type="gramStart"/>
      <w:r w:rsidRPr="002D0CE5">
        <w:rPr>
          <w:sz w:val="24"/>
          <w:szCs w:val="24"/>
          <w:lang w:val="en-GB"/>
        </w:rPr>
        <w:t>cultural</w:t>
      </w:r>
      <w:proofErr w:type="gramEnd"/>
      <w:r w:rsidRPr="002D0CE5">
        <w:rPr>
          <w:sz w:val="24"/>
          <w:szCs w:val="24"/>
          <w:lang w:val="en-GB"/>
        </w:rPr>
        <w:t xml:space="preserve"> and other communal facilities.</w:t>
      </w:r>
    </w:p>
    <w:p w14:paraId="10690B28" w14:textId="77777777" w:rsidR="002D0CE5" w:rsidRPr="001E1110" w:rsidRDefault="002D0CE5" w:rsidP="002D0CE5">
      <w:pPr>
        <w:spacing w:after="0" w:line="240" w:lineRule="auto"/>
        <w:jc w:val="both"/>
        <w:rPr>
          <w:sz w:val="18"/>
          <w:szCs w:val="18"/>
          <w:lang w:val="en-GB"/>
        </w:rPr>
      </w:pPr>
    </w:p>
    <w:p w14:paraId="28DDC53D" w14:textId="77777777" w:rsidR="002D0CE5" w:rsidRPr="002D0CE5" w:rsidRDefault="002D0CE5" w:rsidP="002D0CE5">
      <w:pPr>
        <w:spacing w:after="0" w:line="240" w:lineRule="auto"/>
        <w:jc w:val="both"/>
        <w:rPr>
          <w:sz w:val="24"/>
          <w:szCs w:val="24"/>
          <w:lang w:val="en-GB"/>
        </w:rPr>
      </w:pPr>
      <w:r w:rsidRPr="002D0CE5">
        <w:rPr>
          <w:sz w:val="24"/>
          <w:szCs w:val="24"/>
          <w:lang w:val="en-GB"/>
        </w:rPr>
        <w:t>In addition, the loan will enable HBOR to support micro, small and medium-sized enterprises (MSMEs), create new and preserve existing jobs, and finance the reconstruction of and equipment for infrastructure and buildings damaged in the earthquake.</w:t>
      </w:r>
    </w:p>
    <w:p w14:paraId="5EE4887B" w14:textId="77777777" w:rsidR="002D0CE5" w:rsidRPr="001E1110" w:rsidRDefault="002D0CE5" w:rsidP="002D0CE5">
      <w:pPr>
        <w:tabs>
          <w:tab w:val="left" w:pos="709"/>
        </w:tabs>
        <w:spacing w:after="0" w:line="240" w:lineRule="auto"/>
        <w:jc w:val="both"/>
        <w:rPr>
          <w:rFonts w:ascii="Calibri" w:eastAsia="Times New Roman" w:hAnsi="Calibri" w:cs="Arial"/>
          <w:b/>
          <w:spacing w:val="-3"/>
          <w:lang w:val="en-US"/>
        </w:rPr>
      </w:pPr>
    </w:p>
    <w:p w14:paraId="0B78A9EB" w14:textId="47C8BD4C" w:rsidR="00F979E3" w:rsidRDefault="00F979E3" w:rsidP="001E1110">
      <w:pPr>
        <w:tabs>
          <w:tab w:val="left" w:pos="-720"/>
        </w:tabs>
        <w:suppressAutoHyphens/>
        <w:spacing w:after="0" w:line="240" w:lineRule="auto"/>
        <w:jc w:val="both"/>
        <w:rPr>
          <w:rFonts w:cstheme="minorHAnsi"/>
          <w:b/>
          <w:i/>
          <w:spacing w:val="-3"/>
          <w:sz w:val="24"/>
          <w:szCs w:val="24"/>
          <w:lang w:val="en-GB" w:eastAsia="hr-HR"/>
        </w:rPr>
      </w:pPr>
      <w:r w:rsidRPr="002D0CE5">
        <w:rPr>
          <w:rFonts w:cstheme="minorHAnsi"/>
          <w:b/>
          <w:i/>
          <w:spacing w:val="-3"/>
          <w:sz w:val="24"/>
          <w:szCs w:val="24"/>
          <w:lang w:val="en-GB" w:eastAsia="hr-HR"/>
        </w:rPr>
        <w:t xml:space="preserve">Total equity </w:t>
      </w:r>
    </w:p>
    <w:p w14:paraId="7B12F1D6" w14:textId="77777777" w:rsidR="001E1110" w:rsidRPr="001E1110" w:rsidRDefault="001E1110" w:rsidP="001E1110">
      <w:pPr>
        <w:tabs>
          <w:tab w:val="left" w:pos="-720"/>
        </w:tabs>
        <w:suppressAutoHyphens/>
        <w:spacing w:after="0" w:line="240" w:lineRule="auto"/>
        <w:jc w:val="both"/>
        <w:rPr>
          <w:rFonts w:cstheme="minorHAnsi"/>
          <w:b/>
          <w:i/>
          <w:spacing w:val="-3"/>
          <w:sz w:val="20"/>
          <w:szCs w:val="20"/>
          <w:lang w:val="en-GB" w:eastAsia="hr-HR"/>
        </w:rPr>
      </w:pPr>
    </w:p>
    <w:p w14:paraId="2F1B468F" w14:textId="0C92B82B" w:rsidR="00514881" w:rsidRPr="00041197" w:rsidRDefault="00F979E3" w:rsidP="001E1110">
      <w:pPr>
        <w:spacing w:after="0" w:line="240" w:lineRule="auto"/>
        <w:jc w:val="both"/>
        <w:rPr>
          <w:rFonts w:eastAsia="Times New Roman" w:cs="Calibri"/>
          <w:spacing w:val="-3"/>
          <w:sz w:val="24"/>
          <w:szCs w:val="24"/>
          <w:lang w:val="en-GB" w:eastAsia="hr-HR"/>
        </w:rPr>
      </w:pPr>
      <w:r w:rsidRPr="002D0CE5">
        <w:rPr>
          <w:rFonts w:cstheme="minorHAnsi"/>
          <w:spacing w:val="-3"/>
          <w:sz w:val="24"/>
          <w:szCs w:val="24"/>
          <w:lang w:val="en-GB" w:eastAsia="hr-HR"/>
        </w:rPr>
        <w:t xml:space="preserve">Total equity amounted to HRK </w:t>
      </w:r>
      <w:r w:rsidR="009B5BDD" w:rsidRPr="002D0CE5">
        <w:rPr>
          <w:rFonts w:eastAsia="Times New Roman" w:cs="Calibri"/>
          <w:spacing w:val="-3"/>
          <w:sz w:val="24"/>
          <w:szCs w:val="24"/>
          <w:lang w:val="en-GB" w:eastAsia="hr-HR"/>
        </w:rPr>
        <w:t>10</w:t>
      </w:r>
      <w:r w:rsidRPr="002D0CE5">
        <w:rPr>
          <w:rFonts w:eastAsia="Times New Roman" w:cs="Calibri"/>
          <w:spacing w:val="-3"/>
          <w:sz w:val="24"/>
          <w:szCs w:val="24"/>
          <w:lang w:val="en-GB" w:eastAsia="hr-HR"/>
        </w:rPr>
        <w:t>,</w:t>
      </w:r>
      <w:r w:rsidR="00F12493">
        <w:rPr>
          <w:rFonts w:eastAsia="Times New Roman" w:cs="Calibri"/>
          <w:spacing w:val="-3"/>
          <w:sz w:val="24"/>
          <w:szCs w:val="24"/>
          <w:lang w:val="en-GB" w:eastAsia="hr-HR"/>
        </w:rPr>
        <w:t>897.3</w:t>
      </w:r>
      <w:r w:rsidR="00514881" w:rsidRPr="002D0CE5">
        <w:rPr>
          <w:rFonts w:eastAsia="Times New Roman" w:cs="Calibri"/>
          <w:spacing w:val="-3"/>
          <w:sz w:val="24"/>
          <w:szCs w:val="24"/>
          <w:lang w:val="en-GB" w:eastAsia="hr-HR"/>
        </w:rPr>
        <w:t xml:space="preserve"> mil</w:t>
      </w:r>
      <w:r w:rsidRPr="002D0CE5">
        <w:rPr>
          <w:rFonts w:eastAsia="Times New Roman" w:cs="Calibri"/>
          <w:spacing w:val="-3"/>
          <w:sz w:val="24"/>
          <w:szCs w:val="24"/>
          <w:lang w:val="en-GB" w:eastAsia="hr-HR"/>
        </w:rPr>
        <w:t>lion, representing</w:t>
      </w:r>
      <w:r w:rsidR="00514881" w:rsidRPr="002D0CE5">
        <w:rPr>
          <w:rFonts w:eastAsia="Times New Roman" w:cs="Calibri"/>
          <w:spacing w:val="-3"/>
          <w:sz w:val="24"/>
          <w:szCs w:val="24"/>
          <w:lang w:val="en-GB" w:eastAsia="hr-HR"/>
        </w:rPr>
        <w:t xml:space="preserve"> </w:t>
      </w:r>
      <w:r w:rsidR="00A67B12" w:rsidRPr="002D0CE5">
        <w:rPr>
          <w:rFonts w:eastAsia="Times New Roman" w:cs="Calibri"/>
          <w:spacing w:val="-3"/>
          <w:sz w:val="24"/>
          <w:szCs w:val="24"/>
          <w:lang w:val="en-GB" w:eastAsia="hr-HR"/>
        </w:rPr>
        <w:t>3</w:t>
      </w:r>
      <w:r w:rsidR="00F12493">
        <w:rPr>
          <w:rFonts w:eastAsia="Times New Roman" w:cs="Calibri"/>
          <w:spacing w:val="-3"/>
          <w:sz w:val="24"/>
          <w:szCs w:val="24"/>
          <w:lang w:val="en-GB" w:eastAsia="hr-HR"/>
        </w:rPr>
        <w:t>9</w:t>
      </w:r>
      <w:r w:rsidRPr="002D0CE5">
        <w:rPr>
          <w:rFonts w:eastAsia="Times New Roman" w:cs="Calibri"/>
          <w:spacing w:val="-3"/>
          <w:sz w:val="24"/>
          <w:szCs w:val="24"/>
          <w:lang w:val="en-GB" w:eastAsia="hr-HR"/>
        </w:rPr>
        <w:t>.</w:t>
      </w:r>
      <w:r w:rsidR="00F12493">
        <w:rPr>
          <w:rFonts w:eastAsia="Times New Roman" w:cs="Calibri"/>
          <w:spacing w:val="-3"/>
          <w:sz w:val="24"/>
          <w:szCs w:val="24"/>
          <w:lang w:val="en-GB" w:eastAsia="hr-HR"/>
        </w:rPr>
        <w:t>6</w:t>
      </w:r>
      <w:r w:rsidR="00E86735" w:rsidRPr="002D0CE5">
        <w:rPr>
          <w:rFonts w:eastAsia="Times New Roman" w:cs="Calibri"/>
          <w:spacing w:val="-3"/>
          <w:sz w:val="24"/>
          <w:szCs w:val="24"/>
          <w:lang w:val="en-GB" w:eastAsia="hr-HR"/>
        </w:rPr>
        <w:t xml:space="preserve"> p</w:t>
      </w:r>
      <w:r w:rsidRPr="002D0CE5">
        <w:rPr>
          <w:rFonts w:eastAsia="Times New Roman" w:cs="Calibri"/>
          <w:spacing w:val="-3"/>
          <w:sz w:val="24"/>
          <w:szCs w:val="24"/>
          <w:lang w:val="en-GB" w:eastAsia="hr-HR"/>
        </w:rPr>
        <w:t>ercent of total liabilities and</w:t>
      </w:r>
      <w:r>
        <w:rPr>
          <w:rFonts w:eastAsia="Times New Roman" w:cs="Calibri"/>
          <w:spacing w:val="-3"/>
          <w:sz w:val="24"/>
          <w:szCs w:val="24"/>
          <w:lang w:val="en-GB" w:eastAsia="hr-HR"/>
        </w:rPr>
        <w:t xml:space="preserve"> total equity</w:t>
      </w:r>
      <w:r w:rsidR="00514881" w:rsidRPr="00041197">
        <w:rPr>
          <w:rFonts w:eastAsia="Times New Roman" w:cs="Calibri"/>
          <w:spacing w:val="-3"/>
          <w:sz w:val="24"/>
          <w:szCs w:val="24"/>
          <w:lang w:val="en-GB" w:eastAsia="hr-HR"/>
        </w:rPr>
        <w:t>.</w:t>
      </w:r>
    </w:p>
    <w:p w14:paraId="620528CF" w14:textId="77777777" w:rsidR="0076739E" w:rsidRPr="001E1110" w:rsidRDefault="0076739E" w:rsidP="00514881">
      <w:pPr>
        <w:tabs>
          <w:tab w:val="left" w:pos="-720"/>
        </w:tabs>
        <w:suppressAutoHyphens/>
        <w:spacing w:after="0" w:line="240" w:lineRule="auto"/>
        <w:jc w:val="both"/>
        <w:rPr>
          <w:rFonts w:cstheme="minorHAnsi"/>
          <w:spacing w:val="-3"/>
          <w:sz w:val="18"/>
          <w:szCs w:val="18"/>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w:t>
      </w:r>
      <w:proofErr w:type="gramStart"/>
      <w:r w:rsidRPr="0041359D">
        <w:rPr>
          <w:rFonts w:cstheme="minorHAnsi"/>
          <w:spacing w:val="-3"/>
          <w:sz w:val="24"/>
          <w:szCs w:val="24"/>
          <w:lang w:val="en-GB"/>
        </w:rPr>
        <w:t>reserves</w:t>
      </w:r>
      <w:proofErr w:type="gramEnd"/>
      <w:r w:rsidRPr="0041359D">
        <w:rPr>
          <w:rFonts w:cstheme="minorHAnsi"/>
          <w:spacing w:val="-3"/>
          <w:sz w:val="24"/>
          <w:szCs w:val="24"/>
          <w:lang w:val="en-GB"/>
        </w:rPr>
        <w:t xml:space="preserve">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1E1110" w:rsidRDefault="00514881" w:rsidP="00514881">
      <w:pPr>
        <w:tabs>
          <w:tab w:val="left" w:pos="-720"/>
        </w:tabs>
        <w:suppressAutoHyphens/>
        <w:spacing w:after="0" w:line="240" w:lineRule="auto"/>
        <w:jc w:val="both"/>
        <w:rPr>
          <w:rFonts w:cstheme="minorHAnsi"/>
          <w:spacing w:val="-3"/>
          <w:sz w:val="18"/>
          <w:szCs w:val="18"/>
          <w:lang w:val="en-GB"/>
        </w:rPr>
      </w:pPr>
    </w:p>
    <w:p w14:paraId="650058A1" w14:textId="2743CE10" w:rsidR="00D834DB" w:rsidRPr="00041197" w:rsidRDefault="008D124F" w:rsidP="00FB762D">
      <w:pPr>
        <w:tabs>
          <w:tab w:val="left" w:pos="-720"/>
        </w:tabs>
        <w:spacing w:after="0" w:line="240" w:lineRule="auto"/>
        <w:jc w:val="both"/>
        <w:rPr>
          <w:rFonts w:cstheme="minorHAnsi"/>
          <w:sz w:val="24"/>
          <w:szCs w:val="24"/>
          <w:lang w:val="en-GB" w:eastAsia="hr-HR"/>
        </w:rPr>
        <w:sectPr w:rsidR="00D834DB" w:rsidRPr="00041197" w:rsidSect="00F11426">
          <w:headerReference w:type="default" r:id="rId44"/>
          <w:footerReference w:type="default" r:id="rId45"/>
          <w:pgSz w:w="11906" w:h="16838"/>
          <w:pgMar w:top="1417" w:right="1416" w:bottom="1417" w:left="1417" w:header="708" w:footer="708" w:gutter="0"/>
          <w:cols w:space="708"/>
          <w:docGrid w:linePitch="360"/>
        </w:sectPr>
      </w:pPr>
      <w:r w:rsidRPr="0041359D">
        <w:rPr>
          <w:sz w:val="24"/>
          <w:szCs w:val="24"/>
          <w:lang w:val="en"/>
        </w:rPr>
        <w:t xml:space="preserve">In the </w:t>
      </w:r>
      <w:r w:rsidR="004F64B0">
        <w:rPr>
          <w:sz w:val="24"/>
          <w:szCs w:val="24"/>
          <w:lang w:val="en"/>
        </w:rPr>
        <w:t xml:space="preserve">reporting </w:t>
      </w:r>
      <w:r w:rsidRPr="0041359D">
        <w:rPr>
          <w:sz w:val="24"/>
          <w:szCs w:val="24"/>
          <w:lang w:val="en"/>
        </w:rPr>
        <w:t xml:space="preserve">period there were no payments from the State Budget of the Republic of Croatia to the founder’s capital of HBOR. </w:t>
      </w:r>
      <w:r w:rsidRPr="00FC6062">
        <w:rPr>
          <w:rFonts w:cstheme="minorHAnsi"/>
          <w:spacing w:val="-3"/>
          <w:sz w:val="24"/>
          <w:szCs w:val="24"/>
          <w:lang w:val="en-GB"/>
        </w:rPr>
        <w:t>The total amount of capital contributed from the budget of the Republic of Croatia stood at HRK 6,</w:t>
      </w:r>
      <w:r>
        <w:rPr>
          <w:rFonts w:cstheme="minorHAnsi"/>
          <w:spacing w:val="-3"/>
          <w:sz w:val="24"/>
          <w:szCs w:val="24"/>
          <w:lang w:val="en-GB"/>
        </w:rPr>
        <w:t>7</w:t>
      </w:r>
      <w:r w:rsidR="004F64B0">
        <w:rPr>
          <w:rFonts w:cstheme="minorHAnsi"/>
          <w:spacing w:val="-3"/>
          <w:sz w:val="24"/>
          <w:szCs w:val="24"/>
          <w:lang w:val="en-GB"/>
        </w:rPr>
        <w:t>5</w:t>
      </w:r>
      <w:r>
        <w:rPr>
          <w:rFonts w:cstheme="minorHAnsi"/>
          <w:spacing w:val="-3"/>
          <w:sz w:val="24"/>
          <w:szCs w:val="24"/>
          <w:lang w:val="en-GB"/>
        </w:rPr>
        <w:t>8</w:t>
      </w:r>
      <w:r w:rsidRPr="00FC6062">
        <w:rPr>
          <w:rFonts w:cstheme="minorHAnsi"/>
          <w:spacing w:val="-3"/>
          <w:sz w:val="24"/>
          <w:szCs w:val="24"/>
          <w:lang w:val="en-GB"/>
        </w:rPr>
        <w:t xml:space="preserve">.0 million, and the remaining amount to be contributed to the founder’s capital up to the total amount of HRK 7,000.0 million set by the HBOR Act is HRK </w:t>
      </w:r>
      <w:r>
        <w:rPr>
          <w:rFonts w:cstheme="minorHAnsi"/>
          <w:spacing w:val="-3"/>
          <w:sz w:val="24"/>
          <w:szCs w:val="24"/>
          <w:lang w:val="en-GB"/>
        </w:rPr>
        <w:t>2</w:t>
      </w:r>
      <w:r w:rsidR="004F64B0">
        <w:rPr>
          <w:rFonts w:cstheme="minorHAnsi"/>
          <w:spacing w:val="-3"/>
          <w:sz w:val="24"/>
          <w:szCs w:val="24"/>
          <w:lang w:val="en-GB"/>
        </w:rPr>
        <w:t>4</w:t>
      </w:r>
      <w:r>
        <w:rPr>
          <w:rFonts w:cstheme="minorHAnsi"/>
          <w:spacing w:val="-3"/>
          <w:sz w:val="24"/>
          <w:szCs w:val="24"/>
          <w:lang w:val="en-GB"/>
        </w:rPr>
        <w:t>2</w:t>
      </w:r>
      <w:r w:rsidRPr="00FC6062">
        <w:rPr>
          <w:rFonts w:cstheme="minorHAnsi"/>
          <w:spacing w:val="-3"/>
          <w:sz w:val="24"/>
          <w:szCs w:val="24"/>
          <w:lang w:val="en-GB"/>
        </w:rPr>
        <w:t>.0 million.</w:t>
      </w:r>
      <w:r w:rsidR="0076739E" w:rsidRPr="00041197">
        <w:rPr>
          <w:rFonts w:cstheme="minorHAnsi"/>
          <w:sz w:val="24"/>
          <w:szCs w:val="24"/>
          <w:lang w:val="en-GB" w:eastAsia="hr-HR"/>
        </w:rPr>
        <w:t xml:space="preserve">   </w:t>
      </w:r>
    </w:p>
    <w:p w14:paraId="6DA42425" w14:textId="1EA6A3C4" w:rsidR="00E43402" w:rsidRDefault="00E43402" w:rsidP="00E43402">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t xml:space="preserve">          </w:t>
      </w:r>
      <w:r w:rsidR="00555D36">
        <w:rPr>
          <w:rFonts w:cstheme="minorHAnsi"/>
          <w:noProof/>
          <w:sz w:val="24"/>
          <w:szCs w:val="24"/>
          <w:lang w:eastAsia="hr-HR"/>
        </w:rPr>
        <w:drawing>
          <wp:inline distT="0" distB="0" distL="0" distR="0" wp14:anchorId="34534880" wp14:editId="10300D82">
            <wp:extent cx="2819882" cy="3312942"/>
            <wp:effectExtent l="0" t="0" r="0" b="190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28750" cy="3323360"/>
                    </a:xfrm>
                    <a:prstGeom prst="rect">
                      <a:avLst/>
                    </a:prstGeom>
                    <a:noFill/>
                  </pic:spPr>
                </pic:pic>
              </a:graphicData>
            </a:graphic>
          </wp:inline>
        </w:drawing>
      </w:r>
      <w:r w:rsidRPr="001607DE">
        <w:rPr>
          <w:rFonts w:cstheme="minorHAnsi"/>
          <w:noProof/>
          <w:sz w:val="24"/>
          <w:szCs w:val="24"/>
          <w:lang w:eastAsia="hr-HR"/>
        </w:rPr>
        <w:t xml:space="preserve">   </w:t>
      </w:r>
      <w:r w:rsidR="00753BD3">
        <w:rPr>
          <w:rFonts w:cstheme="minorHAnsi"/>
          <w:noProof/>
          <w:sz w:val="24"/>
          <w:szCs w:val="24"/>
          <w:lang w:eastAsia="hr-HR"/>
        </w:rPr>
        <w:drawing>
          <wp:inline distT="0" distB="0" distL="0" distR="0" wp14:anchorId="4681A8F2" wp14:editId="24BF3552">
            <wp:extent cx="2874112" cy="3317081"/>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7879" cy="3321429"/>
                    </a:xfrm>
                    <a:prstGeom prst="rect">
                      <a:avLst/>
                    </a:prstGeom>
                    <a:noFill/>
                  </pic:spPr>
                </pic:pic>
              </a:graphicData>
            </a:graphic>
          </wp:inline>
        </w:drawing>
      </w:r>
    </w:p>
    <w:p w14:paraId="4D0B918F" w14:textId="77777777" w:rsidR="00E43402" w:rsidRPr="001607DE" w:rsidRDefault="00E43402" w:rsidP="00E43402">
      <w:pPr>
        <w:tabs>
          <w:tab w:val="left" w:pos="-720"/>
        </w:tabs>
        <w:suppressAutoHyphens/>
        <w:spacing w:after="0" w:line="240" w:lineRule="auto"/>
        <w:ind w:left="-426" w:right="-426"/>
        <w:jc w:val="both"/>
        <w:rPr>
          <w:rFonts w:cstheme="minorHAnsi"/>
          <w:noProof/>
          <w:sz w:val="24"/>
          <w:szCs w:val="24"/>
          <w:lang w:eastAsia="hr-HR"/>
        </w:rPr>
      </w:pPr>
    </w:p>
    <w:p w14:paraId="4FDBE700" w14:textId="048AC718" w:rsidR="00E43402" w:rsidRPr="001607DE" w:rsidRDefault="00B6737A" w:rsidP="00E43402">
      <w:pPr>
        <w:tabs>
          <w:tab w:val="left" w:pos="-720"/>
        </w:tabs>
        <w:suppressAutoHyphens/>
        <w:spacing w:after="0" w:line="240" w:lineRule="auto"/>
        <w:ind w:right="-284"/>
        <w:jc w:val="both"/>
        <w:rPr>
          <w:rFonts w:eastAsia="Times New Roman" w:cs="Calibri"/>
          <w:b/>
          <w:noProof/>
          <w:spacing w:val="-3"/>
          <w:sz w:val="24"/>
          <w:szCs w:val="24"/>
          <w:lang w:eastAsia="hr-HR"/>
        </w:rPr>
      </w:pPr>
      <w:r>
        <w:rPr>
          <w:rFonts w:cstheme="minorHAnsi"/>
          <w:noProof/>
          <w:sz w:val="24"/>
          <w:szCs w:val="24"/>
        </w:rPr>
        <w:drawing>
          <wp:inline distT="0" distB="0" distL="0" distR="0" wp14:anchorId="1E54CA8B" wp14:editId="08EAFDF3">
            <wp:extent cx="2895502" cy="3338391"/>
            <wp:effectExtent l="0" t="0" r="63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06031" cy="3350530"/>
                    </a:xfrm>
                    <a:prstGeom prst="rect">
                      <a:avLst/>
                    </a:prstGeom>
                    <a:noFill/>
                  </pic:spPr>
                </pic:pic>
              </a:graphicData>
            </a:graphic>
          </wp:inline>
        </w:drawing>
      </w:r>
      <w:r>
        <w:rPr>
          <w:rFonts w:cstheme="minorHAnsi"/>
          <w:sz w:val="24"/>
          <w:szCs w:val="24"/>
        </w:rPr>
        <w:t xml:space="preserve"> </w:t>
      </w:r>
      <w:r w:rsidR="004F69B3">
        <w:rPr>
          <w:rFonts w:cstheme="minorHAnsi"/>
          <w:sz w:val="24"/>
          <w:szCs w:val="24"/>
        </w:rPr>
        <w:t xml:space="preserve">  </w:t>
      </w:r>
      <w:r w:rsidR="006636A3">
        <w:rPr>
          <w:rFonts w:cstheme="minorHAnsi"/>
          <w:noProof/>
          <w:sz w:val="24"/>
          <w:szCs w:val="24"/>
        </w:rPr>
        <w:drawing>
          <wp:inline distT="0" distB="0" distL="0" distR="0" wp14:anchorId="0862A39E" wp14:editId="1001CE84">
            <wp:extent cx="2910033" cy="3355145"/>
            <wp:effectExtent l="0" t="0" r="508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10033" cy="3355145"/>
                    </a:xfrm>
                    <a:prstGeom prst="rect">
                      <a:avLst/>
                    </a:prstGeom>
                    <a:noFill/>
                  </pic:spPr>
                </pic:pic>
              </a:graphicData>
            </a:graphic>
          </wp:inline>
        </w:drawing>
      </w:r>
      <w:r w:rsidR="00E43402" w:rsidRPr="001607DE">
        <w:rPr>
          <w:rFonts w:cstheme="minorHAnsi"/>
          <w:sz w:val="24"/>
          <w:szCs w:val="24"/>
        </w:rPr>
        <w:t xml:space="preserve"> </w:t>
      </w:r>
    </w:p>
    <w:p w14:paraId="4239D2DA" w14:textId="77777777" w:rsidR="00E43402" w:rsidRPr="001607DE" w:rsidRDefault="00E43402" w:rsidP="00E43402">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w:t>
      </w:r>
      <w:proofErr w:type="gramStart"/>
      <w:r w:rsidR="00F979E3" w:rsidRPr="00F979E3">
        <w:rPr>
          <w:rFonts w:eastAsia="Times New Roman" w:cs="Calibri"/>
          <w:color w:val="7F7F7F" w:themeColor="text1" w:themeTint="80"/>
          <w:spacing w:val="-3"/>
          <w:sz w:val="20"/>
          <w:szCs w:val="20"/>
          <w:lang w:val="en-GB" w:eastAsia="hr-HR"/>
        </w:rPr>
        <w:t>Other</w:t>
      </w:r>
      <w:proofErr w:type="gramEnd"/>
      <w:r w:rsidR="00F979E3" w:rsidRPr="00F979E3">
        <w:rPr>
          <w:rFonts w:eastAsia="Times New Roman" w:cs="Calibri"/>
          <w:color w:val="7F7F7F" w:themeColor="text1" w:themeTint="80"/>
          <w:spacing w:val="-3"/>
          <w:sz w:val="20"/>
          <w:szCs w:val="20"/>
          <w:lang w:val="en-GB" w:eastAsia="hr-HR"/>
        </w:rPr>
        <w:t xml:space="preserve"> assets</w:t>
      </w:r>
      <w:r w:rsidRPr="00041197">
        <w:rPr>
          <w:rFonts w:eastAsia="Times New Roman" w:cs="Calibri"/>
          <w:color w:val="7F7F7F" w:themeColor="text1" w:themeTint="80"/>
          <w:spacing w:val="-3"/>
          <w:sz w:val="20"/>
          <w:szCs w:val="20"/>
          <w:lang w:val="en-GB" w:eastAsia="hr-HR"/>
        </w:rPr>
        <w:t>.</w:t>
      </w:r>
    </w:p>
    <w:p w14:paraId="43062794" w14:textId="77777777"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7446A8" w:rsidRPr="007446A8">
        <w:rPr>
          <w:rFonts w:eastAsia="Times New Roman" w:cs="Calibri"/>
          <w:color w:val="7F7F7F" w:themeColor="text1" w:themeTint="80"/>
          <w:spacing w:val="-3"/>
          <w:sz w:val="20"/>
          <w:szCs w:val="20"/>
          <w:lang w:val="en-GB" w:eastAsia="hr-HR"/>
        </w:rPr>
        <w:t>Provisioning includes provisioning for guarantees</w:t>
      </w:r>
      <w:r w:rsidR="007446A8" w:rsidRPr="002A10E9">
        <w:rPr>
          <w:rFonts w:eastAsia="Times New Roman" w:cs="Calibri"/>
          <w:color w:val="7F7F7F" w:themeColor="text1" w:themeTint="80"/>
          <w:spacing w:val="-3"/>
          <w:sz w:val="20"/>
          <w:szCs w:val="20"/>
          <w:lang w:val="en-GB" w:eastAsia="hr-HR"/>
        </w:rPr>
        <w:t xml:space="preserve">, </w:t>
      </w:r>
      <w:proofErr w:type="gramStart"/>
      <w:r w:rsidR="007446A8" w:rsidRPr="007446A8">
        <w:rPr>
          <w:rFonts w:eastAsia="Times New Roman" w:cs="Calibri"/>
          <w:color w:val="7F7F7F" w:themeColor="text1" w:themeTint="80"/>
          <w:spacing w:val="-3"/>
          <w:sz w:val="20"/>
          <w:szCs w:val="20"/>
          <w:lang w:val="en-GB" w:eastAsia="hr-HR"/>
        </w:rPr>
        <w:t>commitments</w:t>
      </w:r>
      <w:proofErr w:type="gramEnd"/>
      <w:r w:rsidR="007446A8" w:rsidRPr="007446A8">
        <w:rPr>
          <w:rFonts w:eastAsia="Times New Roman" w:cs="Calibri"/>
          <w:color w:val="7F7F7F" w:themeColor="text1" w:themeTint="80"/>
          <w:spacing w:val="-3"/>
          <w:sz w:val="20"/>
          <w:szCs w:val="20"/>
          <w:lang w:val="en-GB" w:eastAsia="hr-HR"/>
        </w:rPr>
        <w:t xml:space="preserve">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5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0F15" w14:textId="77777777" w:rsidR="00DC6AD0" w:rsidRDefault="00DC6AD0" w:rsidP="00AE35D1">
      <w:pPr>
        <w:spacing w:after="0" w:line="240" w:lineRule="auto"/>
      </w:pPr>
      <w:r>
        <w:separator/>
      </w:r>
    </w:p>
  </w:endnote>
  <w:endnote w:type="continuationSeparator" w:id="0">
    <w:p w14:paraId="5CD94DF8" w14:textId="77777777" w:rsidR="00DC6AD0" w:rsidRDefault="00DC6AD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AA73" w14:textId="29CAF3F3"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6A4BDC2F"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9356" w14:textId="15BB80D8" w:rsidR="00DC6AD0" w:rsidRPr="000E7285" w:rsidRDefault="00DC6AD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0E3F18">
      <w:rPr>
        <w:rFonts w:eastAsia="Times New Roman" w:cs="Arial"/>
        <w:sz w:val="19"/>
        <w:szCs w:val="19"/>
      </w:rPr>
      <w:t>0</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0F123C5C" w14:textId="77777777" w:rsidR="00DC6AD0" w:rsidRDefault="00DC6AD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46CE" w14:textId="280A4B62" w:rsidR="00DC6AD0" w:rsidRPr="000E7285" w:rsidRDefault="00DC6AD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0E3F18">
      <w:rPr>
        <w:rFonts w:eastAsia="Times New Roman" w:cs="Arial"/>
        <w:sz w:val="19"/>
        <w:szCs w:val="19"/>
      </w:rPr>
      <w:t>1</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1E34399"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0467" w14:textId="0F8C933E" w:rsidR="000E3F18" w:rsidRPr="000E7285" w:rsidRDefault="000E3F18"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12</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0FE6DE61" w14:textId="77777777" w:rsidR="000E3F18" w:rsidRDefault="000E3F1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3A1C" w14:textId="601A88E1"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0E3F18">
      <w:rPr>
        <w:rFonts w:eastAsia="Times New Roman" w:cs="Arial"/>
        <w:sz w:val="19"/>
        <w:szCs w:val="19"/>
      </w:rPr>
      <w:t>3</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72F5249A" w14:textId="77777777" w:rsidR="00DC6AD0" w:rsidRDefault="00DC6AD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2BAC1" w14:textId="791D67FF"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3539E5">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7281A" w14:textId="39772EAF"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3539E5">
      <w:rPr>
        <w:rFonts w:eastAsia="Times New Roman" w:cs="Arial"/>
        <w:sz w:val="19"/>
        <w:szCs w:val="19"/>
      </w:rPr>
      <w:t>5</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3AEA5991" w14:textId="77777777" w:rsidR="00DC6AD0" w:rsidRDefault="00DC6AD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5783" w14:textId="3425281C" w:rsidR="00DC6AD0" w:rsidRPr="002C64CB" w:rsidRDefault="00DC6AD0"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w:t>
    </w:r>
    <w:r w:rsidR="003539E5">
      <w:rPr>
        <w:rFonts w:eastAsia="Times New Roman" w:cs="Arial"/>
        <w:sz w:val="19"/>
        <w:szCs w:val="19"/>
      </w:rPr>
      <w:t>6</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56591980" w14:textId="77777777" w:rsidR="00DC6AD0" w:rsidRDefault="00DC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DEC7" w14:textId="28C8609C"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6D694D69" w14:textId="77777777" w:rsidR="00DC6AD0" w:rsidRDefault="00DC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4E1B" w14:textId="32E64C0D"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287955CD"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1488" w14:textId="77777777" w:rsidR="00DC6AD0" w:rsidRPr="00290697" w:rsidRDefault="00DC6AD0">
    <w:pPr>
      <w:pStyle w:val="Footer"/>
      <w:jc w:val="center"/>
      <w:rPr>
        <w:sz w:val="18"/>
        <w:szCs w:val="18"/>
      </w:rPr>
    </w:pPr>
  </w:p>
  <w:p w14:paraId="3BA78970" w14:textId="586F887A"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8B67" w14:textId="53536700" w:rsidR="00DC6AD0" w:rsidRPr="000E7285" w:rsidRDefault="00DC6AD0"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4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2D17F451"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9F44" w14:textId="7C2E8011" w:rsidR="00DC6AD0" w:rsidRPr="000E7285" w:rsidRDefault="00DC6AD0"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5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1202C6A7"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9A46" w14:textId="1263A43C"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6  </w:t>
    </w:r>
    <w:r w:rsidRPr="000E7285">
      <w:rPr>
        <w:rFonts w:eastAsia="Times New Roman" w:cs="Arial"/>
        <w:sz w:val="19"/>
        <w:szCs w:val="19"/>
      </w:rPr>
      <w:t xml:space="preserve"> </w:t>
    </w:r>
    <w:r w:rsidRPr="00442490">
      <w:rPr>
        <w:rFonts w:eastAsia="Times New Roman" w:cs="Arial"/>
        <w:sz w:val="19"/>
        <w:szCs w:val="19"/>
      </w:rPr>
      <w:t xml:space="preserve">Croatian Bank for </w:t>
    </w:r>
    <w:r w:rsidRPr="006A2C02">
      <w:rPr>
        <w:rFonts w:eastAsia="Times New Roman" w:cs="Arial"/>
        <w:sz w:val="19"/>
        <w:szCs w:val="19"/>
        <w:lang w:val="en-GB"/>
      </w:rPr>
      <w:t>Reconstruction and Development</w:t>
    </w:r>
  </w:p>
  <w:p w14:paraId="740C5601"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676" w14:textId="06DBFC9D" w:rsidR="00DC6AD0" w:rsidRPr="000E7285" w:rsidRDefault="00DC6AD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0434D46C"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E3FB" w14:textId="282BBB72"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Pr="000E7285">
      <w:rPr>
        <w:rFonts w:eastAsia="Times New Roman" w:cs="Arial"/>
        <w:sz w:val="19"/>
        <w:szCs w:val="19"/>
      </w:rPr>
      <w:t xml:space="preserve">  </w:t>
    </w:r>
    <w:r>
      <w:rPr>
        <w:rFonts w:eastAsia="Times New Roman" w:cs="Arial"/>
        <w:sz w:val="19"/>
        <w:szCs w:val="19"/>
      </w:rPr>
      <w:t xml:space="preserve"> </w:t>
    </w:r>
    <w:r w:rsidRPr="00442490">
      <w:rPr>
        <w:rFonts w:eastAsia="Times New Roman" w:cs="Arial"/>
        <w:sz w:val="19"/>
        <w:szCs w:val="19"/>
      </w:rPr>
      <w:t>Croatian Bank for Reconstruction and Development</w:t>
    </w:r>
  </w:p>
  <w:p w14:paraId="452EDA3E"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4A03" w14:textId="77777777" w:rsidR="00DC6AD0" w:rsidRDefault="00DC6AD0" w:rsidP="00AE35D1">
      <w:pPr>
        <w:spacing w:after="0" w:line="240" w:lineRule="auto"/>
      </w:pPr>
      <w:r>
        <w:separator/>
      </w:r>
    </w:p>
  </w:footnote>
  <w:footnote w:type="continuationSeparator" w:id="0">
    <w:p w14:paraId="27D54F46" w14:textId="77777777" w:rsidR="00DC6AD0" w:rsidRDefault="00DC6AD0"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FB6"/>
    <w:rsid w:val="00005E96"/>
    <w:rsid w:val="00006EF5"/>
    <w:rsid w:val="00011681"/>
    <w:rsid w:val="0001281B"/>
    <w:rsid w:val="0001297D"/>
    <w:rsid w:val="00013CB8"/>
    <w:rsid w:val="0001410A"/>
    <w:rsid w:val="000149E9"/>
    <w:rsid w:val="00014F0B"/>
    <w:rsid w:val="00015A3C"/>
    <w:rsid w:val="00015B7C"/>
    <w:rsid w:val="00017C3D"/>
    <w:rsid w:val="000206EB"/>
    <w:rsid w:val="00021087"/>
    <w:rsid w:val="00022C04"/>
    <w:rsid w:val="00022EB0"/>
    <w:rsid w:val="000241D5"/>
    <w:rsid w:val="000244BE"/>
    <w:rsid w:val="000250FE"/>
    <w:rsid w:val="00031476"/>
    <w:rsid w:val="00031979"/>
    <w:rsid w:val="00035E8F"/>
    <w:rsid w:val="00035EEC"/>
    <w:rsid w:val="0003783D"/>
    <w:rsid w:val="00037EC8"/>
    <w:rsid w:val="00041197"/>
    <w:rsid w:val="000411AD"/>
    <w:rsid w:val="00041D20"/>
    <w:rsid w:val="00042D33"/>
    <w:rsid w:val="0004513C"/>
    <w:rsid w:val="000454B4"/>
    <w:rsid w:val="00045721"/>
    <w:rsid w:val="00045CCC"/>
    <w:rsid w:val="00047F32"/>
    <w:rsid w:val="0005277D"/>
    <w:rsid w:val="000562A8"/>
    <w:rsid w:val="00057B61"/>
    <w:rsid w:val="00057C14"/>
    <w:rsid w:val="00060F44"/>
    <w:rsid w:val="000617E0"/>
    <w:rsid w:val="00062A07"/>
    <w:rsid w:val="00062E57"/>
    <w:rsid w:val="000668CE"/>
    <w:rsid w:val="00067D16"/>
    <w:rsid w:val="00072C81"/>
    <w:rsid w:val="00073263"/>
    <w:rsid w:val="000737D9"/>
    <w:rsid w:val="000743E9"/>
    <w:rsid w:val="00075515"/>
    <w:rsid w:val="00075D3D"/>
    <w:rsid w:val="00077437"/>
    <w:rsid w:val="000800B5"/>
    <w:rsid w:val="00081940"/>
    <w:rsid w:val="00083BDC"/>
    <w:rsid w:val="00085CBD"/>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342A"/>
    <w:rsid w:val="000B3FE6"/>
    <w:rsid w:val="000B56CC"/>
    <w:rsid w:val="000B6268"/>
    <w:rsid w:val="000B7946"/>
    <w:rsid w:val="000B7E5F"/>
    <w:rsid w:val="000C2B06"/>
    <w:rsid w:val="000C3336"/>
    <w:rsid w:val="000C63F0"/>
    <w:rsid w:val="000C64D3"/>
    <w:rsid w:val="000C7868"/>
    <w:rsid w:val="000D555D"/>
    <w:rsid w:val="000D7ADE"/>
    <w:rsid w:val="000E13CC"/>
    <w:rsid w:val="000E3A01"/>
    <w:rsid w:val="000E3F18"/>
    <w:rsid w:val="000E4ABB"/>
    <w:rsid w:val="000E4B17"/>
    <w:rsid w:val="000E7285"/>
    <w:rsid w:val="000F04E1"/>
    <w:rsid w:val="000F09ED"/>
    <w:rsid w:val="000F2D32"/>
    <w:rsid w:val="000F48C8"/>
    <w:rsid w:val="000F54DA"/>
    <w:rsid w:val="000F59D5"/>
    <w:rsid w:val="000F670B"/>
    <w:rsid w:val="000F7480"/>
    <w:rsid w:val="001002A2"/>
    <w:rsid w:val="0010063A"/>
    <w:rsid w:val="001014AC"/>
    <w:rsid w:val="00102A38"/>
    <w:rsid w:val="00105C1F"/>
    <w:rsid w:val="001101C0"/>
    <w:rsid w:val="00111FB4"/>
    <w:rsid w:val="0011250C"/>
    <w:rsid w:val="0011293B"/>
    <w:rsid w:val="00113256"/>
    <w:rsid w:val="00122A35"/>
    <w:rsid w:val="001230A2"/>
    <w:rsid w:val="00124861"/>
    <w:rsid w:val="0012542F"/>
    <w:rsid w:val="00127810"/>
    <w:rsid w:val="001312B5"/>
    <w:rsid w:val="001314B6"/>
    <w:rsid w:val="001320B3"/>
    <w:rsid w:val="001320FF"/>
    <w:rsid w:val="00132877"/>
    <w:rsid w:val="0013477D"/>
    <w:rsid w:val="0013484A"/>
    <w:rsid w:val="0013644E"/>
    <w:rsid w:val="00140D1A"/>
    <w:rsid w:val="00142A9D"/>
    <w:rsid w:val="001432B3"/>
    <w:rsid w:val="0014476E"/>
    <w:rsid w:val="0014550E"/>
    <w:rsid w:val="00147A3B"/>
    <w:rsid w:val="00147BED"/>
    <w:rsid w:val="00151AB4"/>
    <w:rsid w:val="00152275"/>
    <w:rsid w:val="001526BF"/>
    <w:rsid w:val="00153A85"/>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3F9B"/>
    <w:rsid w:val="00174B17"/>
    <w:rsid w:val="00174EDE"/>
    <w:rsid w:val="001755C7"/>
    <w:rsid w:val="001756A5"/>
    <w:rsid w:val="001771E0"/>
    <w:rsid w:val="00177EA8"/>
    <w:rsid w:val="001805FF"/>
    <w:rsid w:val="00180B86"/>
    <w:rsid w:val="00182752"/>
    <w:rsid w:val="0018376E"/>
    <w:rsid w:val="0018377C"/>
    <w:rsid w:val="00184C66"/>
    <w:rsid w:val="00187D89"/>
    <w:rsid w:val="00192218"/>
    <w:rsid w:val="00192451"/>
    <w:rsid w:val="00192762"/>
    <w:rsid w:val="00192D81"/>
    <w:rsid w:val="0019558E"/>
    <w:rsid w:val="001966AA"/>
    <w:rsid w:val="001A05CD"/>
    <w:rsid w:val="001A0A37"/>
    <w:rsid w:val="001A1366"/>
    <w:rsid w:val="001A137F"/>
    <w:rsid w:val="001A1DF0"/>
    <w:rsid w:val="001A2E50"/>
    <w:rsid w:val="001A4063"/>
    <w:rsid w:val="001A41FE"/>
    <w:rsid w:val="001A4847"/>
    <w:rsid w:val="001A60B3"/>
    <w:rsid w:val="001A621E"/>
    <w:rsid w:val="001B0533"/>
    <w:rsid w:val="001B0B2A"/>
    <w:rsid w:val="001B0E3E"/>
    <w:rsid w:val="001B1A65"/>
    <w:rsid w:val="001B225C"/>
    <w:rsid w:val="001B2813"/>
    <w:rsid w:val="001B3C94"/>
    <w:rsid w:val="001B641B"/>
    <w:rsid w:val="001C1FDF"/>
    <w:rsid w:val="001C2FB0"/>
    <w:rsid w:val="001C3F5F"/>
    <w:rsid w:val="001C559B"/>
    <w:rsid w:val="001C5AF7"/>
    <w:rsid w:val="001C5C3D"/>
    <w:rsid w:val="001C6D63"/>
    <w:rsid w:val="001C75C2"/>
    <w:rsid w:val="001C7CA1"/>
    <w:rsid w:val="001D2396"/>
    <w:rsid w:val="001D478E"/>
    <w:rsid w:val="001D607A"/>
    <w:rsid w:val="001D613D"/>
    <w:rsid w:val="001D736C"/>
    <w:rsid w:val="001E06D4"/>
    <w:rsid w:val="001E0C96"/>
    <w:rsid w:val="001E1110"/>
    <w:rsid w:val="001E329C"/>
    <w:rsid w:val="001F19FB"/>
    <w:rsid w:val="001F28BE"/>
    <w:rsid w:val="001F5041"/>
    <w:rsid w:val="001F5378"/>
    <w:rsid w:val="00200951"/>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A10"/>
    <w:rsid w:val="002211A4"/>
    <w:rsid w:val="00221BB0"/>
    <w:rsid w:val="00221E48"/>
    <w:rsid w:val="002237F3"/>
    <w:rsid w:val="00223DA7"/>
    <w:rsid w:val="002260BD"/>
    <w:rsid w:val="00226C6E"/>
    <w:rsid w:val="0022767B"/>
    <w:rsid w:val="002277BB"/>
    <w:rsid w:val="00227D42"/>
    <w:rsid w:val="00232DB9"/>
    <w:rsid w:val="00234396"/>
    <w:rsid w:val="00234612"/>
    <w:rsid w:val="00236FE9"/>
    <w:rsid w:val="002417E1"/>
    <w:rsid w:val="00244B32"/>
    <w:rsid w:val="00244FF9"/>
    <w:rsid w:val="00245666"/>
    <w:rsid w:val="00246384"/>
    <w:rsid w:val="0024653F"/>
    <w:rsid w:val="00255DD3"/>
    <w:rsid w:val="002563D1"/>
    <w:rsid w:val="002567A4"/>
    <w:rsid w:val="00257EE2"/>
    <w:rsid w:val="00264224"/>
    <w:rsid w:val="0026752C"/>
    <w:rsid w:val="00267EEB"/>
    <w:rsid w:val="002714FC"/>
    <w:rsid w:val="00272CA5"/>
    <w:rsid w:val="00273E6D"/>
    <w:rsid w:val="002744E8"/>
    <w:rsid w:val="002747FD"/>
    <w:rsid w:val="0027532B"/>
    <w:rsid w:val="002754A5"/>
    <w:rsid w:val="00275D45"/>
    <w:rsid w:val="00276AFC"/>
    <w:rsid w:val="00276D4D"/>
    <w:rsid w:val="0027798B"/>
    <w:rsid w:val="00277B1C"/>
    <w:rsid w:val="00280418"/>
    <w:rsid w:val="00280FD9"/>
    <w:rsid w:val="00282E66"/>
    <w:rsid w:val="002834B1"/>
    <w:rsid w:val="00285B02"/>
    <w:rsid w:val="00285B71"/>
    <w:rsid w:val="00290697"/>
    <w:rsid w:val="002910FC"/>
    <w:rsid w:val="002915DB"/>
    <w:rsid w:val="00292D67"/>
    <w:rsid w:val="00292FAF"/>
    <w:rsid w:val="002969B8"/>
    <w:rsid w:val="002970F6"/>
    <w:rsid w:val="002A0507"/>
    <w:rsid w:val="002A10E9"/>
    <w:rsid w:val="002A38D0"/>
    <w:rsid w:val="002A4EE2"/>
    <w:rsid w:val="002A599E"/>
    <w:rsid w:val="002B1A0D"/>
    <w:rsid w:val="002B3CC1"/>
    <w:rsid w:val="002B45D9"/>
    <w:rsid w:val="002B4AC1"/>
    <w:rsid w:val="002B58C5"/>
    <w:rsid w:val="002B6016"/>
    <w:rsid w:val="002B782C"/>
    <w:rsid w:val="002B7D68"/>
    <w:rsid w:val="002C11A1"/>
    <w:rsid w:val="002C3634"/>
    <w:rsid w:val="002C48CB"/>
    <w:rsid w:val="002C4FED"/>
    <w:rsid w:val="002C547A"/>
    <w:rsid w:val="002C64CB"/>
    <w:rsid w:val="002D0CE5"/>
    <w:rsid w:val="002D1C76"/>
    <w:rsid w:val="002D23C5"/>
    <w:rsid w:val="002D304B"/>
    <w:rsid w:val="002D3BA1"/>
    <w:rsid w:val="002D5848"/>
    <w:rsid w:val="002D5C34"/>
    <w:rsid w:val="002D6AD9"/>
    <w:rsid w:val="002E121E"/>
    <w:rsid w:val="002E1603"/>
    <w:rsid w:val="002E216A"/>
    <w:rsid w:val="002E269E"/>
    <w:rsid w:val="002E6DE1"/>
    <w:rsid w:val="002E7EA9"/>
    <w:rsid w:val="002F0A29"/>
    <w:rsid w:val="002F28C8"/>
    <w:rsid w:val="002F4419"/>
    <w:rsid w:val="002F52CD"/>
    <w:rsid w:val="002F66C5"/>
    <w:rsid w:val="0030186D"/>
    <w:rsid w:val="0030270F"/>
    <w:rsid w:val="003037DC"/>
    <w:rsid w:val="00304DC3"/>
    <w:rsid w:val="00304FB3"/>
    <w:rsid w:val="0030575E"/>
    <w:rsid w:val="0030628B"/>
    <w:rsid w:val="0030630F"/>
    <w:rsid w:val="00306D3A"/>
    <w:rsid w:val="00306F85"/>
    <w:rsid w:val="00310146"/>
    <w:rsid w:val="00310590"/>
    <w:rsid w:val="00310F96"/>
    <w:rsid w:val="003132C3"/>
    <w:rsid w:val="00317B07"/>
    <w:rsid w:val="00317B7A"/>
    <w:rsid w:val="00317F7D"/>
    <w:rsid w:val="00320B48"/>
    <w:rsid w:val="003213D1"/>
    <w:rsid w:val="00321A22"/>
    <w:rsid w:val="003222CF"/>
    <w:rsid w:val="003234B8"/>
    <w:rsid w:val="00324025"/>
    <w:rsid w:val="00324D27"/>
    <w:rsid w:val="00330EEC"/>
    <w:rsid w:val="00331DF5"/>
    <w:rsid w:val="0033403B"/>
    <w:rsid w:val="0033512D"/>
    <w:rsid w:val="003358AA"/>
    <w:rsid w:val="003378CD"/>
    <w:rsid w:val="00340A85"/>
    <w:rsid w:val="003439D3"/>
    <w:rsid w:val="00344F38"/>
    <w:rsid w:val="00346285"/>
    <w:rsid w:val="00347BB2"/>
    <w:rsid w:val="003513FA"/>
    <w:rsid w:val="003516A1"/>
    <w:rsid w:val="0035238F"/>
    <w:rsid w:val="0035268A"/>
    <w:rsid w:val="003539E5"/>
    <w:rsid w:val="003571EC"/>
    <w:rsid w:val="003603A1"/>
    <w:rsid w:val="003661CA"/>
    <w:rsid w:val="00366BCB"/>
    <w:rsid w:val="00366CEB"/>
    <w:rsid w:val="00370E5A"/>
    <w:rsid w:val="00371E4D"/>
    <w:rsid w:val="003727B4"/>
    <w:rsid w:val="00373D3F"/>
    <w:rsid w:val="00374300"/>
    <w:rsid w:val="00375495"/>
    <w:rsid w:val="0037736C"/>
    <w:rsid w:val="0038011D"/>
    <w:rsid w:val="00383965"/>
    <w:rsid w:val="003869DA"/>
    <w:rsid w:val="00386C27"/>
    <w:rsid w:val="0039116D"/>
    <w:rsid w:val="00392C03"/>
    <w:rsid w:val="00393647"/>
    <w:rsid w:val="003979AE"/>
    <w:rsid w:val="003A289A"/>
    <w:rsid w:val="003A36A8"/>
    <w:rsid w:val="003A411B"/>
    <w:rsid w:val="003A76BC"/>
    <w:rsid w:val="003B22E8"/>
    <w:rsid w:val="003B25C7"/>
    <w:rsid w:val="003B3D5B"/>
    <w:rsid w:val="003C1A73"/>
    <w:rsid w:val="003C5F0E"/>
    <w:rsid w:val="003C7367"/>
    <w:rsid w:val="003C7B1E"/>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E6652"/>
    <w:rsid w:val="003F0B76"/>
    <w:rsid w:val="003F2303"/>
    <w:rsid w:val="003F245D"/>
    <w:rsid w:val="003F5B42"/>
    <w:rsid w:val="003F679B"/>
    <w:rsid w:val="004006DC"/>
    <w:rsid w:val="00400E1E"/>
    <w:rsid w:val="00402103"/>
    <w:rsid w:val="00402611"/>
    <w:rsid w:val="004037B0"/>
    <w:rsid w:val="004038D1"/>
    <w:rsid w:val="004065CD"/>
    <w:rsid w:val="004066BD"/>
    <w:rsid w:val="00410152"/>
    <w:rsid w:val="0041096C"/>
    <w:rsid w:val="0041162A"/>
    <w:rsid w:val="0041359D"/>
    <w:rsid w:val="00414463"/>
    <w:rsid w:val="00414491"/>
    <w:rsid w:val="00414671"/>
    <w:rsid w:val="00416526"/>
    <w:rsid w:val="00416F51"/>
    <w:rsid w:val="00417B56"/>
    <w:rsid w:val="00420392"/>
    <w:rsid w:val="0042106D"/>
    <w:rsid w:val="00422588"/>
    <w:rsid w:val="00422C5C"/>
    <w:rsid w:val="0042499C"/>
    <w:rsid w:val="00425395"/>
    <w:rsid w:val="00425C36"/>
    <w:rsid w:val="00426055"/>
    <w:rsid w:val="00427715"/>
    <w:rsid w:val="00427B00"/>
    <w:rsid w:val="00427B54"/>
    <w:rsid w:val="00431335"/>
    <w:rsid w:val="004317DB"/>
    <w:rsid w:val="00431B44"/>
    <w:rsid w:val="004343FA"/>
    <w:rsid w:val="00436C10"/>
    <w:rsid w:val="004405CD"/>
    <w:rsid w:val="004420A9"/>
    <w:rsid w:val="0044218B"/>
    <w:rsid w:val="00442490"/>
    <w:rsid w:val="00443722"/>
    <w:rsid w:val="00443A7D"/>
    <w:rsid w:val="004447FC"/>
    <w:rsid w:val="0044748D"/>
    <w:rsid w:val="004475A0"/>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558A"/>
    <w:rsid w:val="00467093"/>
    <w:rsid w:val="004671B3"/>
    <w:rsid w:val="00470278"/>
    <w:rsid w:val="00471ABD"/>
    <w:rsid w:val="00472355"/>
    <w:rsid w:val="0047257D"/>
    <w:rsid w:val="00473488"/>
    <w:rsid w:val="0047434B"/>
    <w:rsid w:val="004757B9"/>
    <w:rsid w:val="00475A08"/>
    <w:rsid w:val="00475F6F"/>
    <w:rsid w:val="00476CDB"/>
    <w:rsid w:val="00477432"/>
    <w:rsid w:val="00481DEF"/>
    <w:rsid w:val="0048362C"/>
    <w:rsid w:val="004861F7"/>
    <w:rsid w:val="0048635F"/>
    <w:rsid w:val="00486FCF"/>
    <w:rsid w:val="00494386"/>
    <w:rsid w:val="00494449"/>
    <w:rsid w:val="00496BFE"/>
    <w:rsid w:val="004A2189"/>
    <w:rsid w:val="004A5658"/>
    <w:rsid w:val="004B02BC"/>
    <w:rsid w:val="004B339A"/>
    <w:rsid w:val="004C00E3"/>
    <w:rsid w:val="004C0C3A"/>
    <w:rsid w:val="004C4CAA"/>
    <w:rsid w:val="004C5C55"/>
    <w:rsid w:val="004C6F63"/>
    <w:rsid w:val="004C7CD7"/>
    <w:rsid w:val="004D1AF5"/>
    <w:rsid w:val="004D585C"/>
    <w:rsid w:val="004E082D"/>
    <w:rsid w:val="004E0E04"/>
    <w:rsid w:val="004E1E60"/>
    <w:rsid w:val="004E4CD5"/>
    <w:rsid w:val="004E588A"/>
    <w:rsid w:val="004F32A1"/>
    <w:rsid w:val="004F3415"/>
    <w:rsid w:val="004F64B0"/>
    <w:rsid w:val="004F69B3"/>
    <w:rsid w:val="004F726B"/>
    <w:rsid w:val="005014DC"/>
    <w:rsid w:val="00502A0A"/>
    <w:rsid w:val="00503167"/>
    <w:rsid w:val="0050347C"/>
    <w:rsid w:val="00504C3A"/>
    <w:rsid w:val="00505702"/>
    <w:rsid w:val="0051013E"/>
    <w:rsid w:val="00514881"/>
    <w:rsid w:val="00515771"/>
    <w:rsid w:val="005201C6"/>
    <w:rsid w:val="00520922"/>
    <w:rsid w:val="00520D37"/>
    <w:rsid w:val="005236B6"/>
    <w:rsid w:val="00524200"/>
    <w:rsid w:val="00525A6E"/>
    <w:rsid w:val="00527F1B"/>
    <w:rsid w:val="00530BDD"/>
    <w:rsid w:val="00531434"/>
    <w:rsid w:val="00531C98"/>
    <w:rsid w:val="005320C3"/>
    <w:rsid w:val="00532BBD"/>
    <w:rsid w:val="00534041"/>
    <w:rsid w:val="00534E9C"/>
    <w:rsid w:val="005371EE"/>
    <w:rsid w:val="00544A1D"/>
    <w:rsid w:val="00551404"/>
    <w:rsid w:val="00551AFB"/>
    <w:rsid w:val="005522A6"/>
    <w:rsid w:val="0055291F"/>
    <w:rsid w:val="00553346"/>
    <w:rsid w:val="00555D36"/>
    <w:rsid w:val="00555F2D"/>
    <w:rsid w:val="0056041B"/>
    <w:rsid w:val="005609E5"/>
    <w:rsid w:val="00562C3A"/>
    <w:rsid w:val="005654E7"/>
    <w:rsid w:val="00567460"/>
    <w:rsid w:val="00567B93"/>
    <w:rsid w:val="00572098"/>
    <w:rsid w:val="00572377"/>
    <w:rsid w:val="005744F8"/>
    <w:rsid w:val="00576D51"/>
    <w:rsid w:val="00580D58"/>
    <w:rsid w:val="00582992"/>
    <w:rsid w:val="00582BB8"/>
    <w:rsid w:val="00585EF8"/>
    <w:rsid w:val="0058795F"/>
    <w:rsid w:val="00587994"/>
    <w:rsid w:val="0059334C"/>
    <w:rsid w:val="00596884"/>
    <w:rsid w:val="00597DCD"/>
    <w:rsid w:val="005A01C0"/>
    <w:rsid w:val="005A184D"/>
    <w:rsid w:val="005A190F"/>
    <w:rsid w:val="005A35C6"/>
    <w:rsid w:val="005A6619"/>
    <w:rsid w:val="005A6D6B"/>
    <w:rsid w:val="005A7C68"/>
    <w:rsid w:val="005B0A31"/>
    <w:rsid w:val="005B3188"/>
    <w:rsid w:val="005B58C5"/>
    <w:rsid w:val="005B5C4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D71CC"/>
    <w:rsid w:val="005E0386"/>
    <w:rsid w:val="005E236B"/>
    <w:rsid w:val="005E2D42"/>
    <w:rsid w:val="005E2E17"/>
    <w:rsid w:val="005E471B"/>
    <w:rsid w:val="005E4AC8"/>
    <w:rsid w:val="005E5574"/>
    <w:rsid w:val="005E6C3C"/>
    <w:rsid w:val="005E754D"/>
    <w:rsid w:val="005E7AFD"/>
    <w:rsid w:val="005F0AE9"/>
    <w:rsid w:val="005F39E1"/>
    <w:rsid w:val="005F627E"/>
    <w:rsid w:val="005F6F84"/>
    <w:rsid w:val="005F7270"/>
    <w:rsid w:val="005F78AB"/>
    <w:rsid w:val="006003B1"/>
    <w:rsid w:val="00600431"/>
    <w:rsid w:val="00601BA3"/>
    <w:rsid w:val="00602844"/>
    <w:rsid w:val="00603925"/>
    <w:rsid w:val="00603953"/>
    <w:rsid w:val="00604B7E"/>
    <w:rsid w:val="00606B35"/>
    <w:rsid w:val="006071E3"/>
    <w:rsid w:val="00607A0A"/>
    <w:rsid w:val="00610C8C"/>
    <w:rsid w:val="00611536"/>
    <w:rsid w:val="00611CCD"/>
    <w:rsid w:val="00613FE4"/>
    <w:rsid w:val="00615087"/>
    <w:rsid w:val="00620373"/>
    <w:rsid w:val="00621767"/>
    <w:rsid w:val="00621CA0"/>
    <w:rsid w:val="006220C1"/>
    <w:rsid w:val="006220D7"/>
    <w:rsid w:val="00623B18"/>
    <w:rsid w:val="00623C82"/>
    <w:rsid w:val="00624312"/>
    <w:rsid w:val="00626449"/>
    <w:rsid w:val="00627E2C"/>
    <w:rsid w:val="0063028C"/>
    <w:rsid w:val="00630B8F"/>
    <w:rsid w:val="00630BEF"/>
    <w:rsid w:val="00631E61"/>
    <w:rsid w:val="00634A7C"/>
    <w:rsid w:val="006369F0"/>
    <w:rsid w:val="00644808"/>
    <w:rsid w:val="00644E14"/>
    <w:rsid w:val="00645528"/>
    <w:rsid w:val="00645771"/>
    <w:rsid w:val="00647585"/>
    <w:rsid w:val="006476A4"/>
    <w:rsid w:val="006549BA"/>
    <w:rsid w:val="0065565B"/>
    <w:rsid w:val="006561B5"/>
    <w:rsid w:val="0065688C"/>
    <w:rsid w:val="006571CF"/>
    <w:rsid w:val="006571D0"/>
    <w:rsid w:val="006574F4"/>
    <w:rsid w:val="00662B68"/>
    <w:rsid w:val="00662C57"/>
    <w:rsid w:val="006636A3"/>
    <w:rsid w:val="00665089"/>
    <w:rsid w:val="00665728"/>
    <w:rsid w:val="006672AE"/>
    <w:rsid w:val="00667312"/>
    <w:rsid w:val="00671E0F"/>
    <w:rsid w:val="006738F5"/>
    <w:rsid w:val="006750F2"/>
    <w:rsid w:val="00676976"/>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1D7C"/>
    <w:rsid w:val="006A2C02"/>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02BE"/>
    <w:rsid w:val="006C6102"/>
    <w:rsid w:val="006C6A89"/>
    <w:rsid w:val="006D0AB4"/>
    <w:rsid w:val="006D482A"/>
    <w:rsid w:val="006D614F"/>
    <w:rsid w:val="006D63F0"/>
    <w:rsid w:val="006E28E9"/>
    <w:rsid w:val="006E3E83"/>
    <w:rsid w:val="006E4CDA"/>
    <w:rsid w:val="006E54A3"/>
    <w:rsid w:val="006F1D30"/>
    <w:rsid w:val="006F26D9"/>
    <w:rsid w:val="006F2B22"/>
    <w:rsid w:val="006F535B"/>
    <w:rsid w:val="007004E5"/>
    <w:rsid w:val="00700998"/>
    <w:rsid w:val="00700ED8"/>
    <w:rsid w:val="00702B3D"/>
    <w:rsid w:val="00702E48"/>
    <w:rsid w:val="00702ECA"/>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2678A"/>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4784B"/>
    <w:rsid w:val="00751141"/>
    <w:rsid w:val="00753BD3"/>
    <w:rsid w:val="00754472"/>
    <w:rsid w:val="00755255"/>
    <w:rsid w:val="0075772D"/>
    <w:rsid w:val="00761417"/>
    <w:rsid w:val="00765976"/>
    <w:rsid w:val="00765AC6"/>
    <w:rsid w:val="007667DB"/>
    <w:rsid w:val="0076739E"/>
    <w:rsid w:val="00767E36"/>
    <w:rsid w:val="0077024A"/>
    <w:rsid w:val="00770F61"/>
    <w:rsid w:val="00771C30"/>
    <w:rsid w:val="00777891"/>
    <w:rsid w:val="00777D96"/>
    <w:rsid w:val="00781556"/>
    <w:rsid w:val="00783A4F"/>
    <w:rsid w:val="00783AEC"/>
    <w:rsid w:val="00784CC5"/>
    <w:rsid w:val="007859D5"/>
    <w:rsid w:val="00786303"/>
    <w:rsid w:val="007866A7"/>
    <w:rsid w:val="00786C65"/>
    <w:rsid w:val="00786FAA"/>
    <w:rsid w:val="007937A8"/>
    <w:rsid w:val="00794772"/>
    <w:rsid w:val="0079556D"/>
    <w:rsid w:val="007955CC"/>
    <w:rsid w:val="00796388"/>
    <w:rsid w:val="00797994"/>
    <w:rsid w:val="00797BC9"/>
    <w:rsid w:val="007A13D3"/>
    <w:rsid w:val="007A3135"/>
    <w:rsid w:val="007A3C54"/>
    <w:rsid w:val="007A4BD0"/>
    <w:rsid w:val="007A681A"/>
    <w:rsid w:val="007B0613"/>
    <w:rsid w:val="007B069A"/>
    <w:rsid w:val="007B0AE6"/>
    <w:rsid w:val="007B19AC"/>
    <w:rsid w:val="007B4B96"/>
    <w:rsid w:val="007B5D75"/>
    <w:rsid w:val="007B5F64"/>
    <w:rsid w:val="007B7548"/>
    <w:rsid w:val="007C058B"/>
    <w:rsid w:val="007C2B60"/>
    <w:rsid w:val="007C2FFB"/>
    <w:rsid w:val="007C3537"/>
    <w:rsid w:val="007C598D"/>
    <w:rsid w:val="007C61D5"/>
    <w:rsid w:val="007C6460"/>
    <w:rsid w:val="007C74A7"/>
    <w:rsid w:val="007D0E13"/>
    <w:rsid w:val="007D3F76"/>
    <w:rsid w:val="007D3F99"/>
    <w:rsid w:val="007D44F0"/>
    <w:rsid w:val="007D45F1"/>
    <w:rsid w:val="007D4BB1"/>
    <w:rsid w:val="007D690E"/>
    <w:rsid w:val="007D71E3"/>
    <w:rsid w:val="007D7208"/>
    <w:rsid w:val="007E1C2B"/>
    <w:rsid w:val="007E222A"/>
    <w:rsid w:val="007E4A26"/>
    <w:rsid w:val="007E582D"/>
    <w:rsid w:val="007F1E67"/>
    <w:rsid w:val="007F3257"/>
    <w:rsid w:val="007F3D20"/>
    <w:rsid w:val="007F5394"/>
    <w:rsid w:val="007F60A8"/>
    <w:rsid w:val="0080046D"/>
    <w:rsid w:val="00801EB8"/>
    <w:rsid w:val="00804698"/>
    <w:rsid w:val="008047C6"/>
    <w:rsid w:val="00804E1D"/>
    <w:rsid w:val="0080655F"/>
    <w:rsid w:val="00807D5B"/>
    <w:rsid w:val="00810A4B"/>
    <w:rsid w:val="00810E4D"/>
    <w:rsid w:val="008117C3"/>
    <w:rsid w:val="00811935"/>
    <w:rsid w:val="0081235D"/>
    <w:rsid w:val="00817D02"/>
    <w:rsid w:val="00821087"/>
    <w:rsid w:val="00821F87"/>
    <w:rsid w:val="00822F9F"/>
    <w:rsid w:val="00833082"/>
    <w:rsid w:val="00833BDB"/>
    <w:rsid w:val="008340CD"/>
    <w:rsid w:val="00835BFB"/>
    <w:rsid w:val="00836038"/>
    <w:rsid w:val="00837123"/>
    <w:rsid w:val="008374B8"/>
    <w:rsid w:val="00842C40"/>
    <w:rsid w:val="00847298"/>
    <w:rsid w:val="00847EFF"/>
    <w:rsid w:val="008506C4"/>
    <w:rsid w:val="00853613"/>
    <w:rsid w:val="00855C93"/>
    <w:rsid w:val="008560DB"/>
    <w:rsid w:val="0085643B"/>
    <w:rsid w:val="00857DE2"/>
    <w:rsid w:val="00857E8B"/>
    <w:rsid w:val="008646D7"/>
    <w:rsid w:val="00864CDC"/>
    <w:rsid w:val="00867F86"/>
    <w:rsid w:val="00871213"/>
    <w:rsid w:val="00871618"/>
    <w:rsid w:val="00871BFC"/>
    <w:rsid w:val="00872418"/>
    <w:rsid w:val="00872C56"/>
    <w:rsid w:val="008748A6"/>
    <w:rsid w:val="00875B03"/>
    <w:rsid w:val="00876C8E"/>
    <w:rsid w:val="00880354"/>
    <w:rsid w:val="00882183"/>
    <w:rsid w:val="00884FF3"/>
    <w:rsid w:val="00886818"/>
    <w:rsid w:val="00887144"/>
    <w:rsid w:val="008909B3"/>
    <w:rsid w:val="0089170B"/>
    <w:rsid w:val="0089181E"/>
    <w:rsid w:val="00893743"/>
    <w:rsid w:val="008940CA"/>
    <w:rsid w:val="008965FA"/>
    <w:rsid w:val="0089707B"/>
    <w:rsid w:val="008A048B"/>
    <w:rsid w:val="008A1CA5"/>
    <w:rsid w:val="008A2936"/>
    <w:rsid w:val="008A29AA"/>
    <w:rsid w:val="008A7B17"/>
    <w:rsid w:val="008B03DC"/>
    <w:rsid w:val="008B3BE2"/>
    <w:rsid w:val="008B427A"/>
    <w:rsid w:val="008B47FA"/>
    <w:rsid w:val="008B7A9E"/>
    <w:rsid w:val="008C05EC"/>
    <w:rsid w:val="008C2923"/>
    <w:rsid w:val="008C3E02"/>
    <w:rsid w:val="008C4325"/>
    <w:rsid w:val="008C5513"/>
    <w:rsid w:val="008C5B68"/>
    <w:rsid w:val="008C6CBC"/>
    <w:rsid w:val="008C6E0E"/>
    <w:rsid w:val="008C7242"/>
    <w:rsid w:val="008D0498"/>
    <w:rsid w:val="008D0A9C"/>
    <w:rsid w:val="008D124F"/>
    <w:rsid w:val="008D2B4D"/>
    <w:rsid w:val="008D2EE6"/>
    <w:rsid w:val="008D4255"/>
    <w:rsid w:val="008D5E7E"/>
    <w:rsid w:val="008D71E9"/>
    <w:rsid w:val="008E04C4"/>
    <w:rsid w:val="008E2648"/>
    <w:rsid w:val="008E3305"/>
    <w:rsid w:val="008E3982"/>
    <w:rsid w:val="008E3ABC"/>
    <w:rsid w:val="008E433D"/>
    <w:rsid w:val="008E4688"/>
    <w:rsid w:val="008E50F6"/>
    <w:rsid w:val="008E662D"/>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ABC"/>
    <w:rsid w:val="0092128B"/>
    <w:rsid w:val="00921839"/>
    <w:rsid w:val="00921AB9"/>
    <w:rsid w:val="00922693"/>
    <w:rsid w:val="00922833"/>
    <w:rsid w:val="00924415"/>
    <w:rsid w:val="0092537E"/>
    <w:rsid w:val="00925616"/>
    <w:rsid w:val="009263DE"/>
    <w:rsid w:val="00926B74"/>
    <w:rsid w:val="00927610"/>
    <w:rsid w:val="00931110"/>
    <w:rsid w:val="00934BFE"/>
    <w:rsid w:val="009373E1"/>
    <w:rsid w:val="00937689"/>
    <w:rsid w:val="009423D3"/>
    <w:rsid w:val="00943C6F"/>
    <w:rsid w:val="009456C8"/>
    <w:rsid w:val="00945DA9"/>
    <w:rsid w:val="00947AC0"/>
    <w:rsid w:val="009514CB"/>
    <w:rsid w:val="00955BB2"/>
    <w:rsid w:val="009606D4"/>
    <w:rsid w:val="00961DA1"/>
    <w:rsid w:val="009626AB"/>
    <w:rsid w:val="009636B6"/>
    <w:rsid w:val="00966632"/>
    <w:rsid w:val="0097104D"/>
    <w:rsid w:val="0097153D"/>
    <w:rsid w:val="00972038"/>
    <w:rsid w:val="00972857"/>
    <w:rsid w:val="00974567"/>
    <w:rsid w:val="0097460C"/>
    <w:rsid w:val="00976DDC"/>
    <w:rsid w:val="00983403"/>
    <w:rsid w:val="00983AFF"/>
    <w:rsid w:val="009872CA"/>
    <w:rsid w:val="009874F8"/>
    <w:rsid w:val="00990EF1"/>
    <w:rsid w:val="00996C02"/>
    <w:rsid w:val="009A0571"/>
    <w:rsid w:val="009A0C0F"/>
    <w:rsid w:val="009A0FF2"/>
    <w:rsid w:val="009A18E9"/>
    <w:rsid w:val="009A2486"/>
    <w:rsid w:val="009A3270"/>
    <w:rsid w:val="009A6023"/>
    <w:rsid w:val="009A68D9"/>
    <w:rsid w:val="009B1CCB"/>
    <w:rsid w:val="009B1DCC"/>
    <w:rsid w:val="009B3074"/>
    <w:rsid w:val="009B3E8B"/>
    <w:rsid w:val="009B4285"/>
    <w:rsid w:val="009B4C6C"/>
    <w:rsid w:val="009B53FC"/>
    <w:rsid w:val="009B5BDD"/>
    <w:rsid w:val="009B6F97"/>
    <w:rsid w:val="009C2C42"/>
    <w:rsid w:val="009C6A57"/>
    <w:rsid w:val="009C75D1"/>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5ED7"/>
    <w:rsid w:val="009E60BE"/>
    <w:rsid w:val="009E6A41"/>
    <w:rsid w:val="009E6AB6"/>
    <w:rsid w:val="009E78D5"/>
    <w:rsid w:val="009F2049"/>
    <w:rsid w:val="009F6178"/>
    <w:rsid w:val="009F70A2"/>
    <w:rsid w:val="00A0118A"/>
    <w:rsid w:val="00A04CB8"/>
    <w:rsid w:val="00A0597E"/>
    <w:rsid w:val="00A11570"/>
    <w:rsid w:val="00A150B3"/>
    <w:rsid w:val="00A1635C"/>
    <w:rsid w:val="00A166D0"/>
    <w:rsid w:val="00A22126"/>
    <w:rsid w:val="00A22253"/>
    <w:rsid w:val="00A231C7"/>
    <w:rsid w:val="00A23ABA"/>
    <w:rsid w:val="00A240E5"/>
    <w:rsid w:val="00A244EE"/>
    <w:rsid w:val="00A258D9"/>
    <w:rsid w:val="00A27E08"/>
    <w:rsid w:val="00A303C5"/>
    <w:rsid w:val="00A30F50"/>
    <w:rsid w:val="00A3128E"/>
    <w:rsid w:val="00A3224F"/>
    <w:rsid w:val="00A33140"/>
    <w:rsid w:val="00A333C7"/>
    <w:rsid w:val="00A33CBE"/>
    <w:rsid w:val="00A35432"/>
    <w:rsid w:val="00A36AB2"/>
    <w:rsid w:val="00A37829"/>
    <w:rsid w:val="00A40969"/>
    <w:rsid w:val="00A42266"/>
    <w:rsid w:val="00A4311E"/>
    <w:rsid w:val="00A4364C"/>
    <w:rsid w:val="00A43AFA"/>
    <w:rsid w:val="00A43BF0"/>
    <w:rsid w:val="00A43D17"/>
    <w:rsid w:val="00A4411B"/>
    <w:rsid w:val="00A45F18"/>
    <w:rsid w:val="00A47130"/>
    <w:rsid w:val="00A478A1"/>
    <w:rsid w:val="00A50DB3"/>
    <w:rsid w:val="00A51880"/>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3F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1EBB"/>
    <w:rsid w:val="00AA2E68"/>
    <w:rsid w:val="00AA3292"/>
    <w:rsid w:val="00AA7675"/>
    <w:rsid w:val="00AB02E4"/>
    <w:rsid w:val="00AB1448"/>
    <w:rsid w:val="00AB1A3C"/>
    <w:rsid w:val="00AB1DE2"/>
    <w:rsid w:val="00AB41C7"/>
    <w:rsid w:val="00AB4317"/>
    <w:rsid w:val="00AB4A93"/>
    <w:rsid w:val="00AB5332"/>
    <w:rsid w:val="00AC5E5D"/>
    <w:rsid w:val="00AC6915"/>
    <w:rsid w:val="00AD1876"/>
    <w:rsid w:val="00AD316C"/>
    <w:rsid w:val="00AD3726"/>
    <w:rsid w:val="00AD6556"/>
    <w:rsid w:val="00AD7C87"/>
    <w:rsid w:val="00AE1C6E"/>
    <w:rsid w:val="00AE35D1"/>
    <w:rsid w:val="00AE36EF"/>
    <w:rsid w:val="00AE4A2A"/>
    <w:rsid w:val="00AE5757"/>
    <w:rsid w:val="00AE785D"/>
    <w:rsid w:val="00AF2648"/>
    <w:rsid w:val="00AF3519"/>
    <w:rsid w:val="00AF3E5A"/>
    <w:rsid w:val="00AF4EE7"/>
    <w:rsid w:val="00AF7010"/>
    <w:rsid w:val="00B00054"/>
    <w:rsid w:val="00B00198"/>
    <w:rsid w:val="00B03185"/>
    <w:rsid w:val="00B03442"/>
    <w:rsid w:val="00B03785"/>
    <w:rsid w:val="00B03D11"/>
    <w:rsid w:val="00B0511C"/>
    <w:rsid w:val="00B07119"/>
    <w:rsid w:val="00B1143E"/>
    <w:rsid w:val="00B12267"/>
    <w:rsid w:val="00B157D4"/>
    <w:rsid w:val="00B166A8"/>
    <w:rsid w:val="00B16A34"/>
    <w:rsid w:val="00B223F8"/>
    <w:rsid w:val="00B23DAF"/>
    <w:rsid w:val="00B2425C"/>
    <w:rsid w:val="00B2659C"/>
    <w:rsid w:val="00B276F2"/>
    <w:rsid w:val="00B27A86"/>
    <w:rsid w:val="00B305E7"/>
    <w:rsid w:val="00B30A24"/>
    <w:rsid w:val="00B32E88"/>
    <w:rsid w:val="00B33057"/>
    <w:rsid w:val="00B33072"/>
    <w:rsid w:val="00B3422F"/>
    <w:rsid w:val="00B3557B"/>
    <w:rsid w:val="00B355A8"/>
    <w:rsid w:val="00B36595"/>
    <w:rsid w:val="00B36C23"/>
    <w:rsid w:val="00B37082"/>
    <w:rsid w:val="00B37B58"/>
    <w:rsid w:val="00B41F46"/>
    <w:rsid w:val="00B421AB"/>
    <w:rsid w:val="00B442A3"/>
    <w:rsid w:val="00B455CC"/>
    <w:rsid w:val="00B4585A"/>
    <w:rsid w:val="00B46B1F"/>
    <w:rsid w:val="00B46E41"/>
    <w:rsid w:val="00B506BD"/>
    <w:rsid w:val="00B51445"/>
    <w:rsid w:val="00B5455B"/>
    <w:rsid w:val="00B54566"/>
    <w:rsid w:val="00B54C8F"/>
    <w:rsid w:val="00B55221"/>
    <w:rsid w:val="00B55698"/>
    <w:rsid w:val="00B559E5"/>
    <w:rsid w:val="00B55B9C"/>
    <w:rsid w:val="00B5610A"/>
    <w:rsid w:val="00B57CA1"/>
    <w:rsid w:val="00B57DFA"/>
    <w:rsid w:val="00B57ECC"/>
    <w:rsid w:val="00B608B9"/>
    <w:rsid w:val="00B611DC"/>
    <w:rsid w:val="00B6175B"/>
    <w:rsid w:val="00B62C2F"/>
    <w:rsid w:val="00B62D78"/>
    <w:rsid w:val="00B63691"/>
    <w:rsid w:val="00B637B2"/>
    <w:rsid w:val="00B64E18"/>
    <w:rsid w:val="00B66C6D"/>
    <w:rsid w:val="00B6737A"/>
    <w:rsid w:val="00B6799C"/>
    <w:rsid w:val="00B70257"/>
    <w:rsid w:val="00B702F8"/>
    <w:rsid w:val="00B7101B"/>
    <w:rsid w:val="00B7103C"/>
    <w:rsid w:val="00B72C39"/>
    <w:rsid w:val="00B755B8"/>
    <w:rsid w:val="00B756CA"/>
    <w:rsid w:val="00B75F87"/>
    <w:rsid w:val="00B77DB9"/>
    <w:rsid w:val="00B8096F"/>
    <w:rsid w:val="00B80B83"/>
    <w:rsid w:val="00B81116"/>
    <w:rsid w:val="00B8199A"/>
    <w:rsid w:val="00B81C8B"/>
    <w:rsid w:val="00B81E20"/>
    <w:rsid w:val="00B81EB3"/>
    <w:rsid w:val="00B82046"/>
    <w:rsid w:val="00B832FD"/>
    <w:rsid w:val="00B84393"/>
    <w:rsid w:val="00B855D6"/>
    <w:rsid w:val="00B8570D"/>
    <w:rsid w:val="00B864DE"/>
    <w:rsid w:val="00B865F9"/>
    <w:rsid w:val="00B868A5"/>
    <w:rsid w:val="00B86B0B"/>
    <w:rsid w:val="00B92E84"/>
    <w:rsid w:val="00B933AB"/>
    <w:rsid w:val="00B94AE8"/>
    <w:rsid w:val="00B94B83"/>
    <w:rsid w:val="00B9646B"/>
    <w:rsid w:val="00B96F8C"/>
    <w:rsid w:val="00BA16E8"/>
    <w:rsid w:val="00BA6269"/>
    <w:rsid w:val="00BB0260"/>
    <w:rsid w:val="00BB0300"/>
    <w:rsid w:val="00BB1AE8"/>
    <w:rsid w:val="00BB336B"/>
    <w:rsid w:val="00BB346E"/>
    <w:rsid w:val="00BB380A"/>
    <w:rsid w:val="00BB3BB6"/>
    <w:rsid w:val="00BB655D"/>
    <w:rsid w:val="00BB68B9"/>
    <w:rsid w:val="00BC0A89"/>
    <w:rsid w:val="00BC104E"/>
    <w:rsid w:val="00BC412E"/>
    <w:rsid w:val="00BD2FCB"/>
    <w:rsid w:val="00BD324E"/>
    <w:rsid w:val="00BD4F29"/>
    <w:rsid w:val="00BD500F"/>
    <w:rsid w:val="00BD6436"/>
    <w:rsid w:val="00BD6888"/>
    <w:rsid w:val="00BE0B4B"/>
    <w:rsid w:val="00BE1A75"/>
    <w:rsid w:val="00BE2841"/>
    <w:rsid w:val="00BE2A95"/>
    <w:rsid w:val="00BE4314"/>
    <w:rsid w:val="00BE6420"/>
    <w:rsid w:val="00BE778F"/>
    <w:rsid w:val="00BF0922"/>
    <w:rsid w:val="00BF16A2"/>
    <w:rsid w:val="00BF17D9"/>
    <w:rsid w:val="00BF311F"/>
    <w:rsid w:val="00BF5A16"/>
    <w:rsid w:val="00BF7262"/>
    <w:rsid w:val="00C020AF"/>
    <w:rsid w:val="00C02F4E"/>
    <w:rsid w:val="00C03111"/>
    <w:rsid w:val="00C03903"/>
    <w:rsid w:val="00C03C29"/>
    <w:rsid w:val="00C05CD0"/>
    <w:rsid w:val="00C06295"/>
    <w:rsid w:val="00C069B0"/>
    <w:rsid w:val="00C10C0E"/>
    <w:rsid w:val="00C11727"/>
    <w:rsid w:val="00C13550"/>
    <w:rsid w:val="00C138AC"/>
    <w:rsid w:val="00C144CE"/>
    <w:rsid w:val="00C146AB"/>
    <w:rsid w:val="00C149C8"/>
    <w:rsid w:val="00C16028"/>
    <w:rsid w:val="00C16945"/>
    <w:rsid w:val="00C16DA8"/>
    <w:rsid w:val="00C17F06"/>
    <w:rsid w:val="00C21778"/>
    <w:rsid w:val="00C22AD6"/>
    <w:rsid w:val="00C23C95"/>
    <w:rsid w:val="00C242D6"/>
    <w:rsid w:val="00C2491F"/>
    <w:rsid w:val="00C31DF1"/>
    <w:rsid w:val="00C31F69"/>
    <w:rsid w:val="00C34D37"/>
    <w:rsid w:val="00C3502E"/>
    <w:rsid w:val="00C3504D"/>
    <w:rsid w:val="00C3619E"/>
    <w:rsid w:val="00C4189D"/>
    <w:rsid w:val="00C41BCC"/>
    <w:rsid w:val="00C4323C"/>
    <w:rsid w:val="00C4459C"/>
    <w:rsid w:val="00C47C4C"/>
    <w:rsid w:val="00C511F9"/>
    <w:rsid w:val="00C51E2A"/>
    <w:rsid w:val="00C52580"/>
    <w:rsid w:val="00C5419E"/>
    <w:rsid w:val="00C5425F"/>
    <w:rsid w:val="00C55295"/>
    <w:rsid w:val="00C56C16"/>
    <w:rsid w:val="00C57FCA"/>
    <w:rsid w:val="00C606A2"/>
    <w:rsid w:val="00C61753"/>
    <w:rsid w:val="00C620EE"/>
    <w:rsid w:val="00C6286A"/>
    <w:rsid w:val="00C651F1"/>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802B6"/>
    <w:rsid w:val="00C80C9F"/>
    <w:rsid w:val="00C80CAF"/>
    <w:rsid w:val="00C85D58"/>
    <w:rsid w:val="00C86222"/>
    <w:rsid w:val="00C8731E"/>
    <w:rsid w:val="00C92D53"/>
    <w:rsid w:val="00C92E03"/>
    <w:rsid w:val="00C93EFD"/>
    <w:rsid w:val="00C9422F"/>
    <w:rsid w:val="00C94693"/>
    <w:rsid w:val="00C95164"/>
    <w:rsid w:val="00C958BE"/>
    <w:rsid w:val="00CA0759"/>
    <w:rsid w:val="00CA08FA"/>
    <w:rsid w:val="00CA448A"/>
    <w:rsid w:val="00CA461F"/>
    <w:rsid w:val="00CA5EF5"/>
    <w:rsid w:val="00CA6FF0"/>
    <w:rsid w:val="00CA7A39"/>
    <w:rsid w:val="00CB074D"/>
    <w:rsid w:val="00CB1922"/>
    <w:rsid w:val="00CB3057"/>
    <w:rsid w:val="00CB54BF"/>
    <w:rsid w:val="00CB67EC"/>
    <w:rsid w:val="00CB75CB"/>
    <w:rsid w:val="00CB76B5"/>
    <w:rsid w:val="00CB79CD"/>
    <w:rsid w:val="00CC21B1"/>
    <w:rsid w:val="00CC275B"/>
    <w:rsid w:val="00CC309B"/>
    <w:rsid w:val="00CC66FD"/>
    <w:rsid w:val="00CC7FE1"/>
    <w:rsid w:val="00CD03F8"/>
    <w:rsid w:val="00CD10A2"/>
    <w:rsid w:val="00CD2131"/>
    <w:rsid w:val="00CD21AF"/>
    <w:rsid w:val="00CD3F88"/>
    <w:rsid w:val="00CD402B"/>
    <w:rsid w:val="00CD41C7"/>
    <w:rsid w:val="00CD5158"/>
    <w:rsid w:val="00CD5783"/>
    <w:rsid w:val="00CD5958"/>
    <w:rsid w:val="00CE3241"/>
    <w:rsid w:val="00CE6C3F"/>
    <w:rsid w:val="00CF14D9"/>
    <w:rsid w:val="00CF2877"/>
    <w:rsid w:val="00CF7E76"/>
    <w:rsid w:val="00D00012"/>
    <w:rsid w:val="00D00EE3"/>
    <w:rsid w:val="00D01244"/>
    <w:rsid w:val="00D028B6"/>
    <w:rsid w:val="00D02D2E"/>
    <w:rsid w:val="00D03A9F"/>
    <w:rsid w:val="00D03DDB"/>
    <w:rsid w:val="00D041FF"/>
    <w:rsid w:val="00D04DF0"/>
    <w:rsid w:val="00D06365"/>
    <w:rsid w:val="00D10DEE"/>
    <w:rsid w:val="00D13066"/>
    <w:rsid w:val="00D153B3"/>
    <w:rsid w:val="00D15431"/>
    <w:rsid w:val="00D16BD8"/>
    <w:rsid w:val="00D17BD2"/>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DB0"/>
    <w:rsid w:val="00D3766B"/>
    <w:rsid w:val="00D415FF"/>
    <w:rsid w:val="00D429D5"/>
    <w:rsid w:val="00D44A4D"/>
    <w:rsid w:val="00D44F67"/>
    <w:rsid w:val="00D46AB4"/>
    <w:rsid w:val="00D50E1B"/>
    <w:rsid w:val="00D5109C"/>
    <w:rsid w:val="00D51B7B"/>
    <w:rsid w:val="00D53DBE"/>
    <w:rsid w:val="00D55A88"/>
    <w:rsid w:val="00D5702E"/>
    <w:rsid w:val="00D60B5C"/>
    <w:rsid w:val="00D61F7D"/>
    <w:rsid w:val="00D6362F"/>
    <w:rsid w:val="00D63FE9"/>
    <w:rsid w:val="00D65A34"/>
    <w:rsid w:val="00D70147"/>
    <w:rsid w:val="00D70CAB"/>
    <w:rsid w:val="00D7118D"/>
    <w:rsid w:val="00D732FB"/>
    <w:rsid w:val="00D75A21"/>
    <w:rsid w:val="00D760A5"/>
    <w:rsid w:val="00D776C6"/>
    <w:rsid w:val="00D81452"/>
    <w:rsid w:val="00D81B23"/>
    <w:rsid w:val="00D82413"/>
    <w:rsid w:val="00D834DB"/>
    <w:rsid w:val="00D83DCC"/>
    <w:rsid w:val="00D83EB3"/>
    <w:rsid w:val="00D845FC"/>
    <w:rsid w:val="00D84764"/>
    <w:rsid w:val="00D850CB"/>
    <w:rsid w:val="00D85255"/>
    <w:rsid w:val="00D85449"/>
    <w:rsid w:val="00D85A7D"/>
    <w:rsid w:val="00D86611"/>
    <w:rsid w:val="00D868BB"/>
    <w:rsid w:val="00D86E25"/>
    <w:rsid w:val="00D87260"/>
    <w:rsid w:val="00D916B2"/>
    <w:rsid w:val="00D92DCD"/>
    <w:rsid w:val="00D94BE1"/>
    <w:rsid w:val="00D94C54"/>
    <w:rsid w:val="00D94E40"/>
    <w:rsid w:val="00D957B1"/>
    <w:rsid w:val="00D96ED6"/>
    <w:rsid w:val="00DA01DF"/>
    <w:rsid w:val="00DA2001"/>
    <w:rsid w:val="00DA2529"/>
    <w:rsid w:val="00DA2F32"/>
    <w:rsid w:val="00DA5B1C"/>
    <w:rsid w:val="00DA641F"/>
    <w:rsid w:val="00DA7633"/>
    <w:rsid w:val="00DA775E"/>
    <w:rsid w:val="00DB09B4"/>
    <w:rsid w:val="00DB2E7C"/>
    <w:rsid w:val="00DB38B6"/>
    <w:rsid w:val="00DB4852"/>
    <w:rsid w:val="00DB4969"/>
    <w:rsid w:val="00DB5770"/>
    <w:rsid w:val="00DB5B3A"/>
    <w:rsid w:val="00DB6E3A"/>
    <w:rsid w:val="00DB7995"/>
    <w:rsid w:val="00DC05AE"/>
    <w:rsid w:val="00DC132C"/>
    <w:rsid w:val="00DC251A"/>
    <w:rsid w:val="00DC467E"/>
    <w:rsid w:val="00DC5A98"/>
    <w:rsid w:val="00DC64C3"/>
    <w:rsid w:val="00DC6AD0"/>
    <w:rsid w:val="00DD02F2"/>
    <w:rsid w:val="00DD1315"/>
    <w:rsid w:val="00DD1BE9"/>
    <w:rsid w:val="00DD26FD"/>
    <w:rsid w:val="00DD3AE5"/>
    <w:rsid w:val="00DD43A9"/>
    <w:rsid w:val="00DD4CA8"/>
    <w:rsid w:val="00DD4F43"/>
    <w:rsid w:val="00DD5058"/>
    <w:rsid w:val="00DD5DD5"/>
    <w:rsid w:val="00DE0A81"/>
    <w:rsid w:val="00DE2D21"/>
    <w:rsid w:val="00DE30C6"/>
    <w:rsid w:val="00DE4960"/>
    <w:rsid w:val="00DE52B5"/>
    <w:rsid w:val="00DE5B2C"/>
    <w:rsid w:val="00DE5EF2"/>
    <w:rsid w:val="00DE60D5"/>
    <w:rsid w:val="00DE65A2"/>
    <w:rsid w:val="00DE6DAA"/>
    <w:rsid w:val="00DE700B"/>
    <w:rsid w:val="00DE7950"/>
    <w:rsid w:val="00DF00E8"/>
    <w:rsid w:val="00DF01CC"/>
    <w:rsid w:val="00DF2232"/>
    <w:rsid w:val="00DF264F"/>
    <w:rsid w:val="00DF30AE"/>
    <w:rsid w:val="00DF4D5C"/>
    <w:rsid w:val="00E04A7C"/>
    <w:rsid w:val="00E05DED"/>
    <w:rsid w:val="00E1283F"/>
    <w:rsid w:val="00E13B27"/>
    <w:rsid w:val="00E13D4A"/>
    <w:rsid w:val="00E162B3"/>
    <w:rsid w:val="00E20184"/>
    <w:rsid w:val="00E20718"/>
    <w:rsid w:val="00E20A62"/>
    <w:rsid w:val="00E22320"/>
    <w:rsid w:val="00E232AD"/>
    <w:rsid w:val="00E2434C"/>
    <w:rsid w:val="00E251B1"/>
    <w:rsid w:val="00E31AC2"/>
    <w:rsid w:val="00E33080"/>
    <w:rsid w:val="00E33732"/>
    <w:rsid w:val="00E35A04"/>
    <w:rsid w:val="00E35E55"/>
    <w:rsid w:val="00E3743C"/>
    <w:rsid w:val="00E37D5C"/>
    <w:rsid w:val="00E415EC"/>
    <w:rsid w:val="00E415F5"/>
    <w:rsid w:val="00E43402"/>
    <w:rsid w:val="00E44AD4"/>
    <w:rsid w:val="00E502A6"/>
    <w:rsid w:val="00E51784"/>
    <w:rsid w:val="00E52290"/>
    <w:rsid w:val="00E52BAC"/>
    <w:rsid w:val="00E53580"/>
    <w:rsid w:val="00E540AB"/>
    <w:rsid w:val="00E540B2"/>
    <w:rsid w:val="00E5427F"/>
    <w:rsid w:val="00E55BAA"/>
    <w:rsid w:val="00E574D5"/>
    <w:rsid w:val="00E57A64"/>
    <w:rsid w:val="00E6283A"/>
    <w:rsid w:val="00E65201"/>
    <w:rsid w:val="00E658AC"/>
    <w:rsid w:val="00E65965"/>
    <w:rsid w:val="00E66EED"/>
    <w:rsid w:val="00E6735F"/>
    <w:rsid w:val="00E70207"/>
    <w:rsid w:val="00E70A27"/>
    <w:rsid w:val="00E71D31"/>
    <w:rsid w:val="00E730D1"/>
    <w:rsid w:val="00E7412A"/>
    <w:rsid w:val="00E74D4D"/>
    <w:rsid w:val="00E75759"/>
    <w:rsid w:val="00E75D21"/>
    <w:rsid w:val="00E803FD"/>
    <w:rsid w:val="00E81817"/>
    <w:rsid w:val="00E842F7"/>
    <w:rsid w:val="00E8475E"/>
    <w:rsid w:val="00E85F2A"/>
    <w:rsid w:val="00E86735"/>
    <w:rsid w:val="00E95227"/>
    <w:rsid w:val="00E9550F"/>
    <w:rsid w:val="00E96499"/>
    <w:rsid w:val="00E96992"/>
    <w:rsid w:val="00E96BD8"/>
    <w:rsid w:val="00E96C80"/>
    <w:rsid w:val="00E9766B"/>
    <w:rsid w:val="00EA25B0"/>
    <w:rsid w:val="00EA54EE"/>
    <w:rsid w:val="00EA5E7A"/>
    <w:rsid w:val="00EB02A0"/>
    <w:rsid w:val="00EB224C"/>
    <w:rsid w:val="00EB2561"/>
    <w:rsid w:val="00EB334F"/>
    <w:rsid w:val="00EB3A33"/>
    <w:rsid w:val="00EB3AAA"/>
    <w:rsid w:val="00EB5E6C"/>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507D"/>
    <w:rsid w:val="00EE60B0"/>
    <w:rsid w:val="00EE66A6"/>
    <w:rsid w:val="00EF0BE2"/>
    <w:rsid w:val="00EF2AF8"/>
    <w:rsid w:val="00EF2D35"/>
    <w:rsid w:val="00EF3A0B"/>
    <w:rsid w:val="00EF49E6"/>
    <w:rsid w:val="00EF621E"/>
    <w:rsid w:val="00F00AB7"/>
    <w:rsid w:val="00F02F84"/>
    <w:rsid w:val="00F04274"/>
    <w:rsid w:val="00F053D9"/>
    <w:rsid w:val="00F0671B"/>
    <w:rsid w:val="00F110D7"/>
    <w:rsid w:val="00F11426"/>
    <w:rsid w:val="00F12493"/>
    <w:rsid w:val="00F13DAE"/>
    <w:rsid w:val="00F20111"/>
    <w:rsid w:val="00F2036E"/>
    <w:rsid w:val="00F23B41"/>
    <w:rsid w:val="00F2459C"/>
    <w:rsid w:val="00F24D36"/>
    <w:rsid w:val="00F25BB1"/>
    <w:rsid w:val="00F27182"/>
    <w:rsid w:val="00F317FB"/>
    <w:rsid w:val="00F31A59"/>
    <w:rsid w:val="00F33CA9"/>
    <w:rsid w:val="00F37B13"/>
    <w:rsid w:val="00F40A57"/>
    <w:rsid w:val="00F40C90"/>
    <w:rsid w:val="00F41EE1"/>
    <w:rsid w:val="00F427B5"/>
    <w:rsid w:val="00F42B35"/>
    <w:rsid w:val="00F42D38"/>
    <w:rsid w:val="00F449AE"/>
    <w:rsid w:val="00F4670A"/>
    <w:rsid w:val="00F477AB"/>
    <w:rsid w:val="00F504BC"/>
    <w:rsid w:val="00F504CF"/>
    <w:rsid w:val="00F50BD8"/>
    <w:rsid w:val="00F52B18"/>
    <w:rsid w:val="00F56001"/>
    <w:rsid w:val="00F57348"/>
    <w:rsid w:val="00F57EB6"/>
    <w:rsid w:val="00F601D0"/>
    <w:rsid w:val="00F62046"/>
    <w:rsid w:val="00F62C26"/>
    <w:rsid w:val="00F64448"/>
    <w:rsid w:val="00F6773D"/>
    <w:rsid w:val="00F7182E"/>
    <w:rsid w:val="00F718B1"/>
    <w:rsid w:val="00F71BEC"/>
    <w:rsid w:val="00F72D0A"/>
    <w:rsid w:val="00F74EF5"/>
    <w:rsid w:val="00F75536"/>
    <w:rsid w:val="00F77604"/>
    <w:rsid w:val="00F81D85"/>
    <w:rsid w:val="00F8363B"/>
    <w:rsid w:val="00F83B36"/>
    <w:rsid w:val="00F91E78"/>
    <w:rsid w:val="00F937F0"/>
    <w:rsid w:val="00F94CEF"/>
    <w:rsid w:val="00F95283"/>
    <w:rsid w:val="00F976B2"/>
    <w:rsid w:val="00F979E3"/>
    <w:rsid w:val="00FA066F"/>
    <w:rsid w:val="00FA11E8"/>
    <w:rsid w:val="00FA1AE8"/>
    <w:rsid w:val="00FA39ED"/>
    <w:rsid w:val="00FA3B6F"/>
    <w:rsid w:val="00FA534E"/>
    <w:rsid w:val="00FA6684"/>
    <w:rsid w:val="00FA78FA"/>
    <w:rsid w:val="00FB0704"/>
    <w:rsid w:val="00FB2E14"/>
    <w:rsid w:val="00FB36EA"/>
    <w:rsid w:val="00FB3A47"/>
    <w:rsid w:val="00FB561F"/>
    <w:rsid w:val="00FB762D"/>
    <w:rsid w:val="00FC03EB"/>
    <w:rsid w:val="00FC15D3"/>
    <w:rsid w:val="00FC1AD8"/>
    <w:rsid w:val="00FC237D"/>
    <w:rsid w:val="00FC2FC1"/>
    <w:rsid w:val="00FC3544"/>
    <w:rsid w:val="00FC51A4"/>
    <w:rsid w:val="00FC5F3E"/>
    <w:rsid w:val="00FC617B"/>
    <w:rsid w:val="00FC65E4"/>
    <w:rsid w:val="00FC7E2E"/>
    <w:rsid w:val="00FD01D0"/>
    <w:rsid w:val="00FD0B63"/>
    <w:rsid w:val="00FD21DC"/>
    <w:rsid w:val="00FD36D5"/>
    <w:rsid w:val="00FD3D87"/>
    <w:rsid w:val="00FD4BAE"/>
    <w:rsid w:val="00FD4C02"/>
    <w:rsid w:val="00FD4E05"/>
    <w:rsid w:val="00FD5254"/>
    <w:rsid w:val="00FD6B6D"/>
    <w:rsid w:val="00FE06F1"/>
    <w:rsid w:val="00FE0A3E"/>
    <w:rsid w:val="00FE0E05"/>
    <w:rsid w:val="00FE34EF"/>
    <w:rsid w:val="00FE55B2"/>
    <w:rsid w:val="00FE6658"/>
    <w:rsid w:val="00FE6CA9"/>
    <w:rsid w:val="00FF02C3"/>
    <w:rsid w:val="00FF23CD"/>
    <w:rsid w:val="00FF28FF"/>
    <w:rsid w:val="00FF4EE9"/>
    <w:rsid w:val="00FF5835"/>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6.xml"/><Relationship Id="rId26" Type="http://schemas.openxmlformats.org/officeDocument/2006/relationships/image" Target="media/image10.png"/><Relationship Id="rId39" Type="http://schemas.openxmlformats.org/officeDocument/2006/relationships/image" Target="media/image18.png"/><Relationship Id="rId21" Type="http://schemas.openxmlformats.org/officeDocument/2006/relationships/image" Target="media/image8.png"/><Relationship Id="rId34" Type="http://schemas.openxmlformats.org/officeDocument/2006/relationships/footer" Target="footer12.xml"/><Relationship Id="rId42" Type="http://schemas.openxmlformats.org/officeDocument/2006/relationships/image" Target="media/image21.png"/><Relationship Id="rId47" Type="http://schemas.openxmlformats.org/officeDocument/2006/relationships/image" Target="media/image23.png"/><Relationship Id="rId50"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3.png"/><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image" Target="media/image14.png"/><Relationship Id="rId37" Type="http://schemas.openxmlformats.org/officeDocument/2006/relationships/footer" Target="footer13.xml"/><Relationship Id="rId40" Type="http://schemas.openxmlformats.org/officeDocument/2006/relationships/image" Target="media/image19.png"/><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7.xml"/><Relationship Id="rId28" Type="http://schemas.openxmlformats.org/officeDocument/2006/relationships/image" Target="media/image12.png"/><Relationship Id="rId36" Type="http://schemas.openxmlformats.org/officeDocument/2006/relationships/image" Target="media/image17.png"/><Relationship Id="rId49" Type="http://schemas.openxmlformats.org/officeDocument/2006/relationships/image" Target="media/image25.png"/><Relationship Id="rId10" Type="http://schemas.openxmlformats.org/officeDocument/2006/relationships/footer" Target="footer2.xml"/><Relationship Id="rId19" Type="http://schemas.openxmlformats.org/officeDocument/2006/relationships/image" Target="media/image6.png"/><Relationship Id="rId31" Type="http://schemas.openxmlformats.org/officeDocument/2006/relationships/footer" Target="footer11.xm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image" Target="media/image11.png"/><Relationship Id="rId30" Type="http://schemas.openxmlformats.org/officeDocument/2006/relationships/footer" Target="footer10.xml"/><Relationship Id="rId35" Type="http://schemas.openxmlformats.org/officeDocument/2006/relationships/image" Target="media/image16.png"/><Relationship Id="rId43" Type="http://schemas.openxmlformats.org/officeDocument/2006/relationships/footer" Target="footer15.xml"/><Relationship Id="rId48" Type="http://schemas.openxmlformats.org/officeDocument/2006/relationships/image" Target="media/image24.png"/><Relationship Id="rId8" Type="http://schemas.openxmlformats.org/officeDocument/2006/relationships/image" Target="media/image1.e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15.png"/><Relationship Id="rId38" Type="http://schemas.openxmlformats.org/officeDocument/2006/relationships/footer" Target="footer14.xml"/><Relationship Id="rId46" Type="http://schemas.openxmlformats.org/officeDocument/2006/relationships/image" Target="media/image22.png"/><Relationship Id="rId20" Type="http://schemas.openxmlformats.org/officeDocument/2006/relationships/image" Target="media/image7.png"/><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16</Pages>
  <Words>2290</Words>
  <Characters>13053</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22</cp:revision>
  <cp:lastPrinted>2020-09-28T06:58:00Z</cp:lastPrinted>
  <dcterms:created xsi:type="dcterms:W3CDTF">2022-08-17T10:58:00Z</dcterms:created>
  <dcterms:modified xsi:type="dcterms:W3CDTF">2022-08-22T14:27:00Z</dcterms:modified>
</cp:coreProperties>
</file>