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3F" w:rsidRPr="004D2D8C" w:rsidRDefault="00B43E3F" w:rsidP="002C3A1C">
      <w:pPr>
        <w:jc w:val="both"/>
        <w:rPr>
          <w:rFonts w:ascii="Comic Sans MS" w:hAnsi="Comic Sans MS"/>
          <w:sz w:val="20"/>
          <w:szCs w:val="20"/>
        </w:rPr>
      </w:pPr>
    </w:p>
    <w:p w:rsidR="00672783" w:rsidRPr="004D2D8C" w:rsidRDefault="00672783" w:rsidP="002C3A1C">
      <w:pPr>
        <w:jc w:val="both"/>
        <w:rPr>
          <w:rFonts w:ascii="Comic Sans MS" w:hAnsi="Comic Sans MS"/>
          <w:sz w:val="20"/>
          <w:szCs w:val="20"/>
        </w:rPr>
      </w:pPr>
    </w:p>
    <w:p w:rsidR="00672783" w:rsidRPr="004D2D8C" w:rsidRDefault="00672783" w:rsidP="002C3A1C">
      <w:pPr>
        <w:jc w:val="both"/>
        <w:rPr>
          <w:rFonts w:ascii="Comic Sans MS" w:hAnsi="Comic Sans MS"/>
          <w:sz w:val="20"/>
          <w:szCs w:val="20"/>
        </w:rPr>
      </w:pPr>
    </w:p>
    <w:p w:rsidR="00672783" w:rsidRPr="004D2D8C" w:rsidRDefault="00672783" w:rsidP="002C3A1C">
      <w:pPr>
        <w:jc w:val="both"/>
        <w:rPr>
          <w:rFonts w:ascii="Comic Sans MS" w:hAnsi="Comic Sans MS"/>
          <w:sz w:val="20"/>
          <w:szCs w:val="20"/>
        </w:rPr>
      </w:pPr>
    </w:p>
    <w:p w:rsidR="00B43E3F" w:rsidRPr="004D2D8C" w:rsidRDefault="00672783" w:rsidP="00672783">
      <w:pPr>
        <w:jc w:val="center"/>
        <w:rPr>
          <w:rFonts w:ascii="Comic Sans MS" w:hAnsi="Comic Sans MS"/>
          <w:b/>
          <w:sz w:val="36"/>
          <w:szCs w:val="36"/>
        </w:rPr>
      </w:pPr>
      <w:r w:rsidRPr="004D2D8C">
        <w:rPr>
          <w:rFonts w:ascii="Comic Sans MS" w:hAnsi="Comic Sans MS"/>
          <w:b/>
          <w:sz w:val="36"/>
          <w:szCs w:val="36"/>
        </w:rPr>
        <w:t>Europska investicijska banka</w:t>
      </w:r>
    </w:p>
    <w:p w:rsidR="00672783" w:rsidRPr="004D2D8C" w:rsidRDefault="00672783" w:rsidP="00672783">
      <w:pPr>
        <w:jc w:val="center"/>
        <w:rPr>
          <w:rFonts w:ascii="Comic Sans MS" w:hAnsi="Comic Sans MS"/>
          <w:sz w:val="20"/>
          <w:szCs w:val="20"/>
        </w:rPr>
      </w:pPr>
    </w:p>
    <w:p w:rsidR="00672783" w:rsidRPr="004D2D8C" w:rsidRDefault="00672783" w:rsidP="00672783">
      <w:pPr>
        <w:jc w:val="center"/>
        <w:rPr>
          <w:rFonts w:ascii="Comic Sans MS" w:hAnsi="Comic Sans MS"/>
          <w:sz w:val="20"/>
          <w:szCs w:val="20"/>
        </w:rPr>
      </w:pPr>
    </w:p>
    <w:p w:rsidR="00672783" w:rsidRPr="004D2D8C" w:rsidRDefault="00672783" w:rsidP="00672783">
      <w:pPr>
        <w:jc w:val="center"/>
        <w:rPr>
          <w:rFonts w:ascii="Comic Sans MS" w:hAnsi="Comic Sans MS"/>
          <w:sz w:val="20"/>
          <w:szCs w:val="20"/>
        </w:rPr>
      </w:pPr>
    </w:p>
    <w:p w:rsidR="00672783" w:rsidRPr="004D2D8C" w:rsidRDefault="00672783" w:rsidP="00672783">
      <w:pPr>
        <w:jc w:val="center"/>
        <w:rPr>
          <w:rFonts w:ascii="Comic Sans MS" w:hAnsi="Comic Sans MS"/>
          <w:sz w:val="20"/>
          <w:szCs w:val="20"/>
        </w:rPr>
      </w:pPr>
      <w:r w:rsidRPr="004D2D8C">
        <w:rPr>
          <w:noProof/>
          <w:lang w:val="en-GB" w:eastAsia="en-GB"/>
        </w:rPr>
        <w:drawing>
          <wp:inline distT="0" distB="0" distL="0" distR="0">
            <wp:extent cx="3330214" cy="1630907"/>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0579" cy="1640880"/>
                    </a:xfrm>
                    <a:prstGeom prst="rect">
                      <a:avLst/>
                    </a:prstGeom>
                    <a:noFill/>
                    <a:ln>
                      <a:noFill/>
                    </a:ln>
                  </pic:spPr>
                </pic:pic>
              </a:graphicData>
            </a:graphic>
          </wp:inline>
        </w:drawing>
      </w:r>
    </w:p>
    <w:p w:rsidR="00672783" w:rsidRPr="004D2D8C" w:rsidRDefault="00672783" w:rsidP="00672783">
      <w:pPr>
        <w:jc w:val="center"/>
        <w:rPr>
          <w:rFonts w:ascii="Comic Sans MS" w:hAnsi="Comic Sans MS"/>
          <w:sz w:val="20"/>
          <w:szCs w:val="20"/>
        </w:rPr>
      </w:pPr>
    </w:p>
    <w:p w:rsidR="00672783" w:rsidRPr="004D2D8C" w:rsidRDefault="00672783" w:rsidP="00672783">
      <w:pPr>
        <w:jc w:val="center"/>
        <w:rPr>
          <w:rFonts w:ascii="Comic Sans MS" w:hAnsi="Comic Sans MS"/>
          <w:sz w:val="20"/>
          <w:szCs w:val="20"/>
        </w:rPr>
      </w:pPr>
    </w:p>
    <w:p w:rsidR="00672783" w:rsidRPr="004D2D8C" w:rsidRDefault="00672783" w:rsidP="00672783">
      <w:pPr>
        <w:jc w:val="center"/>
        <w:rPr>
          <w:rFonts w:ascii="Comic Sans MS" w:hAnsi="Comic Sans MS"/>
          <w:sz w:val="20"/>
          <w:szCs w:val="20"/>
        </w:rPr>
      </w:pPr>
    </w:p>
    <w:p w:rsidR="00B43E3F" w:rsidRPr="004D2D8C" w:rsidRDefault="00B43E3F" w:rsidP="00672783">
      <w:pPr>
        <w:jc w:val="center"/>
        <w:rPr>
          <w:rFonts w:ascii="Comic Sans MS" w:hAnsi="Comic Sans MS"/>
          <w:b/>
          <w:sz w:val="28"/>
          <w:szCs w:val="28"/>
        </w:rPr>
      </w:pPr>
      <w:r w:rsidRPr="004D2D8C">
        <w:rPr>
          <w:rFonts w:ascii="Comic Sans MS" w:hAnsi="Comic Sans MS"/>
          <w:b/>
          <w:sz w:val="28"/>
          <w:szCs w:val="28"/>
        </w:rPr>
        <w:t>EIB</w:t>
      </w:r>
      <w:r w:rsidR="00672783" w:rsidRPr="004D2D8C">
        <w:rPr>
          <w:rFonts w:ascii="Comic Sans MS" w:hAnsi="Comic Sans MS"/>
          <w:b/>
          <w:sz w:val="28"/>
          <w:szCs w:val="28"/>
        </w:rPr>
        <w:t>-ova</w:t>
      </w:r>
      <w:r w:rsidRPr="004D2D8C">
        <w:rPr>
          <w:rFonts w:ascii="Comic Sans MS" w:hAnsi="Comic Sans MS"/>
          <w:b/>
          <w:sz w:val="28"/>
          <w:szCs w:val="28"/>
        </w:rPr>
        <w:t xml:space="preserve"> </w:t>
      </w:r>
      <w:r w:rsidR="00672783" w:rsidRPr="004D2D8C">
        <w:rPr>
          <w:rFonts w:ascii="Comic Sans MS" w:hAnsi="Comic Sans MS"/>
          <w:b/>
          <w:sz w:val="28"/>
          <w:szCs w:val="28"/>
        </w:rPr>
        <w:t>Izjava o okolišnim i socijalnim načelima i standardima</w:t>
      </w:r>
      <w:r w:rsidR="00D8508A" w:rsidRPr="004D2D8C">
        <w:rPr>
          <w:rStyle w:val="FootnoteReference"/>
          <w:rFonts w:ascii="Comic Sans MS" w:hAnsi="Comic Sans MS"/>
          <w:b/>
          <w:sz w:val="28"/>
          <w:szCs w:val="28"/>
        </w:rPr>
        <w:footnoteReference w:id="1"/>
      </w:r>
    </w:p>
    <w:p w:rsidR="00672783" w:rsidRPr="004D2D8C" w:rsidRDefault="00672783" w:rsidP="00672783">
      <w:pPr>
        <w:jc w:val="center"/>
        <w:rPr>
          <w:rFonts w:ascii="Comic Sans MS" w:hAnsi="Comic Sans MS"/>
          <w:b/>
          <w:sz w:val="28"/>
          <w:szCs w:val="28"/>
        </w:rPr>
      </w:pPr>
    </w:p>
    <w:p w:rsidR="00672783" w:rsidRPr="004D2D8C" w:rsidRDefault="00672783" w:rsidP="00672783">
      <w:pPr>
        <w:jc w:val="center"/>
        <w:rPr>
          <w:rFonts w:ascii="Comic Sans MS" w:hAnsi="Comic Sans MS"/>
          <w:b/>
          <w:sz w:val="28"/>
          <w:szCs w:val="28"/>
        </w:rPr>
      </w:pPr>
    </w:p>
    <w:p w:rsidR="00672783" w:rsidRPr="004D2D8C" w:rsidRDefault="00672783" w:rsidP="00672783">
      <w:pPr>
        <w:jc w:val="center"/>
        <w:rPr>
          <w:rFonts w:ascii="Comic Sans MS" w:hAnsi="Comic Sans MS"/>
          <w:b/>
          <w:sz w:val="28"/>
          <w:szCs w:val="28"/>
        </w:rPr>
      </w:pPr>
    </w:p>
    <w:p w:rsidR="00672783" w:rsidRPr="004D2D8C" w:rsidRDefault="00672783" w:rsidP="00672783">
      <w:pPr>
        <w:jc w:val="center"/>
        <w:rPr>
          <w:rFonts w:ascii="Comic Sans MS" w:hAnsi="Comic Sans MS"/>
          <w:b/>
          <w:sz w:val="28"/>
          <w:szCs w:val="28"/>
        </w:rPr>
      </w:pPr>
    </w:p>
    <w:p w:rsidR="00B43E3F" w:rsidRPr="004D2D8C" w:rsidRDefault="00B43E3F" w:rsidP="00672783">
      <w:pPr>
        <w:jc w:val="center"/>
        <w:rPr>
          <w:rFonts w:ascii="Comic Sans MS" w:hAnsi="Comic Sans MS"/>
          <w:b/>
          <w:sz w:val="28"/>
          <w:szCs w:val="28"/>
        </w:rPr>
      </w:pPr>
      <w:r w:rsidRPr="004D2D8C">
        <w:rPr>
          <w:rFonts w:ascii="Comic Sans MS" w:hAnsi="Comic Sans MS"/>
          <w:b/>
          <w:sz w:val="28"/>
          <w:szCs w:val="28"/>
        </w:rPr>
        <w:t>2009</w:t>
      </w:r>
      <w:r w:rsidR="00672783" w:rsidRPr="004D2D8C">
        <w:rPr>
          <w:rFonts w:ascii="Comic Sans MS" w:hAnsi="Comic Sans MS"/>
          <w:b/>
          <w:sz w:val="28"/>
          <w:szCs w:val="28"/>
        </w:rPr>
        <w:t>.</w:t>
      </w:r>
    </w:p>
    <w:p w:rsidR="00D8508A" w:rsidRPr="004D2D8C" w:rsidRDefault="00D8508A">
      <w:pPr>
        <w:rPr>
          <w:rFonts w:ascii="Comic Sans MS" w:hAnsi="Comic Sans MS"/>
          <w:sz w:val="20"/>
          <w:szCs w:val="20"/>
        </w:rPr>
      </w:pPr>
      <w:r w:rsidRPr="004D2D8C">
        <w:rPr>
          <w:rFonts w:ascii="Comic Sans MS" w:hAnsi="Comic Sans MS"/>
          <w:sz w:val="20"/>
          <w:szCs w:val="20"/>
        </w:rPr>
        <w:br w:type="page"/>
      </w:r>
    </w:p>
    <w:p w:rsidR="00B43E3F" w:rsidRPr="004D2D8C" w:rsidRDefault="00B43E3F" w:rsidP="002C3A1C">
      <w:pPr>
        <w:jc w:val="both"/>
        <w:rPr>
          <w:rFonts w:ascii="Comic Sans MS" w:hAnsi="Comic Sans MS"/>
          <w:sz w:val="20"/>
          <w:szCs w:val="20"/>
        </w:rPr>
      </w:pPr>
    </w:p>
    <w:p w:rsidR="00B43E3F" w:rsidRPr="004D2D8C" w:rsidRDefault="00672783" w:rsidP="002C3A1C">
      <w:pPr>
        <w:jc w:val="both"/>
        <w:rPr>
          <w:rFonts w:ascii="Comic Sans MS" w:hAnsi="Comic Sans MS"/>
          <w:sz w:val="20"/>
          <w:szCs w:val="20"/>
        </w:rPr>
      </w:pPr>
      <w:r w:rsidRPr="004D2D8C">
        <w:rPr>
          <w:rFonts w:ascii="Comic Sans MS" w:hAnsi="Comic Sans MS"/>
          <w:sz w:val="20"/>
          <w:szCs w:val="20"/>
        </w:rPr>
        <w:t>SADRŽAJ</w:t>
      </w:r>
    </w:p>
    <w:p w:rsidR="00B43E3F" w:rsidRPr="004D2D8C" w:rsidRDefault="006F3197" w:rsidP="002C3A1C">
      <w:pPr>
        <w:jc w:val="both"/>
        <w:rPr>
          <w:rFonts w:ascii="Comic Sans MS" w:hAnsi="Comic Sans MS"/>
          <w:sz w:val="20"/>
          <w:szCs w:val="20"/>
        </w:rPr>
      </w:pPr>
      <w:r w:rsidRPr="004D2D8C">
        <w:rPr>
          <w:rFonts w:ascii="Comic Sans MS" w:hAnsi="Comic Sans MS"/>
          <w:sz w:val="20"/>
          <w:szCs w:val="20"/>
        </w:rPr>
        <w:t>KRATICE</w:t>
      </w:r>
      <w:r w:rsidR="00B43E3F" w:rsidRPr="004D2D8C">
        <w:rPr>
          <w:rFonts w:ascii="Comic Sans MS" w:hAnsi="Comic Sans MS"/>
          <w:sz w:val="20"/>
          <w:szCs w:val="20"/>
        </w:rPr>
        <w:t>..................................................................................................................</w:t>
      </w:r>
      <w:r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6F3197" w:rsidP="002C3A1C">
      <w:pPr>
        <w:jc w:val="both"/>
        <w:rPr>
          <w:rFonts w:ascii="Comic Sans MS" w:hAnsi="Comic Sans MS"/>
          <w:sz w:val="20"/>
          <w:szCs w:val="20"/>
        </w:rPr>
      </w:pPr>
      <w:r w:rsidRPr="004D2D8C">
        <w:rPr>
          <w:rFonts w:ascii="Comic Sans MS" w:hAnsi="Comic Sans MS"/>
          <w:sz w:val="20"/>
          <w:szCs w:val="20"/>
        </w:rPr>
        <w:t>OPĆENITO</w:t>
      </w:r>
      <w:r w:rsidR="00B43E3F"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6F3197" w:rsidP="002C3A1C">
      <w:pPr>
        <w:jc w:val="both"/>
        <w:rPr>
          <w:rFonts w:ascii="Comic Sans MS" w:hAnsi="Comic Sans MS"/>
          <w:sz w:val="20"/>
          <w:szCs w:val="20"/>
        </w:rPr>
      </w:pPr>
      <w:r w:rsidRPr="004D2D8C">
        <w:rPr>
          <w:rFonts w:ascii="Comic Sans MS" w:hAnsi="Comic Sans MS"/>
          <w:sz w:val="20"/>
          <w:szCs w:val="20"/>
        </w:rPr>
        <w:t>IZJAVA</w:t>
      </w:r>
      <w:r w:rsidR="00B43E3F" w:rsidRPr="004D2D8C">
        <w:rPr>
          <w:rFonts w:ascii="Comic Sans MS" w:hAnsi="Comic Sans MS"/>
          <w:sz w:val="20"/>
          <w:szCs w:val="20"/>
        </w:rPr>
        <w:t>.......................................................................................................................</w:t>
      </w:r>
      <w:r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B43E3F" w:rsidP="002C3A1C">
      <w:pPr>
        <w:jc w:val="both"/>
        <w:rPr>
          <w:rFonts w:ascii="Comic Sans MS" w:hAnsi="Comic Sans MS"/>
          <w:sz w:val="20"/>
          <w:szCs w:val="20"/>
        </w:rPr>
      </w:pPr>
      <w:r w:rsidRPr="004D2D8C">
        <w:rPr>
          <w:rFonts w:ascii="Comic Sans MS" w:hAnsi="Comic Sans MS"/>
          <w:sz w:val="20"/>
          <w:szCs w:val="20"/>
        </w:rPr>
        <w:t>PREAMB</w:t>
      </w:r>
      <w:r w:rsidR="006F3197" w:rsidRPr="004D2D8C">
        <w:rPr>
          <w:rFonts w:ascii="Comic Sans MS" w:hAnsi="Comic Sans MS"/>
          <w:sz w:val="20"/>
          <w:szCs w:val="20"/>
        </w:rPr>
        <w:t>U</w:t>
      </w:r>
      <w:r w:rsidRPr="004D2D8C">
        <w:rPr>
          <w:rFonts w:ascii="Comic Sans MS" w:hAnsi="Comic Sans MS"/>
          <w:sz w:val="20"/>
          <w:szCs w:val="20"/>
        </w:rPr>
        <w:t>L</w:t>
      </w:r>
      <w:r w:rsidR="006F3197" w:rsidRPr="004D2D8C">
        <w:rPr>
          <w:rFonts w:ascii="Comic Sans MS" w:hAnsi="Comic Sans MS"/>
          <w:sz w:val="20"/>
          <w:szCs w:val="20"/>
        </w:rPr>
        <w:t>A</w:t>
      </w:r>
      <w:r w:rsidRPr="004D2D8C">
        <w:rPr>
          <w:rFonts w:ascii="Comic Sans MS" w:hAnsi="Comic Sans MS"/>
          <w:sz w:val="20"/>
          <w:szCs w:val="20"/>
        </w:rPr>
        <w:t>..........................................................................................................</w:t>
      </w:r>
      <w:r w:rsidR="006F3197"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6F3197" w:rsidP="002C3A1C">
      <w:pPr>
        <w:jc w:val="both"/>
        <w:rPr>
          <w:rFonts w:ascii="Comic Sans MS" w:hAnsi="Comic Sans MS"/>
          <w:sz w:val="20"/>
          <w:szCs w:val="20"/>
        </w:rPr>
      </w:pPr>
      <w:r w:rsidRPr="004D2D8C">
        <w:rPr>
          <w:rFonts w:ascii="Comic Sans MS" w:hAnsi="Comic Sans MS"/>
          <w:sz w:val="20"/>
          <w:szCs w:val="20"/>
        </w:rPr>
        <w:t>Okolišna i socijalna prihvatljivost: Upravljanje prilikama i rizicima</w:t>
      </w:r>
      <w:r w:rsidR="00A14137" w:rsidRPr="004D2D8C">
        <w:rPr>
          <w:rFonts w:ascii="Comic Sans MS" w:hAnsi="Comic Sans MS"/>
          <w:sz w:val="20"/>
          <w:szCs w:val="20"/>
        </w:rPr>
        <w:t>.....................</w:t>
      </w:r>
      <w:r w:rsidR="007D61FE" w:rsidRPr="004D2D8C">
        <w:rPr>
          <w:rFonts w:ascii="Comic Sans MS" w:hAnsi="Comic Sans MS"/>
          <w:sz w:val="20"/>
          <w:szCs w:val="20"/>
        </w:rPr>
        <w:t>.....</w:t>
      </w:r>
    </w:p>
    <w:p w:rsidR="007D61FE" w:rsidRPr="004D2D8C" w:rsidRDefault="00A14137" w:rsidP="002C3A1C">
      <w:pPr>
        <w:jc w:val="both"/>
        <w:rPr>
          <w:rFonts w:ascii="Comic Sans MS" w:hAnsi="Comic Sans MS"/>
          <w:sz w:val="20"/>
          <w:szCs w:val="20"/>
        </w:rPr>
      </w:pPr>
      <w:r w:rsidRPr="004D2D8C">
        <w:rPr>
          <w:rFonts w:ascii="Comic Sans MS" w:hAnsi="Comic Sans MS"/>
          <w:sz w:val="20"/>
          <w:szCs w:val="20"/>
        </w:rPr>
        <w:t>Jačanje okolišnih i socijalnih pogodnosti</w:t>
      </w:r>
      <w:r w:rsidR="00B43E3F" w:rsidRPr="004D2D8C">
        <w:rPr>
          <w:rFonts w:ascii="Comic Sans MS" w:hAnsi="Comic Sans MS"/>
          <w:sz w:val="20"/>
          <w:szCs w:val="20"/>
        </w:rPr>
        <w:t>........................................</w:t>
      </w:r>
      <w:r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A14137" w:rsidP="002C3A1C">
      <w:pPr>
        <w:jc w:val="both"/>
        <w:rPr>
          <w:rFonts w:ascii="Comic Sans MS" w:hAnsi="Comic Sans MS"/>
          <w:sz w:val="20"/>
          <w:szCs w:val="20"/>
        </w:rPr>
      </w:pPr>
      <w:r w:rsidRPr="004D2D8C">
        <w:rPr>
          <w:rFonts w:ascii="Comic Sans MS" w:hAnsi="Comic Sans MS"/>
          <w:sz w:val="20"/>
          <w:szCs w:val="20"/>
        </w:rPr>
        <w:t>Smanjenje okolišnih i socijalnih troškova</w:t>
      </w:r>
      <w:r w:rsidR="00B43E3F"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A14137" w:rsidP="002C3A1C">
      <w:pPr>
        <w:jc w:val="both"/>
        <w:rPr>
          <w:rFonts w:ascii="Comic Sans MS" w:hAnsi="Comic Sans MS"/>
          <w:sz w:val="20"/>
          <w:szCs w:val="20"/>
        </w:rPr>
      </w:pPr>
      <w:r w:rsidRPr="004D2D8C">
        <w:rPr>
          <w:rFonts w:ascii="Comic Sans MS" w:hAnsi="Comic Sans MS"/>
          <w:sz w:val="20"/>
          <w:szCs w:val="20"/>
        </w:rPr>
        <w:t>NAČELA</w:t>
      </w:r>
      <w:r w:rsidR="00B43E3F" w:rsidRPr="004D2D8C">
        <w:rPr>
          <w:rFonts w:ascii="Comic Sans MS" w:hAnsi="Comic Sans MS"/>
          <w:sz w:val="20"/>
          <w:szCs w:val="20"/>
        </w:rPr>
        <w:t>.......................................................................................................</w:t>
      </w:r>
      <w:r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A14137" w:rsidP="002C3A1C">
      <w:pPr>
        <w:jc w:val="both"/>
        <w:rPr>
          <w:rFonts w:ascii="Comic Sans MS" w:hAnsi="Comic Sans MS"/>
          <w:sz w:val="20"/>
          <w:szCs w:val="20"/>
        </w:rPr>
      </w:pPr>
      <w:r w:rsidRPr="004D2D8C">
        <w:rPr>
          <w:rFonts w:ascii="Comic Sans MS" w:hAnsi="Comic Sans MS"/>
          <w:sz w:val="20"/>
          <w:szCs w:val="20"/>
        </w:rPr>
        <w:t>Okolišna i socijalna načela</w:t>
      </w:r>
      <w:r w:rsidR="00B43E3F" w:rsidRPr="004D2D8C">
        <w:rPr>
          <w:rFonts w:ascii="Comic Sans MS" w:hAnsi="Comic Sans MS"/>
          <w:sz w:val="20"/>
          <w:szCs w:val="20"/>
        </w:rPr>
        <w:t>...............................................................</w:t>
      </w:r>
      <w:r w:rsidRPr="004D2D8C">
        <w:rPr>
          <w:rFonts w:ascii="Comic Sans MS" w:hAnsi="Comic Sans MS"/>
          <w:sz w:val="20"/>
          <w:szCs w:val="20"/>
        </w:rPr>
        <w:t>.............................</w:t>
      </w:r>
      <w:r w:rsidR="007D61FE" w:rsidRPr="004D2D8C">
        <w:rPr>
          <w:rFonts w:ascii="Comic Sans MS" w:hAnsi="Comic Sans MS"/>
          <w:sz w:val="20"/>
          <w:szCs w:val="20"/>
        </w:rPr>
        <w:t>........</w:t>
      </w:r>
    </w:p>
    <w:p w:rsidR="007D61FE" w:rsidRPr="004D2D8C" w:rsidRDefault="00B43E3F" w:rsidP="002C3A1C">
      <w:pPr>
        <w:jc w:val="both"/>
        <w:rPr>
          <w:rFonts w:ascii="Comic Sans MS" w:hAnsi="Comic Sans MS"/>
          <w:sz w:val="20"/>
          <w:szCs w:val="20"/>
        </w:rPr>
      </w:pPr>
      <w:r w:rsidRPr="004D2D8C">
        <w:rPr>
          <w:rFonts w:ascii="Comic Sans MS" w:hAnsi="Comic Sans MS"/>
          <w:sz w:val="20"/>
          <w:szCs w:val="20"/>
        </w:rPr>
        <w:t>STANDARD</w:t>
      </w:r>
      <w:r w:rsidR="00A14137" w:rsidRPr="004D2D8C">
        <w:rPr>
          <w:rFonts w:ascii="Comic Sans MS" w:hAnsi="Comic Sans MS"/>
          <w:sz w:val="20"/>
          <w:szCs w:val="20"/>
        </w:rPr>
        <w:t>I</w:t>
      </w:r>
      <w:r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3707A0" w:rsidP="002C3A1C">
      <w:pPr>
        <w:jc w:val="both"/>
        <w:rPr>
          <w:rFonts w:ascii="Comic Sans MS" w:hAnsi="Comic Sans MS"/>
          <w:sz w:val="20"/>
          <w:szCs w:val="20"/>
        </w:rPr>
      </w:pPr>
      <w:r w:rsidRPr="004D2D8C">
        <w:rPr>
          <w:rFonts w:ascii="Comic Sans MS" w:hAnsi="Comic Sans MS"/>
          <w:sz w:val="20"/>
          <w:szCs w:val="20"/>
        </w:rPr>
        <w:t>Opći okolišni s</w:t>
      </w:r>
      <w:r w:rsidR="00B43E3F" w:rsidRPr="004D2D8C">
        <w:rPr>
          <w:rFonts w:ascii="Comic Sans MS" w:hAnsi="Comic Sans MS"/>
          <w:sz w:val="20"/>
          <w:szCs w:val="20"/>
        </w:rPr>
        <w:t>tandard</w:t>
      </w:r>
      <w:r w:rsidRPr="004D2D8C">
        <w:rPr>
          <w:rFonts w:ascii="Comic Sans MS" w:hAnsi="Comic Sans MS"/>
          <w:sz w:val="20"/>
          <w:szCs w:val="20"/>
        </w:rPr>
        <w:t>i</w:t>
      </w:r>
      <w:r w:rsidR="00B43E3F"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3707A0" w:rsidP="002C3A1C">
      <w:pPr>
        <w:jc w:val="both"/>
        <w:rPr>
          <w:rFonts w:ascii="Comic Sans MS" w:hAnsi="Comic Sans MS"/>
          <w:sz w:val="20"/>
          <w:szCs w:val="20"/>
        </w:rPr>
      </w:pPr>
      <w:r w:rsidRPr="004D2D8C">
        <w:rPr>
          <w:rFonts w:ascii="Comic Sans MS" w:hAnsi="Comic Sans MS"/>
          <w:sz w:val="20"/>
          <w:szCs w:val="20"/>
        </w:rPr>
        <w:t xml:space="preserve">Standardi emisije </w:t>
      </w:r>
      <w:r w:rsidR="00B43E3F" w:rsidRPr="004D2D8C">
        <w:rPr>
          <w:rFonts w:ascii="Comic Sans MS" w:hAnsi="Comic Sans MS"/>
          <w:sz w:val="20"/>
          <w:szCs w:val="20"/>
        </w:rPr>
        <w:t>.....................................................................................................</w:t>
      </w:r>
      <w:r w:rsidR="007D61FE" w:rsidRPr="004D2D8C">
        <w:rPr>
          <w:rFonts w:ascii="Comic Sans MS" w:hAnsi="Comic Sans MS"/>
          <w:sz w:val="20"/>
          <w:szCs w:val="20"/>
        </w:rPr>
        <w:t>.............</w:t>
      </w:r>
      <w:r w:rsidR="00B43E3F" w:rsidRPr="004D2D8C">
        <w:rPr>
          <w:rFonts w:ascii="Comic Sans MS" w:hAnsi="Comic Sans MS"/>
          <w:sz w:val="20"/>
          <w:szCs w:val="20"/>
        </w:rPr>
        <w:t xml:space="preserve"> </w:t>
      </w:r>
    </w:p>
    <w:p w:rsidR="00B43E3F" w:rsidRPr="004D2D8C" w:rsidRDefault="00B43E3F" w:rsidP="002C3A1C">
      <w:pPr>
        <w:jc w:val="both"/>
        <w:rPr>
          <w:rFonts w:ascii="Comic Sans MS" w:hAnsi="Comic Sans MS"/>
          <w:sz w:val="20"/>
          <w:szCs w:val="20"/>
        </w:rPr>
      </w:pPr>
      <w:r w:rsidRPr="004D2D8C">
        <w:rPr>
          <w:rFonts w:ascii="Comic Sans MS" w:hAnsi="Comic Sans MS"/>
          <w:sz w:val="20"/>
          <w:szCs w:val="20"/>
        </w:rPr>
        <w:t>Ambi</w:t>
      </w:r>
      <w:r w:rsidR="003707A0" w:rsidRPr="004D2D8C">
        <w:rPr>
          <w:rFonts w:ascii="Comic Sans MS" w:hAnsi="Comic Sans MS"/>
          <w:sz w:val="20"/>
          <w:szCs w:val="20"/>
        </w:rPr>
        <w:t>j</w:t>
      </w:r>
      <w:r w:rsidRPr="004D2D8C">
        <w:rPr>
          <w:rFonts w:ascii="Comic Sans MS" w:hAnsi="Comic Sans MS"/>
          <w:sz w:val="20"/>
          <w:szCs w:val="20"/>
        </w:rPr>
        <w:t>ent</w:t>
      </w:r>
      <w:r w:rsidR="003707A0" w:rsidRPr="004D2D8C">
        <w:rPr>
          <w:rFonts w:ascii="Comic Sans MS" w:hAnsi="Comic Sans MS"/>
          <w:sz w:val="20"/>
          <w:szCs w:val="20"/>
        </w:rPr>
        <w:t>alni s</w:t>
      </w:r>
      <w:r w:rsidRPr="004D2D8C">
        <w:rPr>
          <w:rFonts w:ascii="Comic Sans MS" w:hAnsi="Comic Sans MS"/>
          <w:sz w:val="20"/>
          <w:szCs w:val="20"/>
        </w:rPr>
        <w:t>tandard</w:t>
      </w:r>
      <w:r w:rsidR="003707A0" w:rsidRPr="004D2D8C">
        <w:rPr>
          <w:rFonts w:ascii="Comic Sans MS" w:hAnsi="Comic Sans MS"/>
          <w:sz w:val="20"/>
          <w:szCs w:val="20"/>
        </w:rPr>
        <w:t>i</w:t>
      </w:r>
      <w:r w:rsidRPr="004D2D8C">
        <w:rPr>
          <w:rFonts w:ascii="Comic Sans MS" w:hAnsi="Comic Sans MS"/>
          <w:sz w:val="20"/>
          <w:szCs w:val="20"/>
        </w:rPr>
        <w:t>.............................................................................................</w:t>
      </w:r>
      <w:r w:rsidR="007D61FE" w:rsidRPr="004D2D8C">
        <w:rPr>
          <w:rFonts w:ascii="Comic Sans MS" w:hAnsi="Comic Sans MS"/>
          <w:sz w:val="20"/>
          <w:szCs w:val="20"/>
        </w:rPr>
        <w:t>.............</w:t>
      </w:r>
      <w:r w:rsidRPr="004D2D8C">
        <w:rPr>
          <w:rFonts w:ascii="Comic Sans MS" w:hAnsi="Comic Sans MS"/>
          <w:sz w:val="20"/>
          <w:szCs w:val="20"/>
        </w:rPr>
        <w:t xml:space="preserve"> </w:t>
      </w:r>
    </w:p>
    <w:p w:rsidR="00B43E3F" w:rsidRPr="004D2D8C" w:rsidRDefault="00B43E3F" w:rsidP="002C3A1C">
      <w:pPr>
        <w:jc w:val="both"/>
        <w:rPr>
          <w:rFonts w:ascii="Comic Sans MS" w:hAnsi="Comic Sans MS"/>
          <w:sz w:val="20"/>
          <w:szCs w:val="20"/>
        </w:rPr>
      </w:pPr>
      <w:r w:rsidRPr="004D2D8C">
        <w:rPr>
          <w:rFonts w:ascii="Comic Sans MS" w:hAnsi="Comic Sans MS"/>
          <w:sz w:val="20"/>
          <w:szCs w:val="20"/>
        </w:rPr>
        <w:t>Procedural</w:t>
      </w:r>
      <w:r w:rsidR="003707A0" w:rsidRPr="004D2D8C">
        <w:rPr>
          <w:rFonts w:ascii="Comic Sans MS" w:hAnsi="Comic Sans MS"/>
          <w:sz w:val="20"/>
          <w:szCs w:val="20"/>
        </w:rPr>
        <w:t>ni s</w:t>
      </w:r>
      <w:r w:rsidRPr="004D2D8C">
        <w:rPr>
          <w:rFonts w:ascii="Comic Sans MS" w:hAnsi="Comic Sans MS"/>
          <w:sz w:val="20"/>
          <w:szCs w:val="20"/>
        </w:rPr>
        <w:t>tandard</w:t>
      </w:r>
      <w:r w:rsidR="003707A0" w:rsidRPr="004D2D8C">
        <w:rPr>
          <w:rFonts w:ascii="Comic Sans MS" w:hAnsi="Comic Sans MS"/>
          <w:sz w:val="20"/>
          <w:szCs w:val="20"/>
        </w:rPr>
        <w:t>i</w:t>
      </w:r>
      <w:r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3707A0" w:rsidP="002C3A1C">
      <w:pPr>
        <w:jc w:val="both"/>
        <w:rPr>
          <w:rFonts w:ascii="Comic Sans MS" w:hAnsi="Comic Sans MS"/>
          <w:sz w:val="20"/>
          <w:szCs w:val="20"/>
        </w:rPr>
      </w:pPr>
      <w:r w:rsidRPr="004D2D8C">
        <w:rPr>
          <w:rFonts w:ascii="Comic Sans MS" w:hAnsi="Comic Sans MS"/>
          <w:sz w:val="20"/>
          <w:szCs w:val="20"/>
        </w:rPr>
        <w:t xml:space="preserve">Okolišni standardi u </w:t>
      </w:r>
      <w:r w:rsidR="00B43E3F" w:rsidRPr="004D2D8C">
        <w:rPr>
          <w:rFonts w:ascii="Comic Sans MS" w:hAnsi="Comic Sans MS"/>
          <w:sz w:val="20"/>
          <w:szCs w:val="20"/>
        </w:rPr>
        <w:t>EU</w:t>
      </w:r>
      <w:r w:rsidRPr="004D2D8C">
        <w:rPr>
          <w:rFonts w:ascii="Comic Sans MS" w:hAnsi="Comic Sans MS"/>
          <w:sz w:val="20"/>
          <w:szCs w:val="20"/>
        </w:rPr>
        <w:t xml:space="preserve">-u i državama proširenja </w:t>
      </w:r>
      <w:r w:rsidR="00B43E3F"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3707A0" w:rsidP="002C3A1C">
      <w:pPr>
        <w:jc w:val="both"/>
        <w:rPr>
          <w:rFonts w:ascii="Comic Sans MS" w:hAnsi="Comic Sans MS"/>
          <w:sz w:val="20"/>
          <w:szCs w:val="20"/>
        </w:rPr>
      </w:pPr>
      <w:r w:rsidRPr="004D2D8C">
        <w:rPr>
          <w:rFonts w:ascii="Comic Sans MS" w:hAnsi="Comic Sans MS"/>
          <w:sz w:val="20"/>
          <w:szCs w:val="20"/>
        </w:rPr>
        <w:t>Okolišni standardi u ostatku svijeta</w:t>
      </w:r>
      <w:r w:rsidR="00B43E3F" w:rsidRPr="004D2D8C">
        <w:rPr>
          <w:rFonts w:ascii="Comic Sans MS" w:hAnsi="Comic Sans MS"/>
          <w:sz w:val="20"/>
          <w:szCs w:val="20"/>
        </w:rPr>
        <w:t>............................................................</w:t>
      </w:r>
      <w:r w:rsidR="007D61FE" w:rsidRPr="004D2D8C">
        <w:rPr>
          <w:rFonts w:ascii="Comic Sans MS" w:hAnsi="Comic Sans MS"/>
          <w:sz w:val="20"/>
          <w:szCs w:val="20"/>
        </w:rPr>
        <w:t>.......................</w:t>
      </w:r>
      <w:r w:rsidR="00B43E3F" w:rsidRPr="004D2D8C">
        <w:rPr>
          <w:rFonts w:ascii="Comic Sans MS" w:hAnsi="Comic Sans MS"/>
          <w:sz w:val="20"/>
          <w:szCs w:val="20"/>
        </w:rPr>
        <w:t xml:space="preserve"> </w:t>
      </w:r>
    </w:p>
    <w:p w:rsidR="00B43E3F" w:rsidRPr="004D2D8C" w:rsidRDefault="00B43E3F" w:rsidP="002C3A1C">
      <w:pPr>
        <w:jc w:val="both"/>
        <w:rPr>
          <w:rFonts w:ascii="Comic Sans MS" w:hAnsi="Comic Sans MS"/>
          <w:sz w:val="20"/>
          <w:szCs w:val="20"/>
        </w:rPr>
      </w:pPr>
      <w:r w:rsidRPr="004D2D8C">
        <w:rPr>
          <w:rFonts w:ascii="Comic Sans MS" w:hAnsi="Comic Sans MS"/>
          <w:sz w:val="20"/>
          <w:szCs w:val="20"/>
        </w:rPr>
        <w:t>Soci</w:t>
      </w:r>
      <w:r w:rsidR="003707A0" w:rsidRPr="004D2D8C">
        <w:rPr>
          <w:rFonts w:ascii="Comic Sans MS" w:hAnsi="Comic Sans MS"/>
          <w:sz w:val="20"/>
          <w:szCs w:val="20"/>
        </w:rPr>
        <w:t>jalni s</w:t>
      </w:r>
      <w:r w:rsidRPr="004D2D8C">
        <w:rPr>
          <w:rFonts w:ascii="Comic Sans MS" w:hAnsi="Comic Sans MS"/>
          <w:sz w:val="20"/>
          <w:szCs w:val="20"/>
        </w:rPr>
        <w:t>tandard</w:t>
      </w:r>
      <w:r w:rsidR="003707A0" w:rsidRPr="004D2D8C">
        <w:rPr>
          <w:rFonts w:ascii="Comic Sans MS" w:hAnsi="Comic Sans MS"/>
          <w:sz w:val="20"/>
          <w:szCs w:val="20"/>
        </w:rPr>
        <w:t>i</w:t>
      </w:r>
      <w:r w:rsidRPr="004D2D8C">
        <w:rPr>
          <w:rFonts w:ascii="Comic Sans MS" w:hAnsi="Comic Sans MS"/>
          <w:sz w:val="20"/>
          <w:szCs w:val="20"/>
        </w:rPr>
        <w:t>:</w:t>
      </w:r>
      <w:r w:rsidR="003707A0" w:rsidRPr="004D2D8C">
        <w:rPr>
          <w:rFonts w:ascii="Comic Sans MS" w:hAnsi="Comic Sans MS"/>
          <w:sz w:val="20"/>
          <w:szCs w:val="20"/>
        </w:rPr>
        <w:t xml:space="preserve"> pristup koji se temelji na ljudskim pravima</w:t>
      </w:r>
      <w:r w:rsidRPr="004D2D8C">
        <w:rPr>
          <w:rFonts w:ascii="Comic Sans MS" w:hAnsi="Comic Sans MS"/>
          <w:sz w:val="20"/>
          <w:szCs w:val="20"/>
        </w:rPr>
        <w:t>...........</w:t>
      </w:r>
      <w:r w:rsidR="007D61FE" w:rsidRPr="004D2D8C">
        <w:rPr>
          <w:rFonts w:ascii="Comic Sans MS" w:hAnsi="Comic Sans MS"/>
          <w:sz w:val="20"/>
          <w:szCs w:val="20"/>
        </w:rPr>
        <w:t>......................</w:t>
      </w:r>
    </w:p>
    <w:p w:rsidR="00B43E3F" w:rsidRPr="004D2D8C" w:rsidRDefault="003707A0" w:rsidP="002C3A1C">
      <w:pPr>
        <w:jc w:val="both"/>
        <w:rPr>
          <w:rFonts w:ascii="Comic Sans MS" w:hAnsi="Comic Sans MS"/>
          <w:sz w:val="20"/>
          <w:szCs w:val="20"/>
        </w:rPr>
      </w:pPr>
      <w:r w:rsidRPr="004D2D8C">
        <w:rPr>
          <w:rFonts w:ascii="Comic Sans MS" w:hAnsi="Comic Sans MS"/>
          <w:sz w:val="20"/>
          <w:szCs w:val="20"/>
        </w:rPr>
        <w:t>Nedobrovoljno preseljavanje</w:t>
      </w:r>
      <w:r w:rsidR="00B43E3F" w:rsidRPr="004D2D8C">
        <w:rPr>
          <w:rFonts w:ascii="Comic Sans MS" w:hAnsi="Comic Sans MS"/>
          <w:sz w:val="20"/>
          <w:szCs w:val="20"/>
        </w:rPr>
        <w:t>.........................................................................</w:t>
      </w:r>
      <w:r w:rsidR="007D61FE" w:rsidRPr="004D2D8C">
        <w:rPr>
          <w:rFonts w:ascii="Comic Sans MS" w:hAnsi="Comic Sans MS"/>
          <w:sz w:val="20"/>
          <w:szCs w:val="20"/>
        </w:rPr>
        <w:t>.................</w:t>
      </w:r>
      <w:r w:rsidR="00B43E3F" w:rsidRPr="004D2D8C">
        <w:rPr>
          <w:rFonts w:ascii="Comic Sans MS" w:hAnsi="Comic Sans MS"/>
          <w:sz w:val="20"/>
          <w:szCs w:val="20"/>
        </w:rPr>
        <w:t>.</w:t>
      </w:r>
      <w:r w:rsidR="007D61FE" w:rsidRPr="004D2D8C">
        <w:rPr>
          <w:rFonts w:ascii="Comic Sans MS" w:hAnsi="Comic Sans MS"/>
          <w:sz w:val="20"/>
          <w:szCs w:val="20"/>
        </w:rPr>
        <w:t>.....</w:t>
      </w:r>
      <w:r w:rsidR="00B43E3F" w:rsidRPr="004D2D8C">
        <w:rPr>
          <w:rFonts w:ascii="Comic Sans MS" w:hAnsi="Comic Sans MS"/>
          <w:sz w:val="20"/>
          <w:szCs w:val="20"/>
        </w:rPr>
        <w:t xml:space="preserve"> </w:t>
      </w:r>
    </w:p>
    <w:p w:rsidR="00B43E3F" w:rsidRPr="004D2D8C" w:rsidRDefault="003707A0" w:rsidP="002C3A1C">
      <w:pPr>
        <w:jc w:val="both"/>
        <w:rPr>
          <w:rFonts w:ascii="Comic Sans MS" w:hAnsi="Comic Sans MS"/>
          <w:sz w:val="20"/>
          <w:szCs w:val="20"/>
        </w:rPr>
      </w:pPr>
      <w:r w:rsidRPr="004D2D8C">
        <w:rPr>
          <w:rFonts w:ascii="Comic Sans MS" w:hAnsi="Comic Sans MS"/>
          <w:sz w:val="20"/>
          <w:szCs w:val="20"/>
        </w:rPr>
        <w:t>Autohtono stanovništvo i druge ranjive skupine</w:t>
      </w:r>
      <w:r w:rsidR="00B43E3F" w:rsidRPr="004D2D8C">
        <w:rPr>
          <w:rFonts w:ascii="Comic Sans MS" w:hAnsi="Comic Sans MS"/>
          <w:sz w:val="20"/>
          <w:szCs w:val="20"/>
        </w:rPr>
        <w:t>.......................................</w:t>
      </w:r>
      <w:r w:rsidR="007D61FE" w:rsidRPr="004D2D8C">
        <w:rPr>
          <w:rFonts w:ascii="Comic Sans MS" w:hAnsi="Comic Sans MS"/>
          <w:sz w:val="20"/>
          <w:szCs w:val="20"/>
        </w:rPr>
        <w:t>.................</w:t>
      </w:r>
      <w:r w:rsidR="00B43E3F" w:rsidRPr="004D2D8C">
        <w:rPr>
          <w:rFonts w:ascii="Comic Sans MS" w:hAnsi="Comic Sans MS"/>
          <w:sz w:val="20"/>
          <w:szCs w:val="20"/>
        </w:rPr>
        <w:t>.</w:t>
      </w:r>
      <w:r w:rsidR="007D61FE" w:rsidRPr="004D2D8C">
        <w:rPr>
          <w:rFonts w:ascii="Comic Sans MS" w:hAnsi="Comic Sans MS"/>
          <w:sz w:val="20"/>
          <w:szCs w:val="20"/>
        </w:rPr>
        <w:t>......</w:t>
      </w:r>
      <w:r w:rsidR="00B43E3F" w:rsidRPr="004D2D8C">
        <w:rPr>
          <w:rFonts w:ascii="Comic Sans MS" w:hAnsi="Comic Sans MS"/>
          <w:sz w:val="20"/>
          <w:szCs w:val="20"/>
        </w:rPr>
        <w:t xml:space="preserve"> </w:t>
      </w:r>
    </w:p>
    <w:p w:rsidR="00B43E3F" w:rsidRPr="004D2D8C" w:rsidRDefault="003707A0" w:rsidP="002C3A1C">
      <w:pPr>
        <w:jc w:val="both"/>
        <w:rPr>
          <w:rFonts w:ascii="Comic Sans MS" w:hAnsi="Comic Sans MS"/>
          <w:sz w:val="20"/>
          <w:szCs w:val="20"/>
        </w:rPr>
      </w:pPr>
      <w:r w:rsidRPr="004D2D8C">
        <w:rPr>
          <w:rFonts w:ascii="Comic Sans MS" w:hAnsi="Comic Sans MS"/>
          <w:sz w:val="20"/>
          <w:szCs w:val="20"/>
        </w:rPr>
        <w:t>Osnovni standardi o radu Međunarodne organizacije rada</w:t>
      </w:r>
      <w:r w:rsidR="00B43E3F" w:rsidRPr="004D2D8C">
        <w:rPr>
          <w:rFonts w:ascii="Comic Sans MS" w:hAnsi="Comic Sans MS"/>
          <w:sz w:val="20"/>
          <w:szCs w:val="20"/>
        </w:rPr>
        <w:t>....................</w:t>
      </w:r>
      <w:r w:rsidR="007D61FE" w:rsidRPr="004D2D8C">
        <w:rPr>
          <w:rFonts w:ascii="Comic Sans MS" w:hAnsi="Comic Sans MS"/>
          <w:sz w:val="20"/>
          <w:szCs w:val="20"/>
        </w:rPr>
        <w:t>.................</w:t>
      </w:r>
      <w:r w:rsidR="00B43E3F" w:rsidRPr="004D2D8C">
        <w:rPr>
          <w:rFonts w:ascii="Comic Sans MS" w:hAnsi="Comic Sans MS"/>
          <w:sz w:val="20"/>
          <w:szCs w:val="20"/>
        </w:rPr>
        <w:t>.</w:t>
      </w:r>
      <w:r w:rsidR="007D61FE" w:rsidRPr="004D2D8C">
        <w:rPr>
          <w:rFonts w:ascii="Comic Sans MS" w:hAnsi="Comic Sans MS"/>
          <w:sz w:val="20"/>
          <w:szCs w:val="20"/>
        </w:rPr>
        <w:t>......</w:t>
      </w:r>
      <w:r w:rsidR="00B43E3F" w:rsidRPr="004D2D8C">
        <w:rPr>
          <w:rFonts w:ascii="Comic Sans MS" w:hAnsi="Comic Sans MS"/>
          <w:sz w:val="20"/>
          <w:szCs w:val="20"/>
        </w:rPr>
        <w:t xml:space="preserve"> </w:t>
      </w:r>
    </w:p>
    <w:p w:rsidR="00B43E3F" w:rsidRPr="004D2D8C" w:rsidRDefault="003707A0" w:rsidP="002C3A1C">
      <w:pPr>
        <w:jc w:val="both"/>
        <w:rPr>
          <w:rFonts w:ascii="Comic Sans MS" w:hAnsi="Comic Sans MS"/>
          <w:sz w:val="20"/>
          <w:szCs w:val="20"/>
        </w:rPr>
      </w:pPr>
      <w:r w:rsidRPr="004D2D8C">
        <w:rPr>
          <w:rFonts w:ascii="Comic Sans MS" w:hAnsi="Comic Sans MS"/>
          <w:sz w:val="20"/>
          <w:szCs w:val="20"/>
        </w:rPr>
        <w:t>Zdravlje i sigurnost na radu i u zajednici</w:t>
      </w:r>
      <w:r w:rsidR="00B43E3F" w:rsidRPr="004D2D8C">
        <w:rPr>
          <w:rFonts w:ascii="Comic Sans MS" w:hAnsi="Comic Sans MS"/>
          <w:sz w:val="20"/>
          <w:szCs w:val="20"/>
        </w:rPr>
        <w:t>.................................................</w:t>
      </w:r>
      <w:r w:rsidR="007D61FE" w:rsidRPr="004D2D8C">
        <w:rPr>
          <w:rFonts w:ascii="Comic Sans MS" w:hAnsi="Comic Sans MS"/>
          <w:sz w:val="20"/>
          <w:szCs w:val="20"/>
        </w:rPr>
        <w:t>..........................</w:t>
      </w:r>
      <w:r w:rsidR="00B43E3F" w:rsidRPr="004D2D8C">
        <w:rPr>
          <w:rFonts w:ascii="Comic Sans MS" w:hAnsi="Comic Sans MS"/>
          <w:sz w:val="20"/>
          <w:szCs w:val="20"/>
        </w:rPr>
        <w:t xml:space="preserve"> </w:t>
      </w:r>
    </w:p>
    <w:p w:rsidR="00B43E3F" w:rsidRPr="004D2D8C" w:rsidRDefault="003707A0" w:rsidP="002C3A1C">
      <w:pPr>
        <w:jc w:val="both"/>
        <w:rPr>
          <w:rFonts w:ascii="Comic Sans MS" w:hAnsi="Comic Sans MS"/>
          <w:sz w:val="20"/>
          <w:szCs w:val="20"/>
        </w:rPr>
      </w:pPr>
      <w:r w:rsidRPr="004D2D8C">
        <w:rPr>
          <w:rFonts w:ascii="Comic Sans MS" w:hAnsi="Comic Sans MS"/>
          <w:sz w:val="20"/>
          <w:szCs w:val="20"/>
        </w:rPr>
        <w:t xml:space="preserve">KULTURNO NASLJEĐE </w:t>
      </w:r>
      <w:r w:rsidR="00B43E3F" w:rsidRPr="004D2D8C">
        <w:rPr>
          <w:rFonts w:ascii="Comic Sans MS" w:hAnsi="Comic Sans MS"/>
          <w:sz w:val="20"/>
          <w:szCs w:val="20"/>
        </w:rPr>
        <w:t>.................................................................................................</w:t>
      </w:r>
      <w:r w:rsidR="007D61FE" w:rsidRPr="004D2D8C">
        <w:rPr>
          <w:rFonts w:ascii="Comic Sans MS" w:hAnsi="Comic Sans MS"/>
          <w:sz w:val="20"/>
          <w:szCs w:val="20"/>
        </w:rPr>
        <w:t>.......</w:t>
      </w:r>
      <w:r w:rsidR="00B43E3F" w:rsidRPr="004D2D8C">
        <w:rPr>
          <w:rFonts w:ascii="Comic Sans MS" w:hAnsi="Comic Sans MS"/>
          <w:sz w:val="20"/>
          <w:szCs w:val="20"/>
        </w:rPr>
        <w:t xml:space="preserve"> </w:t>
      </w:r>
    </w:p>
    <w:p w:rsidR="00B43E3F" w:rsidRPr="004D2D8C" w:rsidRDefault="003707A0" w:rsidP="002C3A1C">
      <w:pPr>
        <w:jc w:val="both"/>
        <w:rPr>
          <w:rFonts w:ascii="Comic Sans MS" w:hAnsi="Comic Sans MS"/>
          <w:sz w:val="20"/>
          <w:szCs w:val="20"/>
        </w:rPr>
      </w:pPr>
      <w:r w:rsidRPr="004D2D8C">
        <w:rPr>
          <w:rFonts w:ascii="Comic Sans MS" w:hAnsi="Comic Sans MS"/>
          <w:sz w:val="20"/>
          <w:szCs w:val="20"/>
        </w:rPr>
        <w:t>KONZULTACIJE, SUDJELOVANJE JAVNOSTI I JAVNO OBJAVLJIVANJE</w:t>
      </w:r>
      <w:r w:rsidR="007D61FE" w:rsidRPr="004D2D8C">
        <w:rPr>
          <w:rFonts w:ascii="Comic Sans MS" w:hAnsi="Comic Sans MS"/>
          <w:sz w:val="20"/>
          <w:szCs w:val="20"/>
        </w:rPr>
        <w:t>.</w:t>
      </w:r>
      <w:r w:rsidR="00B43E3F" w:rsidRPr="004D2D8C">
        <w:rPr>
          <w:rFonts w:ascii="Comic Sans MS" w:hAnsi="Comic Sans MS"/>
          <w:sz w:val="20"/>
          <w:szCs w:val="20"/>
        </w:rPr>
        <w:t>...</w:t>
      </w:r>
    </w:p>
    <w:p w:rsidR="00B43E3F" w:rsidRPr="004D2D8C" w:rsidRDefault="00B43E3F" w:rsidP="002C3A1C">
      <w:pPr>
        <w:jc w:val="both"/>
        <w:rPr>
          <w:rFonts w:ascii="Comic Sans MS" w:hAnsi="Comic Sans MS"/>
          <w:sz w:val="20"/>
          <w:szCs w:val="20"/>
        </w:rPr>
      </w:pPr>
      <w:r w:rsidRPr="004D2D8C">
        <w:rPr>
          <w:rFonts w:ascii="Comic Sans MS" w:hAnsi="Comic Sans MS"/>
          <w:sz w:val="20"/>
          <w:szCs w:val="20"/>
        </w:rPr>
        <w:t>BIOLO</w:t>
      </w:r>
      <w:r w:rsidR="003707A0" w:rsidRPr="004D2D8C">
        <w:rPr>
          <w:rFonts w:ascii="Comic Sans MS" w:hAnsi="Comic Sans MS"/>
          <w:sz w:val="20"/>
          <w:szCs w:val="20"/>
        </w:rPr>
        <w:t>ŠKA RAZNOLIKOST</w:t>
      </w:r>
      <w:r w:rsidRPr="004D2D8C">
        <w:rPr>
          <w:rFonts w:ascii="Comic Sans MS" w:hAnsi="Comic Sans MS"/>
          <w:sz w:val="20"/>
          <w:szCs w:val="20"/>
        </w:rPr>
        <w:t>.........................................................................................</w:t>
      </w:r>
      <w:r w:rsidR="007D61FE" w:rsidRPr="004D2D8C">
        <w:rPr>
          <w:rFonts w:ascii="Comic Sans MS" w:hAnsi="Comic Sans MS"/>
          <w:sz w:val="20"/>
          <w:szCs w:val="20"/>
        </w:rPr>
        <w:t>........</w:t>
      </w:r>
      <w:r w:rsidRPr="004D2D8C">
        <w:rPr>
          <w:rFonts w:ascii="Comic Sans MS" w:hAnsi="Comic Sans MS"/>
          <w:sz w:val="20"/>
          <w:szCs w:val="20"/>
        </w:rPr>
        <w:t xml:space="preserve"> </w:t>
      </w:r>
    </w:p>
    <w:p w:rsidR="00B43E3F" w:rsidRPr="004D2D8C" w:rsidRDefault="003707A0" w:rsidP="002C3A1C">
      <w:pPr>
        <w:jc w:val="both"/>
        <w:rPr>
          <w:rFonts w:ascii="Comic Sans MS" w:hAnsi="Comic Sans MS"/>
          <w:sz w:val="20"/>
          <w:szCs w:val="20"/>
        </w:rPr>
      </w:pPr>
      <w:r w:rsidRPr="004D2D8C">
        <w:rPr>
          <w:rFonts w:ascii="Comic Sans MS" w:hAnsi="Comic Sans MS"/>
          <w:sz w:val="20"/>
          <w:szCs w:val="20"/>
        </w:rPr>
        <w:t>KLIMATSKE PROMJENE</w:t>
      </w:r>
      <w:r w:rsidR="00B43E3F" w:rsidRPr="004D2D8C">
        <w:rPr>
          <w:rFonts w:ascii="Comic Sans MS" w:hAnsi="Comic Sans MS"/>
          <w:sz w:val="20"/>
          <w:szCs w:val="20"/>
        </w:rPr>
        <w:t>...................................................................................................</w:t>
      </w:r>
      <w:r w:rsidR="007D61FE" w:rsidRPr="004D2D8C">
        <w:rPr>
          <w:rFonts w:ascii="Comic Sans MS" w:hAnsi="Comic Sans MS"/>
          <w:sz w:val="20"/>
          <w:szCs w:val="20"/>
        </w:rPr>
        <w:t>...</w:t>
      </w:r>
      <w:r w:rsidR="00B43E3F" w:rsidRPr="004D2D8C">
        <w:rPr>
          <w:rFonts w:ascii="Comic Sans MS" w:hAnsi="Comic Sans MS"/>
          <w:sz w:val="20"/>
          <w:szCs w:val="20"/>
        </w:rPr>
        <w:t xml:space="preserve"> </w:t>
      </w:r>
    </w:p>
    <w:p w:rsidR="00B43E3F" w:rsidRPr="004D2D8C" w:rsidRDefault="006921D0" w:rsidP="002C3A1C">
      <w:pPr>
        <w:jc w:val="both"/>
        <w:rPr>
          <w:rFonts w:ascii="Comic Sans MS" w:hAnsi="Comic Sans MS"/>
          <w:sz w:val="20"/>
          <w:szCs w:val="20"/>
        </w:rPr>
      </w:pPr>
      <w:r w:rsidRPr="004D2D8C">
        <w:rPr>
          <w:rFonts w:ascii="Comic Sans MS" w:hAnsi="Comic Sans MS"/>
          <w:sz w:val="20"/>
          <w:szCs w:val="20"/>
        </w:rPr>
        <w:t>ZAVRŠNE NAPOMEN</w:t>
      </w:r>
      <w:r w:rsidR="00B43E3F" w:rsidRPr="004D2D8C">
        <w:rPr>
          <w:rFonts w:ascii="Comic Sans MS" w:hAnsi="Comic Sans MS"/>
          <w:sz w:val="20"/>
          <w:szCs w:val="20"/>
        </w:rPr>
        <w:t>E................................................................................................</w:t>
      </w:r>
      <w:r w:rsidRPr="004D2D8C">
        <w:rPr>
          <w:rFonts w:ascii="Comic Sans MS" w:hAnsi="Comic Sans MS"/>
          <w:sz w:val="20"/>
          <w:szCs w:val="20"/>
        </w:rPr>
        <w:t>.........</w:t>
      </w:r>
    </w:p>
    <w:p w:rsidR="00B43E3F" w:rsidRPr="004D2D8C" w:rsidRDefault="00B43E3F" w:rsidP="002C3A1C">
      <w:pPr>
        <w:jc w:val="both"/>
        <w:rPr>
          <w:rFonts w:ascii="Comic Sans MS" w:hAnsi="Comic Sans MS"/>
          <w:sz w:val="20"/>
          <w:szCs w:val="20"/>
        </w:rPr>
      </w:pPr>
      <w:r w:rsidRPr="004D2D8C">
        <w:rPr>
          <w:rFonts w:ascii="Comic Sans MS" w:hAnsi="Comic Sans MS"/>
          <w:sz w:val="20"/>
          <w:szCs w:val="20"/>
        </w:rPr>
        <w:t>GLOSAR.............................................................................................................</w:t>
      </w:r>
      <w:r w:rsidR="006921D0" w:rsidRPr="004D2D8C">
        <w:rPr>
          <w:rFonts w:ascii="Comic Sans MS" w:hAnsi="Comic Sans MS"/>
          <w:sz w:val="20"/>
          <w:szCs w:val="20"/>
        </w:rPr>
        <w:t>.......................</w:t>
      </w:r>
    </w:p>
    <w:p w:rsidR="00B43E3F" w:rsidRPr="004D2D8C" w:rsidRDefault="00B43E3F" w:rsidP="002C3A1C">
      <w:pPr>
        <w:jc w:val="both"/>
        <w:rPr>
          <w:rFonts w:ascii="Comic Sans MS" w:hAnsi="Comic Sans MS"/>
          <w:sz w:val="20"/>
          <w:szCs w:val="20"/>
        </w:rPr>
      </w:pPr>
    </w:p>
    <w:p w:rsidR="00B43E3F" w:rsidRPr="004D2D8C" w:rsidRDefault="00D8508A" w:rsidP="002C3A1C">
      <w:pPr>
        <w:jc w:val="both"/>
        <w:rPr>
          <w:rFonts w:ascii="Comic Sans MS" w:hAnsi="Comic Sans MS"/>
          <w:b/>
          <w:sz w:val="20"/>
          <w:szCs w:val="20"/>
        </w:rPr>
      </w:pPr>
      <w:r w:rsidRPr="004D2D8C">
        <w:rPr>
          <w:rFonts w:ascii="Comic Sans MS" w:hAnsi="Comic Sans MS"/>
          <w:b/>
          <w:sz w:val="20"/>
          <w:szCs w:val="20"/>
        </w:rPr>
        <w:t>KRATICE</w:t>
      </w:r>
    </w:p>
    <w:tbl>
      <w:tblPr>
        <w:tblStyle w:val="TableGrid"/>
        <w:tblW w:w="9209" w:type="dxa"/>
        <w:tblLook w:val="04A0" w:firstRow="1" w:lastRow="0" w:firstColumn="1" w:lastColumn="0" w:noHBand="0" w:noVBand="1"/>
      </w:tblPr>
      <w:tblGrid>
        <w:gridCol w:w="3964"/>
        <w:gridCol w:w="5245"/>
      </w:tblGrid>
      <w:tr w:rsidR="00D8508A" w:rsidRPr="004D2D8C" w:rsidTr="00EE10EA">
        <w:tc>
          <w:tcPr>
            <w:tcW w:w="3964" w:type="dxa"/>
          </w:tcPr>
          <w:p w:rsidR="00D8508A" w:rsidRPr="004D2D8C" w:rsidRDefault="00D8508A" w:rsidP="00D8508A">
            <w:pPr>
              <w:rPr>
                <w:rFonts w:ascii="Comic Sans MS" w:hAnsi="Comic Sans MS"/>
                <w:sz w:val="20"/>
                <w:szCs w:val="20"/>
              </w:rPr>
            </w:pPr>
            <w:r w:rsidRPr="004D2D8C">
              <w:rPr>
                <w:rFonts w:ascii="Comic Sans MS" w:hAnsi="Comic Sans MS"/>
                <w:sz w:val="20"/>
                <w:szCs w:val="20"/>
              </w:rPr>
              <w:t xml:space="preserve">ACP </w:t>
            </w:r>
          </w:p>
        </w:tc>
        <w:tc>
          <w:tcPr>
            <w:tcW w:w="5245" w:type="dxa"/>
          </w:tcPr>
          <w:p w:rsidR="00D8508A" w:rsidRPr="004D2D8C" w:rsidRDefault="00D8508A" w:rsidP="006D2898">
            <w:pPr>
              <w:rPr>
                <w:rFonts w:ascii="Comic Sans MS" w:hAnsi="Comic Sans MS"/>
                <w:sz w:val="20"/>
                <w:szCs w:val="20"/>
              </w:rPr>
            </w:pPr>
            <w:r w:rsidRPr="004D2D8C">
              <w:rPr>
                <w:rFonts w:ascii="Comic Sans MS" w:hAnsi="Comic Sans MS"/>
                <w:sz w:val="20"/>
                <w:szCs w:val="20"/>
              </w:rPr>
              <w:t>A</w:t>
            </w:r>
            <w:r w:rsidR="006D2898" w:rsidRPr="004D2D8C">
              <w:rPr>
                <w:rFonts w:ascii="Comic Sans MS" w:hAnsi="Comic Sans MS"/>
                <w:sz w:val="20"/>
                <w:szCs w:val="20"/>
              </w:rPr>
              <w:t>fričke, karipske i pacifičke države</w:t>
            </w:r>
          </w:p>
        </w:tc>
      </w:tr>
      <w:tr w:rsidR="00D8508A" w:rsidRPr="004D2D8C" w:rsidTr="00EE10EA">
        <w:tc>
          <w:tcPr>
            <w:tcW w:w="3964" w:type="dxa"/>
          </w:tcPr>
          <w:p w:rsidR="00D8508A" w:rsidRPr="004D2D8C" w:rsidRDefault="00D8508A" w:rsidP="00D8508A">
            <w:pPr>
              <w:rPr>
                <w:rFonts w:ascii="Comic Sans MS" w:hAnsi="Comic Sans MS"/>
                <w:sz w:val="20"/>
                <w:szCs w:val="20"/>
              </w:rPr>
            </w:pPr>
            <w:r w:rsidRPr="004D2D8C">
              <w:rPr>
                <w:rFonts w:ascii="Comic Sans MS" w:hAnsi="Comic Sans MS"/>
                <w:sz w:val="20"/>
                <w:szCs w:val="20"/>
              </w:rPr>
              <w:t xml:space="preserve">BAT </w:t>
            </w:r>
          </w:p>
        </w:tc>
        <w:tc>
          <w:tcPr>
            <w:tcW w:w="5245" w:type="dxa"/>
          </w:tcPr>
          <w:p w:rsidR="00D8508A" w:rsidRPr="004D2D8C" w:rsidRDefault="006D2898" w:rsidP="006D2898">
            <w:pPr>
              <w:rPr>
                <w:rFonts w:ascii="Comic Sans MS" w:hAnsi="Comic Sans MS"/>
                <w:sz w:val="20"/>
                <w:szCs w:val="20"/>
              </w:rPr>
            </w:pPr>
            <w:r w:rsidRPr="004D2D8C">
              <w:rPr>
                <w:rFonts w:ascii="Comic Sans MS" w:hAnsi="Comic Sans MS"/>
                <w:sz w:val="20"/>
                <w:szCs w:val="20"/>
              </w:rPr>
              <w:t xml:space="preserve">Najbolja raspoloživa tehnologija </w:t>
            </w:r>
          </w:p>
        </w:tc>
      </w:tr>
      <w:tr w:rsidR="00D8508A" w:rsidRPr="004D2D8C" w:rsidTr="00EE10EA">
        <w:tc>
          <w:tcPr>
            <w:tcW w:w="3964" w:type="dxa"/>
          </w:tcPr>
          <w:p w:rsidR="00D8508A" w:rsidRPr="004D2D8C" w:rsidRDefault="00D8508A" w:rsidP="00D8508A">
            <w:pPr>
              <w:rPr>
                <w:rFonts w:ascii="Comic Sans MS" w:hAnsi="Comic Sans MS"/>
                <w:sz w:val="20"/>
                <w:szCs w:val="20"/>
              </w:rPr>
            </w:pPr>
            <w:r w:rsidRPr="004D2D8C">
              <w:rPr>
                <w:rFonts w:ascii="Comic Sans MS" w:hAnsi="Comic Sans MS"/>
                <w:sz w:val="20"/>
                <w:szCs w:val="20"/>
              </w:rPr>
              <w:t xml:space="preserve">BBOP </w:t>
            </w:r>
          </w:p>
        </w:tc>
        <w:tc>
          <w:tcPr>
            <w:tcW w:w="5245" w:type="dxa"/>
          </w:tcPr>
          <w:p w:rsidR="00D8508A" w:rsidRPr="004D2D8C" w:rsidRDefault="00321196" w:rsidP="00321196">
            <w:pPr>
              <w:rPr>
                <w:rFonts w:ascii="Comic Sans MS" w:hAnsi="Comic Sans MS"/>
                <w:sz w:val="20"/>
                <w:szCs w:val="20"/>
              </w:rPr>
            </w:pPr>
            <w:r w:rsidRPr="004D2D8C">
              <w:rPr>
                <w:rFonts w:ascii="Comic Sans MS" w:hAnsi="Comic Sans MS"/>
                <w:sz w:val="20"/>
                <w:szCs w:val="20"/>
              </w:rPr>
              <w:t xml:space="preserve">Program kompenzacije poslovanja i bioraznolikosti </w:t>
            </w:r>
          </w:p>
        </w:tc>
      </w:tr>
      <w:tr w:rsidR="00D8508A" w:rsidRPr="004D2D8C" w:rsidTr="00EE10EA">
        <w:tc>
          <w:tcPr>
            <w:tcW w:w="3964" w:type="dxa"/>
          </w:tcPr>
          <w:p w:rsidR="00D8508A" w:rsidRPr="004D2D8C" w:rsidRDefault="00D8508A" w:rsidP="00D8508A">
            <w:pPr>
              <w:rPr>
                <w:rFonts w:ascii="Comic Sans MS" w:hAnsi="Comic Sans MS"/>
                <w:sz w:val="20"/>
                <w:szCs w:val="20"/>
              </w:rPr>
            </w:pPr>
            <w:r w:rsidRPr="004D2D8C">
              <w:rPr>
                <w:rFonts w:ascii="Comic Sans MS" w:hAnsi="Comic Sans MS"/>
                <w:sz w:val="20"/>
                <w:szCs w:val="20"/>
              </w:rPr>
              <w:t xml:space="preserve">BREFs </w:t>
            </w:r>
          </w:p>
        </w:tc>
        <w:tc>
          <w:tcPr>
            <w:tcW w:w="5245" w:type="dxa"/>
          </w:tcPr>
          <w:p w:rsidR="00D8508A" w:rsidRPr="004D2D8C" w:rsidRDefault="00826D70" w:rsidP="00826D70">
            <w:pPr>
              <w:rPr>
                <w:rFonts w:ascii="Comic Sans MS" w:hAnsi="Comic Sans MS"/>
                <w:sz w:val="20"/>
                <w:szCs w:val="20"/>
              </w:rPr>
            </w:pPr>
            <w:r w:rsidRPr="004D2D8C">
              <w:rPr>
                <w:rFonts w:ascii="Comic Sans MS" w:hAnsi="Comic Sans MS"/>
                <w:sz w:val="20"/>
                <w:szCs w:val="20"/>
              </w:rPr>
              <w:t xml:space="preserve">BAT referentni dokumenti </w:t>
            </w:r>
          </w:p>
        </w:tc>
      </w:tr>
      <w:tr w:rsidR="00D8508A" w:rsidRPr="004D2D8C" w:rsidTr="00EE10EA">
        <w:tc>
          <w:tcPr>
            <w:tcW w:w="3964" w:type="dxa"/>
          </w:tcPr>
          <w:p w:rsidR="00D8508A" w:rsidRPr="004D2D8C" w:rsidRDefault="00D8508A" w:rsidP="00D8508A">
            <w:pPr>
              <w:rPr>
                <w:rFonts w:ascii="Comic Sans MS" w:hAnsi="Comic Sans MS"/>
                <w:sz w:val="20"/>
                <w:szCs w:val="20"/>
              </w:rPr>
            </w:pPr>
            <w:r w:rsidRPr="004D2D8C">
              <w:rPr>
                <w:rFonts w:ascii="Comic Sans MS" w:hAnsi="Comic Sans MS"/>
                <w:sz w:val="20"/>
                <w:szCs w:val="20"/>
              </w:rPr>
              <w:t xml:space="preserve">CA </w:t>
            </w:r>
          </w:p>
        </w:tc>
        <w:tc>
          <w:tcPr>
            <w:tcW w:w="5245" w:type="dxa"/>
          </w:tcPr>
          <w:p w:rsidR="00D8508A" w:rsidRPr="004D2D8C" w:rsidRDefault="00826D70" w:rsidP="00826D70">
            <w:pPr>
              <w:rPr>
                <w:rFonts w:ascii="Comic Sans MS" w:hAnsi="Comic Sans MS"/>
                <w:sz w:val="20"/>
                <w:szCs w:val="20"/>
              </w:rPr>
            </w:pPr>
            <w:r w:rsidRPr="004D2D8C">
              <w:rPr>
                <w:rFonts w:ascii="Comic Sans MS" w:hAnsi="Comic Sans MS"/>
                <w:sz w:val="20"/>
                <w:szCs w:val="20"/>
              </w:rPr>
              <w:t xml:space="preserve">Nadležni organ/organi vlasti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CBD </w:t>
            </w:r>
          </w:p>
        </w:tc>
        <w:tc>
          <w:tcPr>
            <w:tcW w:w="5245" w:type="dxa"/>
          </w:tcPr>
          <w:p w:rsidR="00AB58A8" w:rsidRPr="004D2D8C" w:rsidRDefault="00826D70" w:rsidP="00826D70">
            <w:pPr>
              <w:jc w:val="both"/>
              <w:rPr>
                <w:rFonts w:ascii="Comic Sans MS" w:hAnsi="Comic Sans MS"/>
                <w:sz w:val="20"/>
                <w:szCs w:val="20"/>
              </w:rPr>
            </w:pPr>
            <w:r w:rsidRPr="004D2D8C">
              <w:rPr>
                <w:rFonts w:ascii="Comic Sans MS" w:hAnsi="Comic Sans MS"/>
                <w:sz w:val="20"/>
                <w:szCs w:val="20"/>
              </w:rPr>
              <w:t xml:space="preserve">Konvenciji o biološkoj raznolikosti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CEB </w:t>
            </w:r>
          </w:p>
        </w:tc>
        <w:tc>
          <w:tcPr>
            <w:tcW w:w="5245" w:type="dxa"/>
          </w:tcPr>
          <w:p w:rsidR="00AB58A8" w:rsidRPr="004D2D8C" w:rsidRDefault="00826D70" w:rsidP="00826D70">
            <w:pPr>
              <w:jc w:val="both"/>
              <w:rPr>
                <w:rFonts w:ascii="Comic Sans MS" w:hAnsi="Comic Sans MS"/>
                <w:sz w:val="20"/>
                <w:szCs w:val="20"/>
              </w:rPr>
            </w:pPr>
            <w:r w:rsidRPr="004D2D8C">
              <w:rPr>
                <w:rFonts w:ascii="Comic Sans MS" w:hAnsi="Comic Sans MS"/>
                <w:sz w:val="20"/>
                <w:szCs w:val="20"/>
              </w:rPr>
              <w:t xml:space="preserve">Razvojna banka Vijeća </w:t>
            </w:r>
            <w:r w:rsidR="00AB58A8" w:rsidRPr="004D2D8C">
              <w:rPr>
                <w:rFonts w:ascii="Comic Sans MS" w:hAnsi="Comic Sans MS"/>
                <w:sz w:val="20"/>
                <w:szCs w:val="20"/>
              </w:rPr>
              <w:t>Europe</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CMS </w:t>
            </w:r>
          </w:p>
        </w:tc>
        <w:tc>
          <w:tcPr>
            <w:tcW w:w="5245" w:type="dxa"/>
          </w:tcPr>
          <w:p w:rsidR="00AB58A8" w:rsidRPr="004D2D8C" w:rsidRDefault="00ED25C0" w:rsidP="00ED25C0">
            <w:pPr>
              <w:jc w:val="both"/>
              <w:rPr>
                <w:rFonts w:ascii="Comic Sans MS" w:hAnsi="Comic Sans MS"/>
                <w:sz w:val="20"/>
                <w:szCs w:val="20"/>
              </w:rPr>
            </w:pPr>
            <w:r w:rsidRPr="004D2D8C">
              <w:rPr>
                <w:rFonts w:ascii="Comic Sans MS" w:hAnsi="Comic Sans MS"/>
                <w:sz w:val="20"/>
                <w:szCs w:val="20"/>
              </w:rPr>
              <w:t>Zaštita migratornih vrsta divljih životinja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COP </w:t>
            </w:r>
          </w:p>
        </w:tc>
        <w:tc>
          <w:tcPr>
            <w:tcW w:w="5245" w:type="dxa"/>
          </w:tcPr>
          <w:p w:rsidR="00AB58A8" w:rsidRPr="004D2D8C" w:rsidRDefault="00ED25C0" w:rsidP="00ED25C0">
            <w:pPr>
              <w:jc w:val="both"/>
              <w:rPr>
                <w:rFonts w:ascii="Comic Sans MS" w:hAnsi="Comic Sans MS"/>
                <w:sz w:val="20"/>
                <w:szCs w:val="20"/>
              </w:rPr>
            </w:pPr>
            <w:r w:rsidRPr="004D2D8C">
              <w:rPr>
                <w:rFonts w:ascii="Comic Sans MS" w:hAnsi="Comic Sans MS"/>
                <w:sz w:val="20"/>
                <w:szCs w:val="20"/>
              </w:rPr>
              <w:t>Korporativni operativni plan</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CSOs </w:t>
            </w:r>
          </w:p>
        </w:tc>
        <w:tc>
          <w:tcPr>
            <w:tcW w:w="5245" w:type="dxa"/>
          </w:tcPr>
          <w:p w:rsidR="00AB58A8" w:rsidRPr="004D2D8C" w:rsidRDefault="00ED25C0" w:rsidP="00ED25C0">
            <w:pPr>
              <w:jc w:val="both"/>
              <w:rPr>
                <w:rFonts w:ascii="Comic Sans MS" w:hAnsi="Comic Sans MS"/>
                <w:sz w:val="20"/>
                <w:szCs w:val="20"/>
              </w:rPr>
            </w:pPr>
            <w:r w:rsidRPr="004D2D8C">
              <w:rPr>
                <w:rFonts w:ascii="Comic Sans MS" w:hAnsi="Comic Sans MS"/>
                <w:sz w:val="20"/>
                <w:szCs w:val="20"/>
              </w:rPr>
              <w:t>Organizacije civilnog društva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DG ENV </w:t>
            </w:r>
          </w:p>
        </w:tc>
        <w:tc>
          <w:tcPr>
            <w:tcW w:w="5245" w:type="dxa"/>
          </w:tcPr>
          <w:p w:rsidR="00AB58A8" w:rsidRPr="004D2D8C" w:rsidRDefault="00ED25C0" w:rsidP="00ED25C0">
            <w:pPr>
              <w:jc w:val="both"/>
              <w:rPr>
                <w:rFonts w:ascii="Comic Sans MS" w:hAnsi="Comic Sans MS"/>
                <w:sz w:val="20"/>
                <w:szCs w:val="20"/>
              </w:rPr>
            </w:pPr>
            <w:r w:rsidRPr="004D2D8C">
              <w:rPr>
                <w:rFonts w:ascii="Comic Sans MS" w:hAnsi="Comic Sans MS"/>
                <w:sz w:val="20"/>
                <w:szCs w:val="20"/>
              </w:rPr>
              <w:t xml:space="preserve">Opća uprava za okoliš Europske komisije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EA </w:t>
            </w:r>
          </w:p>
        </w:tc>
        <w:tc>
          <w:tcPr>
            <w:tcW w:w="5245" w:type="dxa"/>
          </w:tcPr>
          <w:p w:rsidR="00AB58A8" w:rsidRPr="004D2D8C" w:rsidRDefault="00ED25C0" w:rsidP="00ED25C0">
            <w:pPr>
              <w:jc w:val="both"/>
              <w:rPr>
                <w:rFonts w:ascii="Comic Sans MS" w:hAnsi="Comic Sans MS"/>
                <w:sz w:val="20"/>
                <w:szCs w:val="20"/>
              </w:rPr>
            </w:pPr>
            <w:r w:rsidRPr="004D2D8C">
              <w:rPr>
                <w:rFonts w:ascii="Comic Sans MS" w:hAnsi="Comic Sans MS"/>
                <w:sz w:val="20"/>
                <w:szCs w:val="20"/>
              </w:rPr>
              <w:t xml:space="preserve">Okolišna procjena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EAP </w:t>
            </w:r>
          </w:p>
        </w:tc>
        <w:tc>
          <w:tcPr>
            <w:tcW w:w="5245" w:type="dxa"/>
          </w:tcPr>
          <w:p w:rsidR="00AB58A8" w:rsidRPr="004D2D8C" w:rsidRDefault="00ED25C0" w:rsidP="00ED25C0">
            <w:pPr>
              <w:jc w:val="both"/>
              <w:rPr>
                <w:rFonts w:ascii="Comic Sans MS" w:hAnsi="Comic Sans MS"/>
                <w:sz w:val="20"/>
                <w:szCs w:val="20"/>
              </w:rPr>
            </w:pPr>
            <w:r w:rsidRPr="004D2D8C">
              <w:rPr>
                <w:rFonts w:ascii="Comic Sans MS" w:hAnsi="Comic Sans MS"/>
                <w:sz w:val="20"/>
                <w:szCs w:val="20"/>
              </w:rPr>
              <w:t xml:space="preserve">Okolišni akcijski program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EBRD </w:t>
            </w:r>
          </w:p>
        </w:tc>
        <w:tc>
          <w:tcPr>
            <w:tcW w:w="5245" w:type="dxa"/>
          </w:tcPr>
          <w:p w:rsidR="00AB58A8" w:rsidRPr="004D2D8C" w:rsidRDefault="00AB58A8" w:rsidP="00ED25C0">
            <w:pPr>
              <w:jc w:val="both"/>
              <w:rPr>
                <w:rFonts w:ascii="Comic Sans MS" w:hAnsi="Comic Sans MS"/>
                <w:sz w:val="20"/>
                <w:szCs w:val="20"/>
              </w:rPr>
            </w:pPr>
            <w:r w:rsidRPr="004D2D8C">
              <w:rPr>
                <w:rFonts w:ascii="Comic Sans MS" w:hAnsi="Comic Sans MS"/>
                <w:sz w:val="20"/>
                <w:szCs w:val="20"/>
              </w:rPr>
              <w:t>Europ</w:t>
            </w:r>
            <w:r w:rsidR="00ED25C0" w:rsidRPr="004D2D8C">
              <w:rPr>
                <w:rFonts w:ascii="Comic Sans MS" w:hAnsi="Comic Sans MS"/>
                <w:sz w:val="20"/>
                <w:szCs w:val="20"/>
              </w:rPr>
              <w:t>ska ba</w:t>
            </w:r>
            <w:r w:rsidRPr="004D2D8C">
              <w:rPr>
                <w:rFonts w:ascii="Comic Sans MS" w:hAnsi="Comic Sans MS"/>
                <w:sz w:val="20"/>
                <w:szCs w:val="20"/>
              </w:rPr>
              <w:t>nk</w:t>
            </w:r>
            <w:r w:rsidR="00ED25C0" w:rsidRPr="004D2D8C">
              <w:rPr>
                <w:rFonts w:ascii="Comic Sans MS" w:hAnsi="Comic Sans MS"/>
                <w:sz w:val="20"/>
                <w:szCs w:val="20"/>
              </w:rPr>
              <w:t xml:space="preserve">a za obnovu i razvoj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EC </w:t>
            </w:r>
          </w:p>
        </w:tc>
        <w:tc>
          <w:tcPr>
            <w:tcW w:w="5245" w:type="dxa"/>
          </w:tcPr>
          <w:p w:rsidR="00AB58A8" w:rsidRPr="004D2D8C" w:rsidRDefault="00AB58A8" w:rsidP="00ED25C0">
            <w:pPr>
              <w:jc w:val="both"/>
              <w:rPr>
                <w:rFonts w:ascii="Comic Sans MS" w:hAnsi="Comic Sans MS"/>
                <w:sz w:val="20"/>
                <w:szCs w:val="20"/>
              </w:rPr>
            </w:pPr>
            <w:r w:rsidRPr="004D2D8C">
              <w:rPr>
                <w:rFonts w:ascii="Comic Sans MS" w:hAnsi="Comic Sans MS"/>
                <w:sz w:val="20"/>
                <w:szCs w:val="20"/>
              </w:rPr>
              <w:t>Europ</w:t>
            </w:r>
            <w:r w:rsidR="00ED25C0" w:rsidRPr="004D2D8C">
              <w:rPr>
                <w:rFonts w:ascii="Comic Sans MS" w:hAnsi="Comic Sans MS"/>
                <w:sz w:val="20"/>
                <w:szCs w:val="20"/>
              </w:rPr>
              <w:t xml:space="preserve">ska komisija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ECCP </w:t>
            </w:r>
          </w:p>
        </w:tc>
        <w:tc>
          <w:tcPr>
            <w:tcW w:w="5245" w:type="dxa"/>
          </w:tcPr>
          <w:p w:rsidR="00AB58A8" w:rsidRPr="004D2D8C" w:rsidRDefault="00ED25C0" w:rsidP="00ED25C0">
            <w:pPr>
              <w:jc w:val="both"/>
              <w:rPr>
                <w:rFonts w:ascii="Comic Sans MS" w:hAnsi="Comic Sans MS"/>
                <w:sz w:val="20"/>
                <w:szCs w:val="20"/>
              </w:rPr>
            </w:pPr>
            <w:r w:rsidRPr="004D2D8C">
              <w:rPr>
                <w:rFonts w:ascii="Comic Sans MS" w:hAnsi="Comic Sans MS"/>
                <w:sz w:val="20"/>
                <w:szCs w:val="20"/>
              </w:rPr>
              <w:t xml:space="preserve">Europski program za klimatske promjene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EEA </w:t>
            </w:r>
          </w:p>
        </w:tc>
        <w:tc>
          <w:tcPr>
            <w:tcW w:w="5245" w:type="dxa"/>
          </w:tcPr>
          <w:p w:rsidR="00AB58A8" w:rsidRPr="004D2D8C" w:rsidRDefault="00B00D28" w:rsidP="00B00D28">
            <w:pPr>
              <w:jc w:val="both"/>
              <w:rPr>
                <w:rFonts w:ascii="Comic Sans MS" w:hAnsi="Comic Sans MS"/>
                <w:sz w:val="20"/>
                <w:szCs w:val="20"/>
              </w:rPr>
            </w:pPr>
            <w:r w:rsidRPr="004D2D8C">
              <w:rPr>
                <w:rFonts w:ascii="Comic Sans MS" w:hAnsi="Comic Sans MS"/>
                <w:sz w:val="20"/>
                <w:szCs w:val="20"/>
              </w:rPr>
              <w:t xml:space="preserve">Europska agencija za okoliš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EIA </w:t>
            </w:r>
          </w:p>
        </w:tc>
        <w:tc>
          <w:tcPr>
            <w:tcW w:w="5245" w:type="dxa"/>
          </w:tcPr>
          <w:p w:rsidR="00AB58A8" w:rsidRPr="004D2D8C" w:rsidRDefault="00ED20A8" w:rsidP="00ED20A8">
            <w:pPr>
              <w:jc w:val="both"/>
              <w:rPr>
                <w:rFonts w:ascii="Comic Sans MS" w:hAnsi="Comic Sans MS"/>
                <w:sz w:val="20"/>
                <w:szCs w:val="20"/>
              </w:rPr>
            </w:pPr>
            <w:r w:rsidRPr="004D2D8C">
              <w:rPr>
                <w:rFonts w:ascii="Comic Sans MS" w:hAnsi="Comic Sans MS"/>
                <w:sz w:val="20"/>
                <w:szCs w:val="20"/>
              </w:rPr>
              <w:t>Procjena utjecaja na okoliš</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EIB </w:t>
            </w:r>
          </w:p>
        </w:tc>
        <w:tc>
          <w:tcPr>
            <w:tcW w:w="5245" w:type="dxa"/>
          </w:tcPr>
          <w:p w:rsidR="00AB58A8" w:rsidRPr="004D2D8C" w:rsidRDefault="00AB58A8" w:rsidP="00ED20A8">
            <w:pPr>
              <w:jc w:val="both"/>
              <w:rPr>
                <w:rFonts w:ascii="Comic Sans MS" w:hAnsi="Comic Sans MS"/>
                <w:sz w:val="20"/>
                <w:szCs w:val="20"/>
              </w:rPr>
            </w:pPr>
            <w:r w:rsidRPr="004D2D8C">
              <w:rPr>
                <w:rFonts w:ascii="Comic Sans MS" w:hAnsi="Comic Sans MS"/>
                <w:sz w:val="20"/>
                <w:szCs w:val="20"/>
              </w:rPr>
              <w:t>Europ</w:t>
            </w:r>
            <w:r w:rsidR="00ED20A8" w:rsidRPr="004D2D8C">
              <w:rPr>
                <w:rFonts w:ascii="Comic Sans MS" w:hAnsi="Comic Sans MS"/>
                <w:sz w:val="20"/>
                <w:szCs w:val="20"/>
              </w:rPr>
              <w:t>ska investicijska b</w:t>
            </w:r>
            <w:r w:rsidRPr="004D2D8C">
              <w:rPr>
                <w:rFonts w:ascii="Comic Sans MS" w:hAnsi="Comic Sans MS"/>
                <w:sz w:val="20"/>
                <w:szCs w:val="20"/>
              </w:rPr>
              <w:t>ank</w:t>
            </w:r>
            <w:r w:rsidR="00ED20A8" w:rsidRPr="004D2D8C">
              <w:rPr>
                <w:rFonts w:ascii="Comic Sans MS" w:hAnsi="Comic Sans MS"/>
                <w:sz w:val="20"/>
                <w:szCs w:val="20"/>
              </w:rPr>
              <w:t>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EIF </w:t>
            </w:r>
          </w:p>
        </w:tc>
        <w:tc>
          <w:tcPr>
            <w:tcW w:w="5245" w:type="dxa"/>
          </w:tcPr>
          <w:p w:rsidR="00AB58A8" w:rsidRPr="004D2D8C" w:rsidRDefault="00AB58A8" w:rsidP="00ED20A8">
            <w:pPr>
              <w:jc w:val="both"/>
              <w:rPr>
                <w:rFonts w:ascii="Comic Sans MS" w:hAnsi="Comic Sans MS"/>
                <w:sz w:val="20"/>
                <w:szCs w:val="20"/>
              </w:rPr>
            </w:pPr>
            <w:r w:rsidRPr="004D2D8C">
              <w:rPr>
                <w:rFonts w:ascii="Comic Sans MS" w:hAnsi="Comic Sans MS"/>
                <w:sz w:val="20"/>
                <w:szCs w:val="20"/>
              </w:rPr>
              <w:t>Europ</w:t>
            </w:r>
            <w:r w:rsidR="00ED20A8" w:rsidRPr="004D2D8C">
              <w:rPr>
                <w:rFonts w:ascii="Comic Sans MS" w:hAnsi="Comic Sans MS"/>
                <w:sz w:val="20"/>
                <w:szCs w:val="20"/>
              </w:rPr>
              <w:t xml:space="preserve">ski investicijski fond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EIS </w:t>
            </w:r>
          </w:p>
        </w:tc>
        <w:tc>
          <w:tcPr>
            <w:tcW w:w="5245" w:type="dxa"/>
          </w:tcPr>
          <w:p w:rsidR="00AB58A8" w:rsidRPr="004D2D8C" w:rsidRDefault="00ED20A8" w:rsidP="00ED20A8">
            <w:pPr>
              <w:jc w:val="both"/>
              <w:rPr>
                <w:rFonts w:ascii="Comic Sans MS" w:hAnsi="Comic Sans MS"/>
                <w:sz w:val="20"/>
                <w:szCs w:val="20"/>
              </w:rPr>
            </w:pPr>
            <w:r w:rsidRPr="004D2D8C">
              <w:rPr>
                <w:rFonts w:ascii="Comic Sans MS" w:hAnsi="Comic Sans MS"/>
                <w:sz w:val="20"/>
                <w:szCs w:val="20"/>
              </w:rPr>
              <w:t>Studija utjecaja na okoliš/Izjava o utjecaju na okoliš</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EITI </w:t>
            </w:r>
          </w:p>
        </w:tc>
        <w:tc>
          <w:tcPr>
            <w:tcW w:w="5245" w:type="dxa"/>
          </w:tcPr>
          <w:p w:rsidR="00AB58A8" w:rsidRPr="004D2D8C" w:rsidRDefault="002E777D" w:rsidP="002E777D">
            <w:pPr>
              <w:jc w:val="both"/>
              <w:rPr>
                <w:rFonts w:ascii="Comic Sans MS" w:hAnsi="Comic Sans MS"/>
                <w:sz w:val="20"/>
                <w:szCs w:val="20"/>
              </w:rPr>
            </w:pPr>
            <w:r w:rsidRPr="004D2D8C">
              <w:rPr>
                <w:rFonts w:ascii="Comic Sans MS" w:hAnsi="Comic Sans MS"/>
                <w:sz w:val="20"/>
                <w:szCs w:val="20"/>
              </w:rPr>
              <w:t>Inicijativa za transparentnost ekstraktivnih industrija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EMAS </w:t>
            </w:r>
          </w:p>
        </w:tc>
        <w:tc>
          <w:tcPr>
            <w:tcW w:w="5245" w:type="dxa"/>
          </w:tcPr>
          <w:p w:rsidR="00AB58A8" w:rsidRPr="004D2D8C" w:rsidRDefault="00EE10EA" w:rsidP="00EE10EA">
            <w:pPr>
              <w:jc w:val="both"/>
              <w:rPr>
                <w:rFonts w:ascii="Comic Sans MS" w:hAnsi="Comic Sans MS"/>
                <w:sz w:val="20"/>
                <w:szCs w:val="20"/>
              </w:rPr>
            </w:pPr>
            <w:r w:rsidRPr="004D2D8C">
              <w:rPr>
                <w:rFonts w:ascii="Comic Sans MS" w:hAnsi="Comic Sans MS"/>
                <w:sz w:val="20"/>
                <w:szCs w:val="20"/>
              </w:rPr>
              <w:t xml:space="preserve">Sustav za ekološko upravljanje i neovisno ocjenjivanje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ESMP </w:t>
            </w:r>
          </w:p>
        </w:tc>
        <w:tc>
          <w:tcPr>
            <w:tcW w:w="5245" w:type="dxa"/>
          </w:tcPr>
          <w:p w:rsidR="00AB58A8" w:rsidRPr="004D2D8C" w:rsidRDefault="007914E5" w:rsidP="007914E5">
            <w:pPr>
              <w:jc w:val="both"/>
              <w:rPr>
                <w:rFonts w:ascii="Comic Sans MS" w:hAnsi="Comic Sans MS"/>
                <w:sz w:val="20"/>
                <w:szCs w:val="20"/>
              </w:rPr>
            </w:pPr>
            <w:r w:rsidRPr="004D2D8C">
              <w:rPr>
                <w:rFonts w:ascii="Comic Sans MS" w:hAnsi="Comic Sans MS"/>
                <w:sz w:val="20"/>
                <w:szCs w:val="20"/>
              </w:rPr>
              <w:t>Okolišni i socijalni plan upravljanja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ESIAF </w:t>
            </w:r>
          </w:p>
        </w:tc>
        <w:tc>
          <w:tcPr>
            <w:tcW w:w="5245" w:type="dxa"/>
          </w:tcPr>
          <w:p w:rsidR="00AB58A8" w:rsidRPr="004D2D8C" w:rsidRDefault="0040304E" w:rsidP="007D61FE">
            <w:pPr>
              <w:jc w:val="both"/>
              <w:rPr>
                <w:rFonts w:ascii="Comic Sans MS" w:hAnsi="Comic Sans MS"/>
                <w:sz w:val="20"/>
                <w:szCs w:val="20"/>
              </w:rPr>
            </w:pPr>
            <w:r w:rsidRPr="004D2D8C">
              <w:rPr>
                <w:rFonts w:ascii="Comic Sans MS" w:hAnsi="Comic Sans MS"/>
                <w:sz w:val="20"/>
                <w:szCs w:val="20"/>
              </w:rPr>
              <w:t>Okvir za procjenu ekonomskog i socijalnog učinka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EO </w:t>
            </w:r>
          </w:p>
        </w:tc>
        <w:tc>
          <w:tcPr>
            <w:tcW w:w="5245" w:type="dxa"/>
          </w:tcPr>
          <w:p w:rsidR="00B00D28" w:rsidRPr="004D2D8C" w:rsidRDefault="00B00D28" w:rsidP="00B00D28">
            <w:pPr>
              <w:jc w:val="both"/>
              <w:rPr>
                <w:rFonts w:ascii="Comic Sans MS" w:hAnsi="Comic Sans MS"/>
                <w:sz w:val="20"/>
                <w:szCs w:val="20"/>
              </w:rPr>
            </w:pPr>
            <w:r w:rsidRPr="004D2D8C">
              <w:rPr>
                <w:rFonts w:ascii="Comic Sans MS" w:hAnsi="Comic Sans MS"/>
                <w:sz w:val="20"/>
                <w:szCs w:val="20"/>
              </w:rPr>
              <w:t>Europski ombudsman</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EPE </w:t>
            </w:r>
          </w:p>
        </w:tc>
        <w:tc>
          <w:tcPr>
            <w:tcW w:w="5245" w:type="dxa"/>
          </w:tcPr>
          <w:p w:rsidR="00AB58A8" w:rsidRPr="004D2D8C" w:rsidRDefault="007914E5" w:rsidP="007914E5">
            <w:pPr>
              <w:jc w:val="both"/>
              <w:rPr>
                <w:rFonts w:ascii="Comic Sans MS" w:hAnsi="Comic Sans MS"/>
                <w:sz w:val="20"/>
                <w:szCs w:val="20"/>
              </w:rPr>
            </w:pPr>
            <w:r w:rsidRPr="004D2D8C">
              <w:rPr>
                <w:rFonts w:ascii="Comic Sans MS" w:hAnsi="Comic Sans MS"/>
                <w:sz w:val="20"/>
                <w:szCs w:val="20"/>
              </w:rPr>
              <w:t xml:space="preserve">Europska načela za okoliš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ESIAF </w:t>
            </w:r>
          </w:p>
        </w:tc>
        <w:tc>
          <w:tcPr>
            <w:tcW w:w="5245" w:type="dxa"/>
          </w:tcPr>
          <w:p w:rsidR="00AB58A8" w:rsidRPr="004D2D8C" w:rsidRDefault="007D61FE" w:rsidP="007D61FE">
            <w:pPr>
              <w:jc w:val="both"/>
              <w:rPr>
                <w:rFonts w:ascii="Comic Sans MS" w:hAnsi="Comic Sans MS"/>
                <w:sz w:val="20"/>
                <w:szCs w:val="20"/>
              </w:rPr>
            </w:pPr>
            <w:r w:rsidRPr="004D2D8C">
              <w:rPr>
                <w:rFonts w:ascii="Comic Sans MS" w:hAnsi="Comic Sans MS"/>
                <w:sz w:val="20"/>
                <w:szCs w:val="20"/>
              </w:rPr>
              <w:t xml:space="preserve">Okvir za procjenu ekonomskog i socijalnog učinka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EU ETS </w:t>
            </w:r>
          </w:p>
        </w:tc>
        <w:tc>
          <w:tcPr>
            <w:tcW w:w="5245" w:type="dxa"/>
          </w:tcPr>
          <w:p w:rsidR="00AB58A8" w:rsidRPr="004D2D8C" w:rsidRDefault="007D61FE" w:rsidP="007D61FE">
            <w:pPr>
              <w:jc w:val="both"/>
              <w:rPr>
                <w:rFonts w:ascii="Comic Sans MS" w:hAnsi="Comic Sans MS"/>
                <w:sz w:val="20"/>
                <w:szCs w:val="20"/>
              </w:rPr>
            </w:pPr>
            <w:r w:rsidRPr="004D2D8C">
              <w:rPr>
                <w:rFonts w:ascii="Comic Sans MS" w:hAnsi="Comic Sans MS"/>
                <w:sz w:val="20"/>
                <w:szCs w:val="20"/>
              </w:rPr>
              <w:t>Sustav Europske unije za trgovanje emisijama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EU SDS </w:t>
            </w:r>
          </w:p>
        </w:tc>
        <w:tc>
          <w:tcPr>
            <w:tcW w:w="5245" w:type="dxa"/>
          </w:tcPr>
          <w:p w:rsidR="00AB58A8" w:rsidRPr="004D2D8C" w:rsidRDefault="00AB0D5D" w:rsidP="00AB0D5D">
            <w:pPr>
              <w:jc w:val="both"/>
              <w:rPr>
                <w:rFonts w:ascii="Comic Sans MS" w:hAnsi="Comic Sans MS"/>
                <w:sz w:val="20"/>
                <w:szCs w:val="20"/>
              </w:rPr>
            </w:pPr>
            <w:r w:rsidRPr="004D2D8C">
              <w:rPr>
                <w:rFonts w:ascii="Comic Sans MS" w:hAnsi="Comic Sans MS"/>
                <w:sz w:val="20"/>
                <w:szCs w:val="20"/>
              </w:rPr>
              <w:t xml:space="preserve">Strategija održivog razvoja Europske unije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EU </w:t>
            </w:r>
          </w:p>
        </w:tc>
        <w:tc>
          <w:tcPr>
            <w:tcW w:w="5245" w:type="dxa"/>
          </w:tcPr>
          <w:p w:rsidR="00AB58A8" w:rsidRPr="004D2D8C" w:rsidRDefault="00AB58A8" w:rsidP="007914E5">
            <w:pPr>
              <w:jc w:val="both"/>
              <w:rPr>
                <w:rFonts w:ascii="Comic Sans MS" w:hAnsi="Comic Sans MS"/>
                <w:sz w:val="20"/>
                <w:szCs w:val="20"/>
              </w:rPr>
            </w:pPr>
            <w:r w:rsidRPr="004D2D8C">
              <w:rPr>
                <w:rFonts w:ascii="Comic Sans MS" w:hAnsi="Comic Sans MS"/>
                <w:sz w:val="20"/>
                <w:szCs w:val="20"/>
              </w:rPr>
              <w:t>Europ</w:t>
            </w:r>
            <w:r w:rsidR="007914E5" w:rsidRPr="004D2D8C">
              <w:rPr>
                <w:rFonts w:ascii="Comic Sans MS" w:hAnsi="Comic Sans MS"/>
                <w:sz w:val="20"/>
                <w:szCs w:val="20"/>
              </w:rPr>
              <w:t xml:space="preserve">ska unija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FSC </w:t>
            </w:r>
          </w:p>
        </w:tc>
        <w:tc>
          <w:tcPr>
            <w:tcW w:w="5245" w:type="dxa"/>
          </w:tcPr>
          <w:p w:rsidR="00AB58A8" w:rsidRPr="004D2D8C" w:rsidRDefault="002E777D" w:rsidP="002E777D">
            <w:pPr>
              <w:jc w:val="both"/>
              <w:rPr>
                <w:rFonts w:ascii="Comic Sans MS" w:hAnsi="Comic Sans MS"/>
                <w:sz w:val="20"/>
                <w:szCs w:val="20"/>
              </w:rPr>
            </w:pPr>
            <w:r w:rsidRPr="004D2D8C">
              <w:rPr>
                <w:rFonts w:ascii="Comic Sans MS" w:hAnsi="Comic Sans MS"/>
                <w:sz w:val="20"/>
                <w:szCs w:val="20"/>
              </w:rPr>
              <w:t xml:space="preserve">Vijeće za nadzor šuma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FL </w:t>
            </w:r>
          </w:p>
        </w:tc>
        <w:tc>
          <w:tcPr>
            <w:tcW w:w="5245" w:type="dxa"/>
          </w:tcPr>
          <w:p w:rsidR="00AB58A8" w:rsidRPr="004D2D8C" w:rsidRDefault="007914E5" w:rsidP="007914E5">
            <w:pPr>
              <w:jc w:val="both"/>
              <w:rPr>
                <w:rFonts w:ascii="Comic Sans MS" w:hAnsi="Comic Sans MS"/>
                <w:sz w:val="20"/>
                <w:szCs w:val="20"/>
              </w:rPr>
            </w:pPr>
            <w:r w:rsidRPr="004D2D8C">
              <w:rPr>
                <w:rFonts w:ascii="Comic Sans MS" w:hAnsi="Comic Sans MS"/>
                <w:sz w:val="20"/>
                <w:szCs w:val="20"/>
              </w:rPr>
              <w:t xml:space="preserve">Okvirni krediti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FYROM </w:t>
            </w:r>
          </w:p>
        </w:tc>
        <w:tc>
          <w:tcPr>
            <w:tcW w:w="5245" w:type="dxa"/>
          </w:tcPr>
          <w:p w:rsidR="00AB58A8" w:rsidRPr="004D2D8C" w:rsidRDefault="007914E5" w:rsidP="007914E5">
            <w:pPr>
              <w:jc w:val="both"/>
              <w:rPr>
                <w:rFonts w:ascii="Comic Sans MS" w:hAnsi="Comic Sans MS"/>
                <w:sz w:val="20"/>
                <w:szCs w:val="20"/>
              </w:rPr>
            </w:pPr>
            <w:r w:rsidRPr="004D2D8C">
              <w:rPr>
                <w:rFonts w:ascii="Comic Sans MS" w:hAnsi="Comic Sans MS"/>
                <w:sz w:val="20"/>
                <w:szCs w:val="20"/>
              </w:rPr>
              <w:t>Bivša Jugoslavenska Republika Makedonija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GHG </w:t>
            </w:r>
          </w:p>
        </w:tc>
        <w:tc>
          <w:tcPr>
            <w:tcW w:w="5245" w:type="dxa"/>
          </w:tcPr>
          <w:p w:rsidR="007914E5" w:rsidRPr="004D2D8C" w:rsidRDefault="007914E5" w:rsidP="007914E5">
            <w:pPr>
              <w:jc w:val="both"/>
              <w:rPr>
                <w:rFonts w:ascii="Comic Sans MS" w:hAnsi="Comic Sans MS"/>
                <w:sz w:val="20"/>
                <w:szCs w:val="20"/>
              </w:rPr>
            </w:pPr>
            <w:r w:rsidRPr="004D2D8C">
              <w:rPr>
                <w:rFonts w:ascii="Comic Sans MS" w:hAnsi="Comic Sans MS"/>
                <w:sz w:val="20"/>
                <w:szCs w:val="20"/>
              </w:rPr>
              <w:t>Staklenički plinovi</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HELCOM </w:t>
            </w:r>
          </w:p>
        </w:tc>
        <w:tc>
          <w:tcPr>
            <w:tcW w:w="5245" w:type="dxa"/>
          </w:tcPr>
          <w:p w:rsidR="00AB58A8" w:rsidRPr="004D2D8C" w:rsidRDefault="00AB58A8" w:rsidP="00A40D93">
            <w:pPr>
              <w:jc w:val="both"/>
              <w:rPr>
                <w:rFonts w:ascii="Comic Sans MS" w:hAnsi="Comic Sans MS"/>
                <w:sz w:val="20"/>
                <w:szCs w:val="20"/>
              </w:rPr>
            </w:pPr>
            <w:r w:rsidRPr="004D2D8C">
              <w:rPr>
                <w:rFonts w:ascii="Comic Sans MS" w:hAnsi="Comic Sans MS"/>
                <w:sz w:val="20"/>
                <w:szCs w:val="20"/>
              </w:rPr>
              <w:t>Helsin</w:t>
            </w:r>
            <w:r w:rsidR="00A40D93" w:rsidRPr="004D2D8C">
              <w:rPr>
                <w:rFonts w:ascii="Comic Sans MS" w:hAnsi="Comic Sans MS"/>
                <w:sz w:val="20"/>
                <w:szCs w:val="20"/>
              </w:rPr>
              <w:t>ška k</w:t>
            </w:r>
            <w:r w:rsidRPr="004D2D8C">
              <w:rPr>
                <w:rFonts w:ascii="Comic Sans MS" w:hAnsi="Comic Sans MS"/>
                <w:sz w:val="20"/>
                <w:szCs w:val="20"/>
              </w:rPr>
              <w:t>omisi</w:t>
            </w:r>
            <w:r w:rsidR="00A40D93" w:rsidRPr="004D2D8C">
              <w:rPr>
                <w:rFonts w:ascii="Comic Sans MS" w:hAnsi="Comic Sans MS"/>
                <w:sz w:val="20"/>
                <w:szCs w:val="20"/>
              </w:rPr>
              <w:t>ja</w:t>
            </w:r>
            <w:r w:rsidRPr="004D2D8C">
              <w:rPr>
                <w:rFonts w:ascii="Comic Sans MS" w:hAnsi="Comic Sans MS"/>
                <w:sz w:val="20"/>
                <w:szCs w:val="20"/>
              </w:rPr>
              <w:t xml:space="preserve"> – </w:t>
            </w:r>
            <w:r w:rsidR="00A40D93" w:rsidRPr="004D2D8C">
              <w:rPr>
                <w:rFonts w:ascii="Comic Sans MS" w:hAnsi="Comic Sans MS"/>
                <w:sz w:val="20"/>
                <w:szCs w:val="20"/>
              </w:rPr>
              <w:t>Komisija za zaštitu morskog okoliša Baltičkog mora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IFC </w:t>
            </w:r>
          </w:p>
        </w:tc>
        <w:tc>
          <w:tcPr>
            <w:tcW w:w="5245" w:type="dxa"/>
          </w:tcPr>
          <w:p w:rsidR="00AB58A8" w:rsidRPr="004D2D8C" w:rsidRDefault="007914E5" w:rsidP="007914E5">
            <w:pPr>
              <w:jc w:val="both"/>
              <w:rPr>
                <w:rFonts w:ascii="Comic Sans MS" w:hAnsi="Comic Sans MS"/>
                <w:sz w:val="20"/>
                <w:szCs w:val="20"/>
              </w:rPr>
            </w:pPr>
            <w:r w:rsidRPr="004D2D8C">
              <w:rPr>
                <w:rFonts w:ascii="Comic Sans MS" w:hAnsi="Comic Sans MS"/>
                <w:sz w:val="20"/>
                <w:szCs w:val="20"/>
              </w:rPr>
              <w:t xml:space="preserve">Međunarodna financijska korporacija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IL </w:t>
            </w:r>
          </w:p>
        </w:tc>
        <w:tc>
          <w:tcPr>
            <w:tcW w:w="5245" w:type="dxa"/>
          </w:tcPr>
          <w:p w:rsidR="00AB58A8" w:rsidRPr="004D2D8C" w:rsidRDefault="007914E5" w:rsidP="007914E5">
            <w:pPr>
              <w:jc w:val="both"/>
              <w:rPr>
                <w:rFonts w:ascii="Comic Sans MS" w:hAnsi="Comic Sans MS"/>
                <w:sz w:val="20"/>
                <w:szCs w:val="20"/>
              </w:rPr>
            </w:pPr>
            <w:r w:rsidRPr="004D2D8C">
              <w:rPr>
                <w:rFonts w:ascii="Comic Sans MS" w:hAnsi="Comic Sans MS"/>
                <w:sz w:val="20"/>
                <w:szCs w:val="20"/>
              </w:rPr>
              <w:t xml:space="preserve">Investicijski krediti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ILO </w:t>
            </w:r>
          </w:p>
        </w:tc>
        <w:tc>
          <w:tcPr>
            <w:tcW w:w="5245" w:type="dxa"/>
          </w:tcPr>
          <w:p w:rsidR="00AB58A8" w:rsidRPr="004D2D8C" w:rsidRDefault="007914E5" w:rsidP="007914E5">
            <w:pPr>
              <w:jc w:val="both"/>
              <w:rPr>
                <w:rFonts w:ascii="Comic Sans MS" w:hAnsi="Comic Sans MS"/>
                <w:sz w:val="20"/>
                <w:szCs w:val="20"/>
              </w:rPr>
            </w:pPr>
            <w:r w:rsidRPr="004D2D8C">
              <w:rPr>
                <w:rFonts w:ascii="Comic Sans MS" w:hAnsi="Comic Sans MS"/>
                <w:sz w:val="20"/>
                <w:szCs w:val="20"/>
              </w:rPr>
              <w:t>Međunarodna organizacija rada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UNIPPC </w:t>
            </w:r>
          </w:p>
        </w:tc>
        <w:tc>
          <w:tcPr>
            <w:tcW w:w="5245" w:type="dxa"/>
          </w:tcPr>
          <w:p w:rsidR="00AB58A8" w:rsidRPr="004D2D8C" w:rsidRDefault="007914E5" w:rsidP="007914E5">
            <w:pPr>
              <w:jc w:val="both"/>
              <w:rPr>
                <w:rFonts w:ascii="Comic Sans MS" w:hAnsi="Comic Sans MS"/>
                <w:sz w:val="20"/>
                <w:szCs w:val="20"/>
              </w:rPr>
            </w:pPr>
            <w:r w:rsidRPr="004D2D8C">
              <w:rPr>
                <w:rFonts w:ascii="Comic Sans MS" w:hAnsi="Comic Sans MS"/>
                <w:sz w:val="20"/>
                <w:szCs w:val="20"/>
              </w:rPr>
              <w:t>Međuvladin panel o klimatskim promjenama UN-a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IPPC </w:t>
            </w:r>
          </w:p>
        </w:tc>
        <w:tc>
          <w:tcPr>
            <w:tcW w:w="5245" w:type="dxa"/>
          </w:tcPr>
          <w:p w:rsidR="00AB58A8" w:rsidRPr="004D2D8C" w:rsidRDefault="007914E5" w:rsidP="007914E5">
            <w:pPr>
              <w:jc w:val="both"/>
              <w:rPr>
                <w:rFonts w:ascii="Comic Sans MS" w:hAnsi="Comic Sans MS"/>
                <w:sz w:val="20"/>
                <w:szCs w:val="20"/>
              </w:rPr>
            </w:pPr>
            <w:r w:rsidRPr="004D2D8C">
              <w:rPr>
                <w:rFonts w:ascii="Comic Sans MS" w:hAnsi="Comic Sans MS"/>
                <w:sz w:val="20"/>
                <w:szCs w:val="20"/>
              </w:rPr>
              <w:t>Integrirana prevencija i kontrola onečišćenja</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ISO </w:t>
            </w:r>
          </w:p>
        </w:tc>
        <w:tc>
          <w:tcPr>
            <w:tcW w:w="5245" w:type="dxa"/>
          </w:tcPr>
          <w:p w:rsidR="00AB58A8" w:rsidRPr="004D2D8C" w:rsidRDefault="002E777D" w:rsidP="002E777D">
            <w:pPr>
              <w:jc w:val="both"/>
              <w:rPr>
                <w:rFonts w:ascii="Comic Sans MS" w:hAnsi="Comic Sans MS"/>
                <w:sz w:val="20"/>
                <w:szCs w:val="20"/>
              </w:rPr>
            </w:pPr>
            <w:r w:rsidRPr="004D2D8C">
              <w:rPr>
                <w:rFonts w:ascii="Comic Sans MS" w:hAnsi="Comic Sans MS"/>
                <w:sz w:val="20"/>
                <w:szCs w:val="20"/>
              </w:rPr>
              <w:t xml:space="preserve">Međunarodna organizacija za normizaciju </w:t>
            </w:r>
          </w:p>
        </w:tc>
      </w:tr>
      <w:tr w:rsidR="00AB58A8" w:rsidRPr="004D2D8C" w:rsidTr="00EE10EA">
        <w:tc>
          <w:tcPr>
            <w:tcW w:w="3964" w:type="dxa"/>
          </w:tcPr>
          <w:p w:rsidR="00AB58A8" w:rsidRPr="004D2D8C" w:rsidRDefault="00AB58A8" w:rsidP="00AB58A8">
            <w:pPr>
              <w:jc w:val="both"/>
              <w:rPr>
                <w:rFonts w:ascii="Comic Sans MS" w:hAnsi="Comic Sans MS"/>
                <w:sz w:val="20"/>
                <w:szCs w:val="20"/>
              </w:rPr>
            </w:pPr>
            <w:r w:rsidRPr="004D2D8C">
              <w:rPr>
                <w:rFonts w:ascii="Comic Sans MS" w:hAnsi="Comic Sans MS"/>
                <w:sz w:val="20"/>
                <w:szCs w:val="20"/>
              </w:rPr>
              <w:t xml:space="preserve">IUCN </w:t>
            </w:r>
          </w:p>
        </w:tc>
        <w:tc>
          <w:tcPr>
            <w:tcW w:w="5245" w:type="dxa"/>
          </w:tcPr>
          <w:p w:rsidR="00AB58A8" w:rsidRPr="004D2D8C" w:rsidRDefault="007914E5" w:rsidP="007914E5">
            <w:pPr>
              <w:jc w:val="both"/>
              <w:rPr>
                <w:rFonts w:ascii="Comic Sans MS" w:hAnsi="Comic Sans MS"/>
                <w:sz w:val="20"/>
                <w:szCs w:val="20"/>
              </w:rPr>
            </w:pPr>
            <w:r w:rsidRPr="004D2D8C">
              <w:rPr>
                <w:rFonts w:ascii="Comic Sans MS" w:hAnsi="Comic Sans MS"/>
                <w:sz w:val="20"/>
                <w:szCs w:val="20"/>
              </w:rPr>
              <w:t xml:space="preserve">Međunarodna unija za očuvanje prirode </w:t>
            </w:r>
          </w:p>
        </w:tc>
      </w:tr>
    </w:tbl>
    <w:p w:rsidR="00D8508A" w:rsidRPr="004D2D8C" w:rsidRDefault="00D8508A" w:rsidP="002C3A1C">
      <w:pPr>
        <w:jc w:val="both"/>
        <w:rPr>
          <w:rFonts w:ascii="Comic Sans MS" w:hAnsi="Comic Sans MS"/>
          <w:b/>
          <w:sz w:val="20"/>
          <w:szCs w:val="20"/>
        </w:rPr>
      </w:pPr>
    </w:p>
    <w:p w:rsidR="00B43E3F" w:rsidRPr="004D2D8C" w:rsidRDefault="00B43E3F" w:rsidP="002C3A1C">
      <w:pPr>
        <w:jc w:val="both"/>
        <w:rPr>
          <w:rFonts w:ascii="Comic Sans MS" w:hAnsi="Comic Sans MS"/>
          <w:sz w:val="20"/>
          <w:szCs w:val="20"/>
        </w:rPr>
      </w:pPr>
      <w:r w:rsidRPr="004D2D8C">
        <w:rPr>
          <w:rFonts w:ascii="Comic Sans MS" w:hAnsi="Comic Sans MS"/>
          <w:sz w:val="20"/>
          <w:szCs w:val="20"/>
        </w:rPr>
        <w:br w:type="page"/>
      </w:r>
    </w:p>
    <w:p w:rsidR="00C22516" w:rsidRPr="004D2D8C" w:rsidRDefault="00B43E3F" w:rsidP="002C3A1C">
      <w:pPr>
        <w:jc w:val="center"/>
        <w:rPr>
          <w:rFonts w:ascii="Comic Sans MS" w:hAnsi="Comic Sans MS"/>
          <w:b/>
          <w:sz w:val="20"/>
          <w:szCs w:val="20"/>
        </w:rPr>
      </w:pPr>
      <w:r w:rsidRPr="004D2D8C">
        <w:rPr>
          <w:rFonts w:ascii="Comic Sans MS" w:hAnsi="Comic Sans MS"/>
          <w:b/>
          <w:sz w:val="32"/>
          <w:szCs w:val="32"/>
        </w:rPr>
        <w:t>O</w:t>
      </w:r>
      <w:r w:rsidR="002118B9" w:rsidRPr="004D2D8C">
        <w:rPr>
          <w:rFonts w:ascii="Comic Sans MS" w:hAnsi="Comic Sans MS"/>
          <w:b/>
          <w:sz w:val="32"/>
          <w:szCs w:val="32"/>
        </w:rPr>
        <w:t>PĆENITO</w:t>
      </w:r>
    </w:p>
    <w:p w:rsidR="00C22516" w:rsidRPr="004D2D8C" w:rsidRDefault="00C22516" w:rsidP="002C3A1C">
      <w:pPr>
        <w:jc w:val="both"/>
        <w:rPr>
          <w:rFonts w:ascii="Comic Sans MS" w:hAnsi="Comic Sans MS"/>
          <w:sz w:val="20"/>
          <w:szCs w:val="20"/>
        </w:rPr>
      </w:pPr>
    </w:p>
    <w:p w:rsidR="002C3A1C" w:rsidRPr="004D2D8C" w:rsidRDefault="002118B9"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 xml:space="preserve">Kao institucija sa zadaćom dugoročnog financiranja </w:t>
      </w:r>
      <w:r w:rsidR="00B43E3F" w:rsidRPr="004D2D8C">
        <w:rPr>
          <w:rFonts w:ascii="Comic Sans MS" w:hAnsi="Comic Sans MS"/>
          <w:sz w:val="20"/>
          <w:szCs w:val="20"/>
        </w:rPr>
        <w:t>Europ</w:t>
      </w:r>
      <w:r w:rsidRPr="004D2D8C">
        <w:rPr>
          <w:rFonts w:ascii="Comic Sans MS" w:hAnsi="Comic Sans MS"/>
          <w:sz w:val="20"/>
          <w:szCs w:val="20"/>
        </w:rPr>
        <w:t>sk</w:t>
      </w:r>
      <w:r w:rsidR="00B43E3F" w:rsidRPr="004D2D8C">
        <w:rPr>
          <w:rFonts w:ascii="Comic Sans MS" w:hAnsi="Comic Sans MS"/>
          <w:sz w:val="20"/>
          <w:szCs w:val="20"/>
        </w:rPr>
        <w:t>e</w:t>
      </w:r>
      <w:r w:rsidRPr="004D2D8C">
        <w:rPr>
          <w:rFonts w:ascii="Comic Sans MS" w:hAnsi="Comic Sans MS"/>
          <w:sz w:val="20"/>
          <w:szCs w:val="20"/>
        </w:rPr>
        <w:t xml:space="preserve"> u</w:t>
      </w:r>
      <w:r w:rsidR="00B43E3F" w:rsidRPr="004D2D8C">
        <w:rPr>
          <w:rFonts w:ascii="Comic Sans MS" w:hAnsi="Comic Sans MS"/>
          <w:sz w:val="20"/>
          <w:szCs w:val="20"/>
        </w:rPr>
        <w:t>ni</w:t>
      </w:r>
      <w:r w:rsidRPr="004D2D8C">
        <w:rPr>
          <w:rFonts w:ascii="Comic Sans MS" w:hAnsi="Comic Sans MS"/>
          <w:sz w:val="20"/>
          <w:szCs w:val="20"/>
        </w:rPr>
        <w:t>je</w:t>
      </w:r>
      <w:r w:rsidR="00B43E3F" w:rsidRPr="004D2D8C">
        <w:rPr>
          <w:rFonts w:ascii="Comic Sans MS" w:hAnsi="Comic Sans MS"/>
          <w:sz w:val="20"/>
          <w:szCs w:val="20"/>
        </w:rPr>
        <w:t xml:space="preserve"> (EU), Europ</w:t>
      </w:r>
      <w:r w:rsidRPr="004D2D8C">
        <w:rPr>
          <w:rFonts w:ascii="Comic Sans MS" w:hAnsi="Comic Sans MS"/>
          <w:sz w:val="20"/>
          <w:szCs w:val="20"/>
        </w:rPr>
        <w:t>ska i</w:t>
      </w:r>
      <w:r w:rsidR="00B43E3F" w:rsidRPr="004D2D8C">
        <w:rPr>
          <w:rFonts w:ascii="Comic Sans MS" w:hAnsi="Comic Sans MS"/>
          <w:sz w:val="20"/>
          <w:szCs w:val="20"/>
        </w:rPr>
        <w:t>nvest</w:t>
      </w:r>
      <w:r w:rsidRPr="004D2D8C">
        <w:rPr>
          <w:rFonts w:ascii="Comic Sans MS" w:hAnsi="Comic Sans MS"/>
          <w:sz w:val="20"/>
          <w:szCs w:val="20"/>
        </w:rPr>
        <w:t>icijska b</w:t>
      </w:r>
      <w:r w:rsidR="00B43E3F" w:rsidRPr="004D2D8C">
        <w:rPr>
          <w:rFonts w:ascii="Comic Sans MS" w:hAnsi="Comic Sans MS"/>
          <w:sz w:val="20"/>
          <w:szCs w:val="20"/>
        </w:rPr>
        <w:t>ank</w:t>
      </w:r>
      <w:r w:rsidRPr="004D2D8C">
        <w:rPr>
          <w:rFonts w:ascii="Comic Sans MS" w:hAnsi="Comic Sans MS"/>
          <w:sz w:val="20"/>
          <w:szCs w:val="20"/>
        </w:rPr>
        <w:t>a</w:t>
      </w:r>
      <w:r w:rsidR="00B43E3F" w:rsidRPr="004D2D8C">
        <w:rPr>
          <w:rFonts w:ascii="Comic Sans MS" w:hAnsi="Comic Sans MS"/>
          <w:sz w:val="20"/>
          <w:szCs w:val="20"/>
        </w:rPr>
        <w:t xml:space="preserve"> (EIB) prom</w:t>
      </w:r>
      <w:r w:rsidRPr="004D2D8C">
        <w:rPr>
          <w:rFonts w:ascii="Comic Sans MS" w:hAnsi="Comic Sans MS"/>
          <w:sz w:val="20"/>
          <w:szCs w:val="20"/>
        </w:rPr>
        <w:t xml:space="preserve">iče politike </w:t>
      </w:r>
      <w:r w:rsidR="00B43E3F" w:rsidRPr="004D2D8C">
        <w:rPr>
          <w:rFonts w:ascii="Comic Sans MS" w:hAnsi="Comic Sans MS"/>
          <w:sz w:val="20"/>
          <w:szCs w:val="20"/>
        </w:rPr>
        <w:t>EU</w:t>
      </w:r>
      <w:r w:rsidRPr="004D2D8C">
        <w:rPr>
          <w:rFonts w:ascii="Comic Sans MS" w:hAnsi="Comic Sans MS"/>
          <w:sz w:val="20"/>
          <w:szCs w:val="20"/>
        </w:rPr>
        <w:t xml:space="preserve">-a </w:t>
      </w:r>
      <w:r w:rsidR="0055528B" w:rsidRPr="004D2D8C">
        <w:rPr>
          <w:rFonts w:ascii="Comic Sans MS" w:hAnsi="Comic Sans MS"/>
          <w:sz w:val="20"/>
          <w:szCs w:val="20"/>
        </w:rPr>
        <w:t>na način da održivim investicijskim projektima pruža financijsku potporu kao i ostale oblike potpore</w:t>
      </w:r>
      <w:r w:rsidR="00B43E3F" w:rsidRPr="004D2D8C">
        <w:rPr>
          <w:rFonts w:ascii="Comic Sans MS" w:hAnsi="Comic Sans MS"/>
          <w:sz w:val="20"/>
          <w:szCs w:val="20"/>
        </w:rPr>
        <w:t>.</w:t>
      </w:r>
      <w:r w:rsidR="0055528B" w:rsidRPr="004D2D8C">
        <w:rPr>
          <w:rFonts w:ascii="Comic Sans MS" w:hAnsi="Comic Sans MS"/>
          <w:sz w:val="20"/>
          <w:szCs w:val="20"/>
        </w:rPr>
        <w:t xml:space="preserve"> Sve veći značaj koji se u Europskoj uniji kao i na ostalim područjima na kojima Banka posluje pridaje ekološkim i socijalnim aspektima ogleda se u prioritetnim ciljevima njezinog kreditnog poslovanja kao i u redovitom praćenju i kontroli njezinih okolišnih i socijalnih zahtjeva i </w:t>
      </w:r>
      <w:r w:rsidR="000A009C" w:rsidRPr="004D2D8C">
        <w:rPr>
          <w:rFonts w:ascii="Comic Sans MS" w:hAnsi="Comic Sans MS"/>
          <w:sz w:val="20"/>
          <w:szCs w:val="20"/>
        </w:rPr>
        <w:t>poslovnih praksi.</w:t>
      </w:r>
    </w:p>
    <w:p w:rsidR="002C3A1C" w:rsidRPr="004D2D8C" w:rsidRDefault="002C3A1C" w:rsidP="002C3A1C">
      <w:pPr>
        <w:pStyle w:val="ListParagraph"/>
        <w:jc w:val="both"/>
        <w:rPr>
          <w:rFonts w:ascii="Comic Sans MS" w:hAnsi="Comic Sans MS"/>
          <w:sz w:val="20"/>
          <w:szCs w:val="20"/>
        </w:rPr>
      </w:pPr>
    </w:p>
    <w:p w:rsidR="002C3A1C" w:rsidRPr="004D2D8C" w:rsidRDefault="002118B9"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Okolišne i socijalne politike, načela i standardi kao</w:t>
      </w:r>
      <w:r w:rsidR="000A009C" w:rsidRPr="004D2D8C">
        <w:rPr>
          <w:rFonts w:ascii="Comic Sans MS" w:hAnsi="Comic Sans MS"/>
          <w:sz w:val="20"/>
          <w:szCs w:val="20"/>
        </w:rPr>
        <w:t xml:space="preserve"> i poslovne prakse EIB-a rezultat su i odraz </w:t>
      </w:r>
      <w:r w:rsidR="00304471" w:rsidRPr="004D2D8C">
        <w:rPr>
          <w:rFonts w:ascii="Comic Sans MS" w:hAnsi="Comic Sans MS"/>
          <w:sz w:val="20"/>
          <w:szCs w:val="20"/>
        </w:rPr>
        <w:t xml:space="preserve">sve snažnijeg </w:t>
      </w:r>
      <w:r w:rsidR="000A009C" w:rsidRPr="004D2D8C">
        <w:rPr>
          <w:rFonts w:ascii="Comic Sans MS" w:hAnsi="Comic Sans MS"/>
          <w:sz w:val="20"/>
          <w:szCs w:val="20"/>
        </w:rPr>
        <w:t>pristupa Europske unije i međunarodnih institucija</w:t>
      </w:r>
      <w:r w:rsidR="00304471" w:rsidRPr="004D2D8C">
        <w:rPr>
          <w:rFonts w:ascii="Comic Sans MS" w:hAnsi="Comic Sans MS"/>
          <w:sz w:val="20"/>
          <w:szCs w:val="20"/>
        </w:rPr>
        <w:t xml:space="preserve"> promoviranju okolišne održivosti i socijalnog blagostanja u širem kontekstu cilja održivog razvoja</w:t>
      </w:r>
      <w:r w:rsidR="00975991" w:rsidRPr="004D2D8C">
        <w:rPr>
          <w:rFonts w:ascii="Comic Sans MS" w:hAnsi="Comic Sans MS"/>
          <w:sz w:val="20"/>
          <w:szCs w:val="20"/>
        </w:rPr>
        <w:t>.</w:t>
      </w:r>
    </w:p>
    <w:p w:rsidR="002C3A1C" w:rsidRPr="004D2D8C" w:rsidRDefault="002C3A1C" w:rsidP="002C3A1C">
      <w:pPr>
        <w:pStyle w:val="ListParagraph"/>
        <w:rPr>
          <w:rFonts w:ascii="Comic Sans MS" w:hAnsi="Comic Sans MS"/>
          <w:sz w:val="20"/>
          <w:szCs w:val="20"/>
        </w:rPr>
      </w:pPr>
    </w:p>
    <w:p w:rsidR="0066087A" w:rsidRPr="004D2D8C" w:rsidRDefault="00975991"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EIB-ov ci</w:t>
      </w:r>
      <w:r w:rsidR="00304471" w:rsidRPr="004D2D8C">
        <w:rPr>
          <w:rFonts w:ascii="Comic Sans MS" w:hAnsi="Comic Sans MS"/>
          <w:sz w:val="20"/>
          <w:szCs w:val="20"/>
        </w:rPr>
        <w:t xml:space="preserve">lj </w:t>
      </w:r>
      <w:r w:rsidR="00E4513C" w:rsidRPr="004D2D8C">
        <w:rPr>
          <w:rFonts w:ascii="Comic Sans MS" w:hAnsi="Comic Sans MS"/>
          <w:sz w:val="20"/>
          <w:szCs w:val="20"/>
        </w:rPr>
        <w:t>stv</w:t>
      </w:r>
      <w:r w:rsidR="00AF238C" w:rsidRPr="004D2D8C">
        <w:rPr>
          <w:rFonts w:ascii="Comic Sans MS" w:hAnsi="Comic Sans MS"/>
          <w:sz w:val="20"/>
          <w:szCs w:val="20"/>
        </w:rPr>
        <w:t>arati</w:t>
      </w:r>
      <w:r w:rsidR="00E4513C" w:rsidRPr="004D2D8C">
        <w:rPr>
          <w:rFonts w:ascii="Comic Sans MS" w:hAnsi="Comic Sans MS"/>
          <w:sz w:val="20"/>
          <w:szCs w:val="20"/>
        </w:rPr>
        <w:t xml:space="preserve"> je dodanu vrijednost jačanjem okolišne i socijalne održivosti svih projekata koje financira pa </w:t>
      </w:r>
      <w:r w:rsidR="00043BD2" w:rsidRPr="004D2D8C">
        <w:rPr>
          <w:rFonts w:ascii="Comic Sans MS" w:hAnsi="Comic Sans MS"/>
          <w:sz w:val="20"/>
          <w:szCs w:val="20"/>
        </w:rPr>
        <w:t xml:space="preserve">stoga </w:t>
      </w:r>
      <w:r w:rsidR="00E4513C" w:rsidRPr="004D2D8C">
        <w:rPr>
          <w:rFonts w:ascii="Comic Sans MS" w:hAnsi="Comic Sans MS"/>
          <w:sz w:val="20"/>
          <w:szCs w:val="20"/>
        </w:rPr>
        <w:t>svi takvi projekti moraju biti usklađeni s okolišnim i socijalnim zahtjevima Banke</w:t>
      </w:r>
      <w:r w:rsidR="00B43E3F" w:rsidRPr="004D2D8C">
        <w:rPr>
          <w:rFonts w:ascii="Comic Sans MS" w:hAnsi="Comic Sans MS"/>
          <w:sz w:val="20"/>
          <w:szCs w:val="20"/>
        </w:rPr>
        <w:t xml:space="preserve">. </w:t>
      </w:r>
      <w:r w:rsidR="00E4513C" w:rsidRPr="004D2D8C">
        <w:rPr>
          <w:rFonts w:ascii="Comic Sans MS" w:hAnsi="Comic Sans MS"/>
          <w:sz w:val="20"/>
          <w:szCs w:val="20"/>
        </w:rPr>
        <w:t xml:space="preserve">Poglavito, </w:t>
      </w:r>
      <w:r w:rsidRPr="004D2D8C">
        <w:rPr>
          <w:rFonts w:ascii="Comic Sans MS" w:hAnsi="Comic Sans MS"/>
          <w:sz w:val="20"/>
          <w:szCs w:val="20"/>
        </w:rPr>
        <w:t xml:space="preserve">razmatranja </w:t>
      </w:r>
      <w:r w:rsidR="00E4513C" w:rsidRPr="004D2D8C">
        <w:rPr>
          <w:rFonts w:ascii="Comic Sans MS" w:hAnsi="Comic Sans MS"/>
          <w:sz w:val="20"/>
          <w:szCs w:val="20"/>
        </w:rPr>
        <w:t>k</w:t>
      </w:r>
      <w:r w:rsidR="00B43E3F" w:rsidRPr="004D2D8C">
        <w:rPr>
          <w:rFonts w:ascii="Comic Sans MS" w:hAnsi="Comic Sans MS"/>
          <w:sz w:val="20"/>
          <w:szCs w:val="20"/>
        </w:rPr>
        <w:t>limat</w:t>
      </w:r>
      <w:r w:rsidR="00E4513C" w:rsidRPr="004D2D8C">
        <w:rPr>
          <w:rFonts w:ascii="Comic Sans MS" w:hAnsi="Comic Sans MS"/>
          <w:sz w:val="20"/>
          <w:szCs w:val="20"/>
        </w:rPr>
        <w:t>sk</w:t>
      </w:r>
      <w:r w:rsidRPr="004D2D8C">
        <w:rPr>
          <w:rFonts w:ascii="Comic Sans MS" w:hAnsi="Comic Sans MS"/>
          <w:sz w:val="20"/>
          <w:szCs w:val="20"/>
        </w:rPr>
        <w:t>ih</w:t>
      </w:r>
      <w:r w:rsidR="00E4513C" w:rsidRPr="004D2D8C">
        <w:rPr>
          <w:rFonts w:ascii="Comic Sans MS" w:hAnsi="Comic Sans MS"/>
          <w:sz w:val="20"/>
          <w:szCs w:val="20"/>
        </w:rPr>
        <w:t xml:space="preserve"> promjen</w:t>
      </w:r>
      <w:r w:rsidRPr="004D2D8C">
        <w:rPr>
          <w:rFonts w:ascii="Comic Sans MS" w:hAnsi="Comic Sans MS"/>
          <w:sz w:val="20"/>
          <w:szCs w:val="20"/>
        </w:rPr>
        <w:t>a</w:t>
      </w:r>
      <w:r w:rsidR="00E4513C" w:rsidRPr="004D2D8C">
        <w:rPr>
          <w:rFonts w:ascii="Comic Sans MS" w:hAnsi="Comic Sans MS"/>
          <w:sz w:val="20"/>
          <w:szCs w:val="20"/>
        </w:rPr>
        <w:t>, bioraznolikost</w:t>
      </w:r>
      <w:r w:rsidRPr="004D2D8C">
        <w:rPr>
          <w:rFonts w:ascii="Comic Sans MS" w:hAnsi="Comic Sans MS"/>
          <w:sz w:val="20"/>
          <w:szCs w:val="20"/>
        </w:rPr>
        <w:t>i</w:t>
      </w:r>
      <w:r w:rsidR="00E4513C" w:rsidRPr="004D2D8C">
        <w:rPr>
          <w:rFonts w:ascii="Comic Sans MS" w:hAnsi="Comic Sans MS"/>
          <w:sz w:val="20"/>
          <w:szCs w:val="20"/>
        </w:rPr>
        <w:t xml:space="preserve"> i </w:t>
      </w:r>
      <w:r w:rsidR="00B43E3F" w:rsidRPr="004D2D8C">
        <w:rPr>
          <w:rFonts w:ascii="Comic Sans MS" w:hAnsi="Comic Sans MS"/>
          <w:sz w:val="20"/>
          <w:szCs w:val="20"/>
        </w:rPr>
        <w:t>e</w:t>
      </w:r>
      <w:r w:rsidR="00E4513C" w:rsidRPr="004D2D8C">
        <w:rPr>
          <w:rFonts w:ascii="Comic Sans MS" w:hAnsi="Comic Sans MS"/>
          <w:sz w:val="20"/>
          <w:szCs w:val="20"/>
        </w:rPr>
        <w:t>k</w:t>
      </w:r>
      <w:r w:rsidR="00B43E3F" w:rsidRPr="004D2D8C">
        <w:rPr>
          <w:rFonts w:ascii="Comic Sans MS" w:hAnsi="Comic Sans MS"/>
          <w:sz w:val="20"/>
          <w:szCs w:val="20"/>
        </w:rPr>
        <w:t>os</w:t>
      </w:r>
      <w:r w:rsidR="00E4513C" w:rsidRPr="004D2D8C">
        <w:rPr>
          <w:rFonts w:ascii="Comic Sans MS" w:hAnsi="Comic Sans MS"/>
          <w:sz w:val="20"/>
          <w:szCs w:val="20"/>
        </w:rPr>
        <w:t>u</w:t>
      </w:r>
      <w:r w:rsidR="00B43E3F" w:rsidRPr="004D2D8C">
        <w:rPr>
          <w:rFonts w:ascii="Comic Sans MS" w:hAnsi="Comic Sans MS"/>
          <w:sz w:val="20"/>
          <w:szCs w:val="20"/>
        </w:rPr>
        <w:t>st</w:t>
      </w:r>
      <w:r w:rsidR="00E4513C" w:rsidRPr="004D2D8C">
        <w:rPr>
          <w:rFonts w:ascii="Comic Sans MS" w:hAnsi="Comic Sans MS"/>
          <w:sz w:val="20"/>
          <w:szCs w:val="20"/>
        </w:rPr>
        <w:t>av</w:t>
      </w:r>
      <w:r w:rsidRPr="004D2D8C">
        <w:rPr>
          <w:rFonts w:ascii="Comic Sans MS" w:hAnsi="Comic Sans MS"/>
          <w:sz w:val="20"/>
          <w:szCs w:val="20"/>
        </w:rPr>
        <w:t xml:space="preserve">a sastavni su dio </w:t>
      </w:r>
      <w:r w:rsidR="00E4513C" w:rsidRPr="004D2D8C">
        <w:rPr>
          <w:rFonts w:ascii="Comic Sans MS" w:hAnsi="Comic Sans MS"/>
          <w:sz w:val="20"/>
          <w:szCs w:val="20"/>
        </w:rPr>
        <w:t>kreditn</w:t>
      </w:r>
      <w:r w:rsidRPr="004D2D8C">
        <w:rPr>
          <w:rFonts w:ascii="Comic Sans MS" w:hAnsi="Comic Sans MS"/>
          <w:sz w:val="20"/>
          <w:szCs w:val="20"/>
        </w:rPr>
        <w:t>ih</w:t>
      </w:r>
      <w:r w:rsidR="00E4513C" w:rsidRPr="004D2D8C">
        <w:rPr>
          <w:rFonts w:ascii="Comic Sans MS" w:hAnsi="Comic Sans MS"/>
          <w:sz w:val="20"/>
          <w:szCs w:val="20"/>
        </w:rPr>
        <w:t xml:space="preserve"> politik</w:t>
      </w:r>
      <w:r w:rsidRPr="004D2D8C">
        <w:rPr>
          <w:rFonts w:ascii="Comic Sans MS" w:hAnsi="Comic Sans MS"/>
          <w:sz w:val="20"/>
          <w:szCs w:val="20"/>
        </w:rPr>
        <w:t>a</w:t>
      </w:r>
      <w:r w:rsidR="00E4513C" w:rsidRPr="004D2D8C">
        <w:rPr>
          <w:rFonts w:ascii="Comic Sans MS" w:hAnsi="Comic Sans MS"/>
          <w:sz w:val="20"/>
          <w:szCs w:val="20"/>
        </w:rPr>
        <w:t xml:space="preserve"> i procedur</w:t>
      </w:r>
      <w:r w:rsidRPr="004D2D8C">
        <w:rPr>
          <w:rFonts w:ascii="Comic Sans MS" w:hAnsi="Comic Sans MS"/>
          <w:sz w:val="20"/>
          <w:szCs w:val="20"/>
        </w:rPr>
        <w:t>a</w:t>
      </w:r>
      <w:r w:rsidR="00B43E3F" w:rsidRPr="004D2D8C">
        <w:rPr>
          <w:rFonts w:ascii="Comic Sans MS" w:hAnsi="Comic Sans MS"/>
          <w:sz w:val="20"/>
          <w:szCs w:val="20"/>
        </w:rPr>
        <w:t xml:space="preserve"> Bank</w:t>
      </w:r>
      <w:r w:rsidRPr="004D2D8C">
        <w:rPr>
          <w:rFonts w:ascii="Comic Sans MS" w:hAnsi="Comic Sans MS"/>
          <w:sz w:val="20"/>
          <w:szCs w:val="20"/>
        </w:rPr>
        <w:t>e</w:t>
      </w:r>
      <w:r w:rsidR="00B43E3F" w:rsidRPr="004D2D8C">
        <w:rPr>
          <w:rFonts w:ascii="Comic Sans MS" w:hAnsi="Comic Sans MS"/>
          <w:sz w:val="20"/>
          <w:szCs w:val="20"/>
        </w:rPr>
        <w:t xml:space="preserve">. </w:t>
      </w:r>
      <w:r w:rsidRPr="004D2D8C">
        <w:rPr>
          <w:rFonts w:ascii="Comic Sans MS" w:hAnsi="Comic Sans MS"/>
          <w:sz w:val="20"/>
          <w:szCs w:val="20"/>
        </w:rPr>
        <w:t>EIB-ova sposobnost davanja pozitivnog doprinosa tih aspektima važan je čimbenik nefinancijske dodane vrijednosti koju EIB unosi u projekte koje financira.</w:t>
      </w:r>
    </w:p>
    <w:p w:rsidR="0066087A" w:rsidRPr="004D2D8C" w:rsidRDefault="0066087A" w:rsidP="0066087A">
      <w:pPr>
        <w:pStyle w:val="ListParagraph"/>
        <w:rPr>
          <w:rFonts w:ascii="Comic Sans MS" w:hAnsi="Comic Sans MS"/>
          <w:sz w:val="20"/>
          <w:szCs w:val="20"/>
        </w:rPr>
      </w:pPr>
    </w:p>
    <w:p w:rsidR="0066087A" w:rsidRPr="004D2D8C" w:rsidRDefault="009168E3"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 xml:space="preserve">Budući da </w:t>
      </w:r>
      <w:r w:rsidR="00B43E3F" w:rsidRPr="004D2D8C">
        <w:rPr>
          <w:rFonts w:ascii="Comic Sans MS" w:hAnsi="Comic Sans MS"/>
          <w:sz w:val="20"/>
          <w:szCs w:val="20"/>
        </w:rPr>
        <w:t>EIB</w:t>
      </w:r>
      <w:r w:rsidR="00A50DFE" w:rsidRPr="004D2D8C">
        <w:rPr>
          <w:rFonts w:ascii="Comic Sans MS" w:hAnsi="Comic Sans MS"/>
          <w:sz w:val="20"/>
          <w:szCs w:val="20"/>
        </w:rPr>
        <w:t xml:space="preserve"> projekte </w:t>
      </w:r>
      <w:r w:rsidR="00B43E3F" w:rsidRPr="004D2D8C">
        <w:rPr>
          <w:rFonts w:ascii="Comic Sans MS" w:hAnsi="Comic Sans MS"/>
          <w:sz w:val="20"/>
          <w:szCs w:val="20"/>
        </w:rPr>
        <w:t>financ</w:t>
      </w:r>
      <w:r w:rsidR="00A50DFE" w:rsidRPr="004D2D8C">
        <w:rPr>
          <w:rFonts w:ascii="Comic Sans MS" w:hAnsi="Comic Sans MS"/>
          <w:sz w:val="20"/>
          <w:szCs w:val="20"/>
        </w:rPr>
        <w:t>ira zbog niza političkih razloga</w:t>
      </w:r>
      <w:r w:rsidR="00B43E3F" w:rsidRPr="004D2D8C">
        <w:rPr>
          <w:rFonts w:ascii="Comic Sans MS" w:hAnsi="Comic Sans MS"/>
          <w:sz w:val="20"/>
          <w:szCs w:val="20"/>
        </w:rPr>
        <w:t xml:space="preserve"> E</w:t>
      </w:r>
      <w:r w:rsidR="00043BD2" w:rsidRPr="004D2D8C">
        <w:rPr>
          <w:rFonts w:ascii="Comic Sans MS" w:hAnsi="Comic Sans MS"/>
          <w:sz w:val="20"/>
          <w:szCs w:val="20"/>
        </w:rPr>
        <w:t>uropske unije</w:t>
      </w:r>
      <w:r w:rsidR="00A50DFE" w:rsidRPr="004D2D8C">
        <w:rPr>
          <w:rFonts w:ascii="Comic Sans MS" w:hAnsi="Comic Sans MS"/>
          <w:sz w:val="20"/>
          <w:szCs w:val="20"/>
        </w:rPr>
        <w:t>, zaštita i unapređenje prirodnog okoliša te promocija održivih zajednica među prioritetnim su ciljevima kreditnih aktivnosti Banke usmjereni</w:t>
      </w:r>
      <w:r w:rsidRPr="004D2D8C">
        <w:rPr>
          <w:rFonts w:ascii="Comic Sans MS" w:hAnsi="Comic Sans MS"/>
          <w:sz w:val="20"/>
          <w:szCs w:val="20"/>
        </w:rPr>
        <w:t>h</w:t>
      </w:r>
      <w:r w:rsidR="00A50DFE" w:rsidRPr="004D2D8C">
        <w:rPr>
          <w:rFonts w:ascii="Comic Sans MS" w:hAnsi="Comic Sans MS"/>
          <w:sz w:val="20"/>
          <w:szCs w:val="20"/>
        </w:rPr>
        <w:t xml:space="preserve"> na pružanje potpore održivom razvoju</w:t>
      </w:r>
      <w:r w:rsidR="00B43E3F" w:rsidRPr="004D2D8C">
        <w:rPr>
          <w:rFonts w:ascii="Comic Sans MS" w:hAnsi="Comic Sans MS"/>
          <w:sz w:val="20"/>
          <w:szCs w:val="20"/>
        </w:rPr>
        <w:t xml:space="preserve">. </w:t>
      </w:r>
      <w:r w:rsidR="00A50DFE" w:rsidRPr="004D2D8C">
        <w:rPr>
          <w:rFonts w:ascii="Comic Sans MS" w:hAnsi="Comic Sans MS"/>
          <w:sz w:val="20"/>
          <w:szCs w:val="20"/>
        </w:rPr>
        <w:t>U Korporativnom operativnom planu (</w:t>
      </w:r>
      <w:r w:rsidR="00B43E3F" w:rsidRPr="004D2D8C">
        <w:rPr>
          <w:rFonts w:ascii="Comic Sans MS" w:hAnsi="Comic Sans MS"/>
          <w:sz w:val="20"/>
          <w:szCs w:val="20"/>
        </w:rPr>
        <w:t xml:space="preserve">Corporate Operational Plan </w:t>
      </w:r>
      <w:r w:rsidR="00A50DFE" w:rsidRPr="004D2D8C">
        <w:rPr>
          <w:rFonts w:ascii="Comic Sans MS" w:hAnsi="Comic Sans MS"/>
          <w:sz w:val="20"/>
          <w:szCs w:val="20"/>
        </w:rPr>
        <w:t xml:space="preserve">– </w:t>
      </w:r>
      <w:r w:rsidR="00B43E3F" w:rsidRPr="004D2D8C">
        <w:rPr>
          <w:rFonts w:ascii="Comic Sans MS" w:hAnsi="Comic Sans MS"/>
          <w:sz w:val="20"/>
          <w:szCs w:val="20"/>
        </w:rPr>
        <w:t>COP)</w:t>
      </w:r>
      <w:r w:rsidR="00BF0EB2" w:rsidRPr="004D2D8C">
        <w:rPr>
          <w:rStyle w:val="EndnoteReference"/>
          <w:rFonts w:ascii="Comic Sans MS" w:hAnsi="Comic Sans MS"/>
          <w:sz w:val="20"/>
          <w:szCs w:val="20"/>
        </w:rPr>
        <w:endnoteReference w:id="1"/>
      </w:r>
      <w:r w:rsidR="0019394E" w:rsidRPr="004D2D8C">
        <w:rPr>
          <w:rFonts w:ascii="Comic Sans MS" w:hAnsi="Comic Sans MS"/>
          <w:sz w:val="20"/>
          <w:szCs w:val="20"/>
        </w:rPr>
        <w:t xml:space="preserve"> </w:t>
      </w:r>
      <w:r w:rsidR="00A50DFE" w:rsidRPr="004D2D8C">
        <w:rPr>
          <w:rFonts w:ascii="Comic Sans MS" w:hAnsi="Comic Sans MS"/>
          <w:sz w:val="20"/>
          <w:szCs w:val="20"/>
        </w:rPr>
        <w:t xml:space="preserve">opisane su vrste projekata koje Banka financira te su </w:t>
      </w:r>
      <w:r w:rsidRPr="004D2D8C">
        <w:rPr>
          <w:rFonts w:ascii="Comic Sans MS" w:hAnsi="Comic Sans MS"/>
          <w:sz w:val="20"/>
          <w:szCs w:val="20"/>
        </w:rPr>
        <w:t xml:space="preserve">po pojedinim sektorima </w:t>
      </w:r>
      <w:r w:rsidR="00A50DFE" w:rsidRPr="004D2D8C">
        <w:rPr>
          <w:rFonts w:ascii="Comic Sans MS" w:hAnsi="Comic Sans MS"/>
          <w:sz w:val="20"/>
          <w:szCs w:val="20"/>
        </w:rPr>
        <w:t>razrađene kreditne politike</w:t>
      </w:r>
      <w:r w:rsidRPr="004D2D8C">
        <w:rPr>
          <w:rFonts w:ascii="Comic Sans MS" w:hAnsi="Comic Sans MS"/>
          <w:sz w:val="20"/>
          <w:szCs w:val="20"/>
        </w:rPr>
        <w:t xml:space="preserve">. </w:t>
      </w:r>
      <w:r w:rsidR="00A50DFE" w:rsidRPr="004D2D8C">
        <w:rPr>
          <w:rFonts w:ascii="Comic Sans MS" w:hAnsi="Comic Sans MS"/>
          <w:sz w:val="20"/>
          <w:szCs w:val="20"/>
        </w:rPr>
        <w:t xml:space="preserve">Cilj </w:t>
      </w:r>
      <w:r w:rsidR="00B43E3F" w:rsidRPr="004D2D8C">
        <w:rPr>
          <w:rFonts w:ascii="Comic Sans MS" w:hAnsi="Comic Sans MS"/>
          <w:sz w:val="20"/>
          <w:szCs w:val="20"/>
        </w:rPr>
        <w:t>Bank</w:t>
      </w:r>
      <w:r w:rsidR="00A50DFE" w:rsidRPr="004D2D8C">
        <w:rPr>
          <w:rFonts w:ascii="Comic Sans MS" w:hAnsi="Comic Sans MS"/>
          <w:sz w:val="20"/>
          <w:szCs w:val="20"/>
        </w:rPr>
        <w:t xml:space="preserve">e usmjeriti je značajan dio ukupnih kreditnih sredstava </w:t>
      </w:r>
      <w:r w:rsidRPr="004D2D8C">
        <w:rPr>
          <w:rFonts w:ascii="Comic Sans MS" w:hAnsi="Comic Sans MS"/>
          <w:sz w:val="20"/>
          <w:szCs w:val="20"/>
        </w:rPr>
        <w:t>prema zaštiti okoliša i održivim zajednica</w:t>
      </w:r>
      <w:r w:rsidR="00B43E3F" w:rsidRPr="004D2D8C">
        <w:rPr>
          <w:rFonts w:ascii="Comic Sans MS" w:hAnsi="Comic Sans MS"/>
          <w:sz w:val="20"/>
          <w:szCs w:val="20"/>
        </w:rPr>
        <w:t xml:space="preserve">ma. </w:t>
      </w:r>
      <w:r w:rsidR="00D505B6" w:rsidRPr="004D2D8C">
        <w:rPr>
          <w:rFonts w:ascii="Comic Sans MS" w:hAnsi="Comic Sans MS"/>
          <w:sz w:val="20"/>
          <w:szCs w:val="20"/>
        </w:rPr>
        <w:t xml:space="preserve">U </w:t>
      </w:r>
      <w:r w:rsidR="00DB267E" w:rsidRPr="004D2D8C">
        <w:rPr>
          <w:rFonts w:ascii="Comic Sans MS" w:hAnsi="Comic Sans MS"/>
          <w:sz w:val="20"/>
          <w:szCs w:val="20"/>
        </w:rPr>
        <w:t>t</w:t>
      </w:r>
      <w:r w:rsidR="00D505B6" w:rsidRPr="004D2D8C">
        <w:rPr>
          <w:rFonts w:ascii="Comic Sans MS" w:hAnsi="Comic Sans MS"/>
          <w:sz w:val="20"/>
          <w:szCs w:val="20"/>
        </w:rPr>
        <w:t>om su smislu prihvatljivi oni p</w:t>
      </w:r>
      <w:r w:rsidRPr="004D2D8C">
        <w:rPr>
          <w:rFonts w:ascii="Comic Sans MS" w:hAnsi="Comic Sans MS"/>
          <w:sz w:val="20"/>
          <w:szCs w:val="20"/>
        </w:rPr>
        <w:t>rojekti koji</w:t>
      </w:r>
      <w:r w:rsidR="00435C10" w:rsidRPr="004D2D8C">
        <w:rPr>
          <w:rFonts w:ascii="Comic Sans MS" w:hAnsi="Comic Sans MS"/>
          <w:sz w:val="20"/>
          <w:szCs w:val="20"/>
        </w:rPr>
        <w:t xml:space="preserve"> </w:t>
      </w:r>
      <w:r w:rsidR="00D505B6" w:rsidRPr="004D2D8C">
        <w:rPr>
          <w:rFonts w:ascii="Comic Sans MS" w:hAnsi="Comic Sans MS"/>
          <w:sz w:val="20"/>
          <w:szCs w:val="20"/>
        </w:rPr>
        <w:t xml:space="preserve">daju </w:t>
      </w:r>
      <w:r w:rsidR="00435C10" w:rsidRPr="004D2D8C">
        <w:rPr>
          <w:rFonts w:ascii="Comic Sans MS" w:hAnsi="Comic Sans MS"/>
          <w:sz w:val="20"/>
          <w:szCs w:val="20"/>
        </w:rPr>
        <w:t xml:space="preserve">značajan doprinos prioritetnim područjima i tematskim strategijama </w:t>
      </w:r>
      <w:r w:rsidR="009F63D6" w:rsidRPr="004D2D8C">
        <w:rPr>
          <w:rFonts w:ascii="Comic Sans MS" w:hAnsi="Comic Sans MS"/>
          <w:sz w:val="20"/>
          <w:szCs w:val="20"/>
        </w:rPr>
        <w:t xml:space="preserve">sadržanim u </w:t>
      </w:r>
      <w:r w:rsidR="00435C10" w:rsidRPr="004D2D8C">
        <w:rPr>
          <w:rFonts w:ascii="Comic Sans MS" w:hAnsi="Comic Sans MS"/>
          <w:sz w:val="20"/>
          <w:szCs w:val="20"/>
        </w:rPr>
        <w:t>Šesto</w:t>
      </w:r>
      <w:r w:rsidR="009F63D6" w:rsidRPr="004D2D8C">
        <w:rPr>
          <w:rFonts w:ascii="Comic Sans MS" w:hAnsi="Comic Sans MS"/>
          <w:sz w:val="20"/>
          <w:szCs w:val="20"/>
        </w:rPr>
        <w:t>m</w:t>
      </w:r>
      <w:r w:rsidR="00435C10" w:rsidRPr="004D2D8C">
        <w:rPr>
          <w:rFonts w:ascii="Comic Sans MS" w:hAnsi="Comic Sans MS"/>
          <w:sz w:val="20"/>
          <w:szCs w:val="20"/>
        </w:rPr>
        <w:t xml:space="preserve"> okolišno</w:t>
      </w:r>
      <w:r w:rsidR="009F63D6" w:rsidRPr="004D2D8C">
        <w:rPr>
          <w:rFonts w:ascii="Comic Sans MS" w:hAnsi="Comic Sans MS"/>
          <w:sz w:val="20"/>
          <w:szCs w:val="20"/>
        </w:rPr>
        <w:t>m</w:t>
      </w:r>
      <w:r w:rsidR="00435C10" w:rsidRPr="004D2D8C">
        <w:rPr>
          <w:rFonts w:ascii="Comic Sans MS" w:hAnsi="Comic Sans MS"/>
          <w:sz w:val="20"/>
          <w:szCs w:val="20"/>
        </w:rPr>
        <w:t xml:space="preserve"> akcijsko</w:t>
      </w:r>
      <w:r w:rsidR="009F63D6" w:rsidRPr="004D2D8C">
        <w:rPr>
          <w:rFonts w:ascii="Comic Sans MS" w:hAnsi="Comic Sans MS"/>
          <w:sz w:val="20"/>
          <w:szCs w:val="20"/>
        </w:rPr>
        <w:t>m</w:t>
      </w:r>
      <w:r w:rsidR="00435C10" w:rsidRPr="004D2D8C">
        <w:rPr>
          <w:rFonts w:ascii="Comic Sans MS" w:hAnsi="Comic Sans MS"/>
          <w:sz w:val="20"/>
          <w:szCs w:val="20"/>
        </w:rPr>
        <w:t xml:space="preserve"> program</w:t>
      </w:r>
      <w:r w:rsidR="009F63D6" w:rsidRPr="004D2D8C">
        <w:rPr>
          <w:rFonts w:ascii="Comic Sans MS" w:hAnsi="Comic Sans MS"/>
          <w:sz w:val="20"/>
          <w:szCs w:val="20"/>
        </w:rPr>
        <w:t>u</w:t>
      </w:r>
      <w:r w:rsidR="00435C10" w:rsidRPr="004D2D8C">
        <w:rPr>
          <w:rFonts w:ascii="Comic Sans MS" w:hAnsi="Comic Sans MS"/>
          <w:sz w:val="20"/>
          <w:szCs w:val="20"/>
        </w:rPr>
        <w:t xml:space="preserve"> EU-a </w:t>
      </w:r>
      <w:r w:rsidR="00B43E3F" w:rsidRPr="004D2D8C">
        <w:rPr>
          <w:rFonts w:ascii="Comic Sans MS" w:hAnsi="Comic Sans MS"/>
          <w:sz w:val="20"/>
          <w:szCs w:val="20"/>
        </w:rPr>
        <w:t>(</w:t>
      </w:r>
      <w:r w:rsidR="000245C2" w:rsidRPr="004D2D8C">
        <w:rPr>
          <w:rFonts w:ascii="Comic Sans MS" w:hAnsi="Comic Sans MS"/>
          <w:sz w:val="20"/>
          <w:szCs w:val="20"/>
        </w:rPr>
        <w:t>Environment Action Plan – E</w:t>
      </w:r>
      <w:r w:rsidR="00B43E3F" w:rsidRPr="004D2D8C">
        <w:rPr>
          <w:rFonts w:ascii="Comic Sans MS" w:hAnsi="Comic Sans MS"/>
          <w:sz w:val="20"/>
          <w:szCs w:val="20"/>
        </w:rPr>
        <w:t>AP)</w:t>
      </w:r>
      <w:r w:rsidR="00BF0EB2" w:rsidRPr="004D2D8C">
        <w:rPr>
          <w:rStyle w:val="EndnoteReference"/>
          <w:rFonts w:ascii="Comic Sans MS" w:hAnsi="Comic Sans MS"/>
          <w:sz w:val="20"/>
          <w:szCs w:val="20"/>
        </w:rPr>
        <w:endnoteReference w:id="2"/>
      </w:r>
      <w:r w:rsidR="00B43E3F" w:rsidRPr="004D2D8C">
        <w:rPr>
          <w:rFonts w:ascii="Comic Sans MS" w:hAnsi="Comic Sans MS"/>
          <w:sz w:val="20"/>
          <w:szCs w:val="20"/>
        </w:rPr>
        <w:t xml:space="preserve"> </w:t>
      </w:r>
      <w:r w:rsidR="00435C10" w:rsidRPr="004D2D8C">
        <w:rPr>
          <w:rFonts w:ascii="Comic Sans MS" w:hAnsi="Comic Sans MS"/>
          <w:sz w:val="20"/>
          <w:szCs w:val="20"/>
        </w:rPr>
        <w:t>i</w:t>
      </w:r>
      <w:r w:rsidR="00B43E3F" w:rsidRPr="004D2D8C">
        <w:rPr>
          <w:rFonts w:ascii="Comic Sans MS" w:hAnsi="Comic Sans MS"/>
          <w:sz w:val="20"/>
          <w:szCs w:val="20"/>
        </w:rPr>
        <w:t>/</w:t>
      </w:r>
      <w:r w:rsidR="00435C10" w:rsidRPr="004D2D8C">
        <w:rPr>
          <w:rFonts w:ascii="Comic Sans MS" w:hAnsi="Comic Sans MS"/>
          <w:sz w:val="20"/>
          <w:szCs w:val="20"/>
        </w:rPr>
        <w:t>ili koji ispunjavaju ciljev</w:t>
      </w:r>
      <w:r w:rsidR="007E5332" w:rsidRPr="004D2D8C">
        <w:rPr>
          <w:rFonts w:ascii="Comic Sans MS" w:hAnsi="Comic Sans MS"/>
          <w:sz w:val="20"/>
          <w:szCs w:val="20"/>
        </w:rPr>
        <w:t>e</w:t>
      </w:r>
      <w:r w:rsidR="00435C10" w:rsidRPr="004D2D8C">
        <w:rPr>
          <w:rFonts w:ascii="Comic Sans MS" w:hAnsi="Comic Sans MS"/>
          <w:sz w:val="20"/>
          <w:szCs w:val="20"/>
        </w:rPr>
        <w:t xml:space="preserve"> urbanih strategija i strategija javnog zdrav</w:t>
      </w:r>
      <w:r w:rsidR="00C22516" w:rsidRPr="004D2D8C">
        <w:rPr>
          <w:rFonts w:ascii="Comic Sans MS" w:hAnsi="Comic Sans MS"/>
          <w:sz w:val="20"/>
          <w:szCs w:val="20"/>
        </w:rPr>
        <w:t>stva</w:t>
      </w:r>
      <w:r w:rsidR="00BF0EB2" w:rsidRPr="004D2D8C">
        <w:rPr>
          <w:rStyle w:val="EndnoteReference"/>
          <w:rFonts w:ascii="Comic Sans MS" w:hAnsi="Comic Sans MS"/>
          <w:sz w:val="20"/>
          <w:szCs w:val="20"/>
        </w:rPr>
        <w:endnoteReference w:id="3"/>
      </w:r>
      <w:r w:rsidR="00B43E3F" w:rsidRPr="004D2D8C">
        <w:rPr>
          <w:rFonts w:ascii="Comic Sans MS" w:hAnsi="Comic Sans MS"/>
          <w:sz w:val="20"/>
          <w:szCs w:val="20"/>
        </w:rPr>
        <w:t xml:space="preserve"> </w:t>
      </w:r>
      <w:r w:rsidR="00C22516" w:rsidRPr="004D2D8C">
        <w:rPr>
          <w:rFonts w:ascii="Comic Sans MS" w:hAnsi="Comic Sans MS"/>
          <w:sz w:val="20"/>
          <w:szCs w:val="20"/>
        </w:rPr>
        <w:t>EU-a, uključujući Leipzišku povelju</w:t>
      </w:r>
      <w:r w:rsidR="00BF0EB2" w:rsidRPr="004D2D8C">
        <w:rPr>
          <w:rStyle w:val="EndnoteReference"/>
          <w:rFonts w:ascii="Comic Sans MS" w:hAnsi="Comic Sans MS"/>
          <w:sz w:val="20"/>
          <w:szCs w:val="20"/>
        </w:rPr>
        <w:endnoteReference w:id="4"/>
      </w:r>
      <w:r w:rsidR="00B43E3F" w:rsidRPr="004D2D8C">
        <w:rPr>
          <w:rFonts w:ascii="Comic Sans MS" w:hAnsi="Comic Sans MS"/>
          <w:sz w:val="20"/>
          <w:szCs w:val="20"/>
        </w:rPr>
        <w:t xml:space="preserve">. </w:t>
      </w:r>
      <w:r w:rsidR="00C22516" w:rsidRPr="004D2D8C">
        <w:rPr>
          <w:rFonts w:ascii="Comic Sans MS" w:hAnsi="Comic Sans MS"/>
          <w:sz w:val="20"/>
          <w:szCs w:val="20"/>
        </w:rPr>
        <w:t xml:space="preserve">Cilj </w:t>
      </w:r>
      <w:r w:rsidR="000245C2" w:rsidRPr="004D2D8C">
        <w:rPr>
          <w:rFonts w:ascii="Comic Sans MS" w:hAnsi="Comic Sans MS"/>
          <w:sz w:val="20"/>
          <w:szCs w:val="20"/>
        </w:rPr>
        <w:t>E</w:t>
      </w:r>
      <w:r w:rsidR="00B43E3F" w:rsidRPr="004D2D8C">
        <w:rPr>
          <w:rFonts w:ascii="Comic Sans MS" w:hAnsi="Comic Sans MS"/>
          <w:sz w:val="20"/>
          <w:szCs w:val="20"/>
        </w:rPr>
        <w:t>AP</w:t>
      </w:r>
      <w:r w:rsidR="00C22516" w:rsidRPr="004D2D8C">
        <w:rPr>
          <w:rFonts w:ascii="Comic Sans MS" w:hAnsi="Comic Sans MS"/>
          <w:sz w:val="20"/>
          <w:szCs w:val="20"/>
        </w:rPr>
        <w:t>-a dati je praktično značenje</w:t>
      </w:r>
      <w:r w:rsidR="00B43E3F" w:rsidRPr="004D2D8C">
        <w:rPr>
          <w:rFonts w:ascii="Comic Sans MS" w:hAnsi="Comic Sans MS"/>
          <w:sz w:val="20"/>
          <w:szCs w:val="20"/>
        </w:rPr>
        <w:t xml:space="preserve"> </w:t>
      </w:r>
      <w:r w:rsidR="00C22516" w:rsidRPr="004D2D8C">
        <w:rPr>
          <w:rFonts w:ascii="Comic Sans MS" w:hAnsi="Comic Sans MS"/>
          <w:sz w:val="20"/>
          <w:szCs w:val="20"/>
        </w:rPr>
        <w:t xml:space="preserve">ciljevima </w:t>
      </w:r>
      <w:r w:rsidR="0019394E" w:rsidRPr="004D2D8C">
        <w:rPr>
          <w:rFonts w:ascii="Comic Sans MS" w:hAnsi="Comic Sans MS"/>
          <w:sz w:val="20"/>
          <w:szCs w:val="20"/>
        </w:rPr>
        <w:t xml:space="preserve">Ugovora o </w:t>
      </w:r>
      <w:r w:rsidR="00B43E3F" w:rsidRPr="004D2D8C">
        <w:rPr>
          <w:rFonts w:ascii="Comic Sans MS" w:hAnsi="Comic Sans MS"/>
          <w:sz w:val="20"/>
          <w:szCs w:val="20"/>
        </w:rPr>
        <w:t>Europ</w:t>
      </w:r>
      <w:r w:rsidR="0019394E" w:rsidRPr="004D2D8C">
        <w:rPr>
          <w:rFonts w:ascii="Comic Sans MS" w:hAnsi="Comic Sans MS"/>
          <w:sz w:val="20"/>
          <w:szCs w:val="20"/>
        </w:rPr>
        <w:t xml:space="preserve">skoj uniji </w:t>
      </w:r>
      <w:r w:rsidR="00B43E3F" w:rsidRPr="004D2D8C">
        <w:rPr>
          <w:rFonts w:ascii="Comic Sans MS" w:hAnsi="Comic Sans MS"/>
          <w:sz w:val="20"/>
          <w:szCs w:val="20"/>
        </w:rPr>
        <w:t>(</w:t>
      </w:r>
      <w:r w:rsidR="0019394E" w:rsidRPr="004D2D8C">
        <w:rPr>
          <w:rFonts w:ascii="Comic Sans MS" w:hAnsi="Comic Sans MS"/>
          <w:sz w:val="20"/>
          <w:szCs w:val="20"/>
        </w:rPr>
        <w:t>„Ugovor“</w:t>
      </w:r>
      <w:r w:rsidR="00B43E3F" w:rsidRPr="004D2D8C">
        <w:rPr>
          <w:rFonts w:ascii="Comic Sans MS" w:hAnsi="Comic Sans MS"/>
          <w:sz w:val="20"/>
          <w:szCs w:val="20"/>
        </w:rPr>
        <w:t>)</w:t>
      </w:r>
      <w:r w:rsidR="00BF0EB2" w:rsidRPr="004D2D8C">
        <w:rPr>
          <w:rStyle w:val="EndnoteReference"/>
          <w:rFonts w:ascii="Comic Sans MS" w:hAnsi="Comic Sans MS"/>
          <w:sz w:val="20"/>
          <w:szCs w:val="20"/>
        </w:rPr>
        <w:endnoteReference w:id="5"/>
      </w:r>
      <w:r w:rsidR="00B43E3F" w:rsidRPr="004D2D8C">
        <w:rPr>
          <w:rFonts w:ascii="Comic Sans MS" w:hAnsi="Comic Sans MS"/>
          <w:sz w:val="20"/>
          <w:szCs w:val="20"/>
        </w:rPr>
        <w:t xml:space="preserve">, </w:t>
      </w:r>
      <w:r w:rsidR="00780053" w:rsidRPr="004D2D8C">
        <w:rPr>
          <w:rFonts w:ascii="Comic Sans MS" w:hAnsi="Comic Sans MS"/>
          <w:sz w:val="20"/>
          <w:szCs w:val="20"/>
        </w:rPr>
        <w:t xml:space="preserve">tj. </w:t>
      </w:r>
      <w:r w:rsidR="007E5332" w:rsidRPr="004D2D8C">
        <w:rPr>
          <w:rFonts w:ascii="Comic Sans MS" w:hAnsi="Comic Sans MS"/>
          <w:sz w:val="20"/>
          <w:szCs w:val="20"/>
        </w:rPr>
        <w:t>„</w:t>
      </w:r>
      <w:r w:rsidR="00780053" w:rsidRPr="004D2D8C">
        <w:rPr>
          <w:rFonts w:ascii="Comic Sans MS" w:hAnsi="Comic Sans MS"/>
          <w:sz w:val="20"/>
          <w:szCs w:val="20"/>
        </w:rPr>
        <w:t>očuvanju okoliša, zaštiti ljudskog zdravlja, racionalnom korištenju prirodnih resursa i promociji mjera na međunarodnoj razini</w:t>
      </w:r>
      <w:r w:rsidR="004D4355" w:rsidRPr="004D2D8C">
        <w:rPr>
          <w:rFonts w:ascii="Comic Sans MS" w:hAnsi="Comic Sans MS"/>
          <w:sz w:val="20"/>
          <w:szCs w:val="20"/>
        </w:rPr>
        <w:t xml:space="preserve">“ </w:t>
      </w:r>
      <w:r w:rsidR="00B43E3F" w:rsidRPr="004D2D8C">
        <w:rPr>
          <w:rFonts w:ascii="Comic Sans MS" w:hAnsi="Comic Sans MS"/>
          <w:sz w:val="20"/>
          <w:szCs w:val="20"/>
        </w:rPr>
        <w:t>(</w:t>
      </w:r>
      <w:r w:rsidR="0019394E" w:rsidRPr="004D2D8C">
        <w:rPr>
          <w:rFonts w:ascii="Comic Sans MS" w:hAnsi="Comic Sans MS"/>
          <w:sz w:val="20"/>
          <w:szCs w:val="20"/>
        </w:rPr>
        <w:t xml:space="preserve">članak </w:t>
      </w:r>
      <w:r w:rsidR="00B43E3F" w:rsidRPr="004D2D8C">
        <w:rPr>
          <w:rFonts w:ascii="Comic Sans MS" w:hAnsi="Comic Sans MS"/>
          <w:sz w:val="20"/>
          <w:szCs w:val="20"/>
        </w:rPr>
        <w:t>174</w:t>
      </w:r>
      <w:r w:rsidR="0019394E" w:rsidRPr="004D2D8C">
        <w:rPr>
          <w:rFonts w:ascii="Comic Sans MS" w:hAnsi="Comic Sans MS"/>
          <w:sz w:val="20"/>
          <w:szCs w:val="20"/>
        </w:rPr>
        <w:t>.</w:t>
      </w:r>
      <w:r w:rsidR="00B43E3F" w:rsidRPr="004D2D8C">
        <w:rPr>
          <w:rFonts w:ascii="Comic Sans MS" w:hAnsi="Comic Sans MS"/>
          <w:sz w:val="20"/>
          <w:szCs w:val="20"/>
        </w:rPr>
        <w:t>(1)).</w:t>
      </w:r>
    </w:p>
    <w:p w:rsidR="0066087A" w:rsidRPr="004D2D8C" w:rsidRDefault="0066087A" w:rsidP="0066087A">
      <w:pPr>
        <w:pStyle w:val="ListParagraph"/>
        <w:rPr>
          <w:rFonts w:ascii="Comic Sans MS" w:hAnsi="Comic Sans MS"/>
          <w:sz w:val="20"/>
          <w:szCs w:val="20"/>
        </w:rPr>
      </w:pPr>
    </w:p>
    <w:p w:rsidR="00BF0EB2" w:rsidRPr="004D2D8C" w:rsidRDefault="0019394E" w:rsidP="00BF0EB2">
      <w:pPr>
        <w:pStyle w:val="ListParagraph"/>
        <w:numPr>
          <w:ilvl w:val="0"/>
          <w:numId w:val="122"/>
        </w:numPr>
        <w:jc w:val="both"/>
        <w:rPr>
          <w:rFonts w:ascii="Comic Sans MS" w:hAnsi="Comic Sans MS"/>
          <w:sz w:val="20"/>
          <w:szCs w:val="20"/>
        </w:rPr>
      </w:pPr>
      <w:r w:rsidRPr="004D2D8C">
        <w:rPr>
          <w:rFonts w:ascii="Comic Sans MS" w:hAnsi="Comic Sans MS"/>
          <w:sz w:val="20"/>
          <w:szCs w:val="20"/>
        </w:rPr>
        <w:t xml:space="preserve">Potreba za ublažavanjem klimatskih promjena i </w:t>
      </w:r>
      <w:r w:rsidR="00054303" w:rsidRPr="004D2D8C">
        <w:rPr>
          <w:rFonts w:ascii="Comic Sans MS" w:hAnsi="Comic Sans MS"/>
          <w:sz w:val="20"/>
          <w:szCs w:val="20"/>
        </w:rPr>
        <w:t xml:space="preserve">za </w:t>
      </w:r>
      <w:r w:rsidRPr="004D2D8C">
        <w:rPr>
          <w:rFonts w:ascii="Comic Sans MS" w:hAnsi="Comic Sans MS"/>
          <w:sz w:val="20"/>
          <w:szCs w:val="20"/>
        </w:rPr>
        <w:t>prilagodbom klim</w:t>
      </w:r>
      <w:r w:rsidR="00780053" w:rsidRPr="004D2D8C">
        <w:rPr>
          <w:rFonts w:ascii="Comic Sans MS" w:hAnsi="Comic Sans MS"/>
          <w:sz w:val="20"/>
          <w:szCs w:val="20"/>
        </w:rPr>
        <w:t>atskim promjenama te potreba da se započne s rješavanjem problema ugrožavanja i neodrživog korištenja ekosustava i s njima povezanih bioraznolikosti dva s</w:t>
      </w:r>
      <w:r w:rsidR="00520879" w:rsidRPr="004D2D8C">
        <w:rPr>
          <w:rFonts w:ascii="Comic Sans MS" w:hAnsi="Comic Sans MS"/>
          <w:sz w:val="20"/>
          <w:szCs w:val="20"/>
        </w:rPr>
        <w:t>u</w:t>
      </w:r>
      <w:r w:rsidR="00780053" w:rsidRPr="004D2D8C">
        <w:rPr>
          <w:rFonts w:ascii="Comic Sans MS" w:hAnsi="Comic Sans MS"/>
          <w:sz w:val="20"/>
          <w:szCs w:val="20"/>
        </w:rPr>
        <w:t xml:space="preserve"> najveća okolišna izazova </w:t>
      </w:r>
      <w:r w:rsidR="00B43E3F" w:rsidRPr="004D2D8C">
        <w:rPr>
          <w:rFonts w:ascii="Comic Sans MS" w:hAnsi="Comic Sans MS"/>
          <w:sz w:val="20"/>
          <w:szCs w:val="20"/>
        </w:rPr>
        <w:t>21</w:t>
      </w:r>
      <w:r w:rsidR="00780053" w:rsidRPr="004D2D8C">
        <w:rPr>
          <w:rFonts w:ascii="Comic Sans MS" w:hAnsi="Comic Sans MS"/>
          <w:sz w:val="20"/>
          <w:szCs w:val="20"/>
        </w:rPr>
        <w:t>. stoljeća i usko su povezana s dobrobiti ljudi i održivim razvojem</w:t>
      </w:r>
      <w:r w:rsidR="00B43E3F" w:rsidRPr="004D2D8C">
        <w:rPr>
          <w:rFonts w:ascii="Comic Sans MS" w:hAnsi="Comic Sans MS"/>
          <w:sz w:val="20"/>
          <w:szCs w:val="20"/>
        </w:rPr>
        <w:t>.</w:t>
      </w:r>
      <w:r w:rsidR="00780053" w:rsidRPr="004D2D8C">
        <w:rPr>
          <w:rFonts w:ascii="Comic Sans MS" w:hAnsi="Comic Sans MS"/>
          <w:sz w:val="20"/>
          <w:szCs w:val="20"/>
        </w:rPr>
        <w:t xml:space="preserve"> </w:t>
      </w:r>
      <w:r w:rsidR="00AC624A" w:rsidRPr="004D2D8C">
        <w:rPr>
          <w:rFonts w:ascii="Comic Sans MS" w:hAnsi="Comic Sans MS"/>
          <w:sz w:val="20"/>
          <w:szCs w:val="20"/>
        </w:rPr>
        <w:t>Poduzimanje mjera hitno je potrebno</w:t>
      </w:r>
      <w:r w:rsidR="00780053" w:rsidRPr="004D2D8C">
        <w:rPr>
          <w:rFonts w:ascii="Comic Sans MS" w:hAnsi="Comic Sans MS"/>
          <w:sz w:val="20"/>
          <w:szCs w:val="20"/>
        </w:rPr>
        <w:t xml:space="preserve">. Ovom području pridaje se poseban značaj </w:t>
      </w:r>
      <w:r w:rsidR="00A83072" w:rsidRPr="004D2D8C">
        <w:rPr>
          <w:rFonts w:ascii="Comic Sans MS" w:hAnsi="Comic Sans MS"/>
          <w:sz w:val="20"/>
          <w:szCs w:val="20"/>
        </w:rPr>
        <w:t xml:space="preserve">i </w:t>
      </w:r>
      <w:r w:rsidR="00780053" w:rsidRPr="004D2D8C">
        <w:rPr>
          <w:rFonts w:ascii="Comic Sans MS" w:hAnsi="Comic Sans MS"/>
          <w:sz w:val="20"/>
          <w:szCs w:val="20"/>
        </w:rPr>
        <w:t xml:space="preserve">u </w:t>
      </w:r>
      <w:r w:rsidR="00520879" w:rsidRPr="004D2D8C">
        <w:rPr>
          <w:rFonts w:ascii="Comic Sans MS" w:hAnsi="Comic Sans MS"/>
          <w:sz w:val="20"/>
          <w:szCs w:val="20"/>
        </w:rPr>
        <w:t xml:space="preserve">ovoj </w:t>
      </w:r>
      <w:r w:rsidR="00780053" w:rsidRPr="004D2D8C">
        <w:rPr>
          <w:rFonts w:ascii="Comic Sans MS" w:hAnsi="Comic Sans MS"/>
          <w:sz w:val="20"/>
          <w:szCs w:val="20"/>
        </w:rPr>
        <w:t>Izjavi</w:t>
      </w:r>
      <w:r w:rsidR="00B43E3F" w:rsidRPr="004D2D8C">
        <w:rPr>
          <w:rFonts w:ascii="Comic Sans MS" w:hAnsi="Comic Sans MS"/>
          <w:sz w:val="20"/>
          <w:szCs w:val="20"/>
        </w:rPr>
        <w:t xml:space="preserve">. EIB </w:t>
      </w:r>
      <w:r w:rsidR="00780053" w:rsidRPr="004D2D8C">
        <w:rPr>
          <w:rFonts w:ascii="Comic Sans MS" w:hAnsi="Comic Sans MS"/>
          <w:sz w:val="20"/>
          <w:szCs w:val="20"/>
        </w:rPr>
        <w:t xml:space="preserve">kontinuirano prati i poboljšava svoj pristup klimatskim promjenama radi </w:t>
      </w:r>
      <w:r w:rsidR="00520879" w:rsidRPr="004D2D8C">
        <w:rPr>
          <w:rFonts w:ascii="Comic Sans MS" w:hAnsi="Comic Sans MS"/>
          <w:sz w:val="20"/>
          <w:szCs w:val="20"/>
        </w:rPr>
        <w:t xml:space="preserve">upravljanja </w:t>
      </w:r>
      <w:r w:rsidR="00780053" w:rsidRPr="004D2D8C">
        <w:rPr>
          <w:rFonts w:ascii="Comic Sans MS" w:hAnsi="Comic Sans MS"/>
          <w:sz w:val="20"/>
          <w:szCs w:val="20"/>
        </w:rPr>
        <w:t>kreditni</w:t>
      </w:r>
      <w:r w:rsidR="00520879" w:rsidRPr="004D2D8C">
        <w:rPr>
          <w:rFonts w:ascii="Comic Sans MS" w:hAnsi="Comic Sans MS"/>
          <w:sz w:val="20"/>
          <w:szCs w:val="20"/>
        </w:rPr>
        <w:t>m</w:t>
      </w:r>
      <w:r w:rsidR="00780053" w:rsidRPr="004D2D8C">
        <w:rPr>
          <w:rFonts w:ascii="Comic Sans MS" w:hAnsi="Comic Sans MS"/>
          <w:sz w:val="20"/>
          <w:szCs w:val="20"/>
        </w:rPr>
        <w:t xml:space="preserve"> aktivnosti</w:t>
      </w:r>
      <w:r w:rsidR="00520879" w:rsidRPr="004D2D8C">
        <w:rPr>
          <w:rFonts w:ascii="Comic Sans MS" w:hAnsi="Comic Sans MS"/>
          <w:sz w:val="20"/>
          <w:szCs w:val="20"/>
        </w:rPr>
        <w:t>ma</w:t>
      </w:r>
      <w:r w:rsidR="00780053" w:rsidRPr="004D2D8C">
        <w:rPr>
          <w:rFonts w:ascii="Comic Sans MS" w:hAnsi="Comic Sans MS"/>
          <w:sz w:val="20"/>
          <w:szCs w:val="20"/>
        </w:rPr>
        <w:t xml:space="preserve"> i poslovni</w:t>
      </w:r>
      <w:r w:rsidR="00520879" w:rsidRPr="004D2D8C">
        <w:rPr>
          <w:rFonts w:ascii="Comic Sans MS" w:hAnsi="Comic Sans MS"/>
          <w:sz w:val="20"/>
          <w:szCs w:val="20"/>
        </w:rPr>
        <w:t>m</w:t>
      </w:r>
      <w:r w:rsidR="00780053" w:rsidRPr="004D2D8C">
        <w:rPr>
          <w:rFonts w:ascii="Comic Sans MS" w:hAnsi="Comic Sans MS"/>
          <w:sz w:val="20"/>
          <w:szCs w:val="20"/>
        </w:rPr>
        <w:t xml:space="preserve"> praks</w:t>
      </w:r>
      <w:r w:rsidR="00520879" w:rsidRPr="004D2D8C">
        <w:rPr>
          <w:rFonts w:ascii="Comic Sans MS" w:hAnsi="Comic Sans MS"/>
          <w:sz w:val="20"/>
          <w:szCs w:val="20"/>
        </w:rPr>
        <w:t>ama</w:t>
      </w:r>
      <w:r w:rsidR="00780053" w:rsidRPr="004D2D8C">
        <w:rPr>
          <w:rFonts w:ascii="Comic Sans MS" w:hAnsi="Comic Sans MS"/>
          <w:sz w:val="20"/>
          <w:szCs w:val="20"/>
        </w:rPr>
        <w:t xml:space="preserve"> </w:t>
      </w:r>
      <w:r w:rsidR="00B43E3F" w:rsidRPr="004D2D8C">
        <w:rPr>
          <w:rFonts w:ascii="Comic Sans MS" w:hAnsi="Comic Sans MS"/>
          <w:sz w:val="20"/>
          <w:szCs w:val="20"/>
        </w:rPr>
        <w:t>Bank</w:t>
      </w:r>
      <w:r w:rsidR="00780053" w:rsidRPr="004D2D8C">
        <w:rPr>
          <w:rFonts w:ascii="Comic Sans MS" w:hAnsi="Comic Sans MS"/>
          <w:sz w:val="20"/>
          <w:szCs w:val="20"/>
        </w:rPr>
        <w:t xml:space="preserve">e </w:t>
      </w:r>
      <w:r w:rsidR="00750768" w:rsidRPr="004D2D8C">
        <w:rPr>
          <w:rFonts w:ascii="Comic Sans MS" w:hAnsi="Comic Sans MS"/>
          <w:sz w:val="20"/>
          <w:szCs w:val="20"/>
        </w:rPr>
        <w:t>povezan</w:t>
      </w:r>
      <w:r w:rsidR="00520879" w:rsidRPr="004D2D8C">
        <w:rPr>
          <w:rFonts w:ascii="Comic Sans MS" w:hAnsi="Comic Sans MS"/>
          <w:sz w:val="20"/>
          <w:szCs w:val="20"/>
        </w:rPr>
        <w:t>im</w:t>
      </w:r>
      <w:r w:rsidR="00750768" w:rsidRPr="004D2D8C">
        <w:rPr>
          <w:rFonts w:ascii="Comic Sans MS" w:hAnsi="Comic Sans MS"/>
          <w:sz w:val="20"/>
          <w:szCs w:val="20"/>
        </w:rPr>
        <w:t xml:space="preserve"> s </w:t>
      </w:r>
      <w:r w:rsidR="00520879" w:rsidRPr="004D2D8C">
        <w:rPr>
          <w:rFonts w:ascii="Comic Sans MS" w:hAnsi="Comic Sans MS"/>
          <w:sz w:val="20"/>
          <w:szCs w:val="20"/>
        </w:rPr>
        <w:t xml:space="preserve">ublažavanjem </w:t>
      </w:r>
      <w:r w:rsidR="00750768" w:rsidRPr="004D2D8C">
        <w:rPr>
          <w:rFonts w:ascii="Comic Sans MS" w:hAnsi="Comic Sans MS"/>
          <w:sz w:val="20"/>
          <w:szCs w:val="20"/>
        </w:rPr>
        <w:t>klimatski</w:t>
      </w:r>
      <w:r w:rsidR="00520879" w:rsidRPr="004D2D8C">
        <w:rPr>
          <w:rFonts w:ascii="Comic Sans MS" w:hAnsi="Comic Sans MS"/>
          <w:sz w:val="20"/>
          <w:szCs w:val="20"/>
        </w:rPr>
        <w:t>h</w:t>
      </w:r>
      <w:r w:rsidR="00750768" w:rsidRPr="004D2D8C">
        <w:rPr>
          <w:rFonts w:ascii="Comic Sans MS" w:hAnsi="Comic Sans MS"/>
          <w:sz w:val="20"/>
          <w:szCs w:val="20"/>
        </w:rPr>
        <w:t xml:space="preserve"> promjena i </w:t>
      </w:r>
      <w:r w:rsidR="00520879" w:rsidRPr="004D2D8C">
        <w:rPr>
          <w:rFonts w:ascii="Comic Sans MS" w:hAnsi="Comic Sans MS"/>
          <w:sz w:val="20"/>
          <w:szCs w:val="20"/>
        </w:rPr>
        <w:t xml:space="preserve">podrškom </w:t>
      </w:r>
      <w:r w:rsidR="00B43E3F" w:rsidRPr="004D2D8C">
        <w:rPr>
          <w:rFonts w:ascii="Comic Sans MS" w:hAnsi="Comic Sans MS"/>
          <w:sz w:val="20"/>
          <w:szCs w:val="20"/>
        </w:rPr>
        <w:t>Europ</w:t>
      </w:r>
      <w:r w:rsidR="00520879" w:rsidRPr="004D2D8C">
        <w:rPr>
          <w:rFonts w:ascii="Comic Sans MS" w:hAnsi="Comic Sans MS"/>
          <w:sz w:val="20"/>
          <w:szCs w:val="20"/>
        </w:rPr>
        <w:t>skom programu za klimatske promjene</w:t>
      </w:r>
      <w:r w:rsidR="00BF0EB2" w:rsidRPr="004D2D8C">
        <w:rPr>
          <w:rStyle w:val="EndnoteReference"/>
          <w:rFonts w:ascii="Comic Sans MS" w:hAnsi="Comic Sans MS"/>
          <w:sz w:val="20"/>
          <w:szCs w:val="20"/>
        </w:rPr>
        <w:endnoteReference w:id="6"/>
      </w:r>
      <w:r w:rsidR="00520879" w:rsidRPr="004D2D8C">
        <w:rPr>
          <w:rFonts w:ascii="Comic Sans MS" w:hAnsi="Comic Sans MS"/>
          <w:sz w:val="20"/>
          <w:szCs w:val="20"/>
        </w:rPr>
        <w:t xml:space="preserve"> i Akcijskom planu za klimatske promjene i razvoj </w:t>
      </w:r>
      <w:r w:rsidR="00B43E3F" w:rsidRPr="004D2D8C">
        <w:rPr>
          <w:rFonts w:ascii="Comic Sans MS" w:hAnsi="Comic Sans MS"/>
          <w:sz w:val="20"/>
          <w:szCs w:val="20"/>
        </w:rPr>
        <w:t>EU</w:t>
      </w:r>
      <w:r w:rsidR="00520879" w:rsidRPr="004D2D8C">
        <w:rPr>
          <w:rFonts w:ascii="Comic Sans MS" w:hAnsi="Comic Sans MS"/>
          <w:sz w:val="20"/>
          <w:szCs w:val="20"/>
        </w:rPr>
        <w:t>-a</w:t>
      </w:r>
      <w:r w:rsidR="00BF0EB2" w:rsidRPr="004D2D8C">
        <w:rPr>
          <w:rStyle w:val="EndnoteReference"/>
          <w:rFonts w:ascii="Comic Sans MS" w:hAnsi="Comic Sans MS"/>
          <w:sz w:val="20"/>
          <w:szCs w:val="20"/>
        </w:rPr>
        <w:endnoteReference w:id="7"/>
      </w:r>
      <w:r w:rsidR="00520879" w:rsidRPr="004D2D8C">
        <w:rPr>
          <w:rFonts w:ascii="Comic Sans MS" w:hAnsi="Comic Sans MS"/>
          <w:sz w:val="20"/>
          <w:szCs w:val="20"/>
        </w:rPr>
        <w:t xml:space="preserve">. Nadalje, </w:t>
      </w:r>
      <w:r w:rsidR="00B43E3F" w:rsidRPr="004D2D8C">
        <w:rPr>
          <w:rFonts w:ascii="Comic Sans MS" w:hAnsi="Comic Sans MS"/>
          <w:sz w:val="20"/>
          <w:szCs w:val="20"/>
        </w:rPr>
        <w:t>Bank</w:t>
      </w:r>
      <w:r w:rsidR="00520879" w:rsidRPr="004D2D8C">
        <w:rPr>
          <w:rFonts w:ascii="Comic Sans MS" w:hAnsi="Comic Sans MS"/>
          <w:sz w:val="20"/>
          <w:szCs w:val="20"/>
        </w:rPr>
        <w:t>a pažnju posvećuje i zaštiti biološke raznolikosti, upravljanju robama i uslugama ekosustava te smanjenju degradacije ekosustava kao</w:t>
      </w:r>
      <w:r w:rsidR="0079331A" w:rsidRPr="004D2D8C">
        <w:rPr>
          <w:rFonts w:ascii="Comic Sans MS" w:hAnsi="Comic Sans MS"/>
          <w:sz w:val="20"/>
          <w:szCs w:val="20"/>
        </w:rPr>
        <w:t xml:space="preserve"> oblicima</w:t>
      </w:r>
      <w:r w:rsidR="00520879" w:rsidRPr="004D2D8C">
        <w:rPr>
          <w:rFonts w:ascii="Comic Sans MS" w:hAnsi="Comic Sans MS"/>
          <w:sz w:val="20"/>
          <w:szCs w:val="20"/>
        </w:rPr>
        <w:t xml:space="preserve"> potpor</w:t>
      </w:r>
      <w:r w:rsidR="0079331A" w:rsidRPr="004D2D8C">
        <w:rPr>
          <w:rFonts w:ascii="Comic Sans MS" w:hAnsi="Comic Sans MS"/>
          <w:sz w:val="20"/>
          <w:szCs w:val="20"/>
        </w:rPr>
        <w:t>e</w:t>
      </w:r>
      <w:r w:rsidR="00520879" w:rsidRPr="004D2D8C">
        <w:rPr>
          <w:rFonts w:ascii="Comic Sans MS" w:hAnsi="Comic Sans MS"/>
          <w:sz w:val="20"/>
          <w:szCs w:val="20"/>
        </w:rPr>
        <w:t xml:space="preserve"> politikama i ciljevima </w:t>
      </w:r>
      <w:r w:rsidR="00B43E3F" w:rsidRPr="004D2D8C">
        <w:rPr>
          <w:rFonts w:ascii="Comic Sans MS" w:hAnsi="Comic Sans MS"/>
          <w:sz w:val="20"/>
          <w:szCs w:val="20"/>
        </w:rPr>
        <w:t>EU</w:t>
      </w:r>
      <w:r w:rsidR="00520879" w:rsidRPr="004D2D8C">
        <w:rPr>
          <w:rFonts w:ascii="Comic Sans MS" w:hAnsi="Comic Sans MS"/>
          <w:sz w:val="20"/>
          <w:szCs w:val="20"/>
        </w:rPr>
        <w:t xml:space="preserve">-a i </w:t>
      </w:r>
      <w:r w:rsidR="00B43E3F" w:rsidRPr="004D2D8C">
        <w:rPr>
          <w:rFonts w:ascii="Comic Sans MS" w:hAnsi="Comic Sans MS"/>
          <w:sz w:val="20"/>
          <w:szCs w:val="20"/>
        </w:rPr>
        <w:t>UN</w:t>
      </w:r>
      <w:r w:rsidR="00520879" w:rsidRPr="004D2D8C">
        <w:rPr>
          <w:rFonts w:ascii="Comic Sans MS" w:hAnsi="Comic Sans MS"/>
          <w:sz w:val="20"/>
          <w:szCs w:val="20"/>
        </w:rPr>
        <w:t>-a</w:t>
      </w:r>
      <w:r w:rsidR="00B43E3F" w:rsidRPr="004D2D8C">
        <w:rPr>
          <w:rFonts w:ascii="Comic Sans MS" w:hAnsi="Comic Sans MS"/>
          <w:sz w:val="20"/>
          <w:szCs w:val="20"/>
        </w:rPr>
        <w:t xml:space="preserve">. </w:t>
      </w:r>
      <w:r w:rsidR="00520879" w:rsidRPr="004D2D8C">
        <w:rPr>
          <w:rFonts w:ascii="Comic Sans MS" w:hAnsi="Comic Sans MS"/>
          <w:sz w:val="20"/>
          <w:szCs w:val="20"/>
        </w:rPr>
        <w:t xml:space="preserve">Pristup </w:t>
      </w:r>
      <w:r w:rsidR="00B43E3F" w:rsidRPr="004D2D8C">
        <w:rPr>
          <w:rFonts w:ascii="Comic Sans MS" w:hAnsi="Comic Sans MS"/>
          <w:sz w:val="20"/>
          <w:szCs w:val="20"/>
        </w:rPr>
        <w:t>Bank</w:t>
      </w:r>
      <w:r w:rsidR="00520879" w:rsidRPr="004D2D8C">
        <w:rPr>
          <w:rFonts w:ascii="Comic Sans MS" w:hAnsi="Comic Sans MS"/>
          <w:sz w:val="20"/>
          <w:szCs w:val="20"/>
        </w:rPr>
        <w:t xml:space="preserve">e odražava njezin doprinos </w:t>
      </w:r>
      <w:r w:rsidR="000C3E3B" w:rsidRPr="004D2D8C">
        <w:rPr>
          <w:rFonts w:ascii="Comic Sans MS" w:hAnsi="Comic Sans MS"/>
          <w:sz w:val="20"/>
          <w:szCs w:val="20"/>
        </w:rPr>
        <w:t>Okvirnoj Konvenciji Ujedinjenih naroda o promjeni klime</w:t>
      </w:r>
      <w:r w:rsidR="00B43E3F" w:rsidRPr="004D2D8C">
        <w:rPr>
          <w:rFonts w:ascii="Comic Sans MS" w:hAnsi="Comic Sans MS"/>
          <w:sz w:val="20"/>
          <w:szCs w:val="20"/>
        </w:rPr>
        <w:t xml:space="preserve"> (UNFCCC)</w:t>
      </w:r>
      <w:r w:rsidR="00083E7E" w:rsidRPr="004D2D8C">
        <w:rPr>
          <w:rFonts w:ascii="Comic Sans MS" w:hAnsi="Comic Sans MS"/>
          <w:sz w:val="20"/>
          <w:szCs w:val="20"/>
        </w:rPr>
        <w:t xml:space="preserve"> i Konvenciji Ujedinjenih naroda o biološkoj raznolikosti </w:t>
      </w:r>
      <w:r w:rsidR="00B43E3F" w:rsidRPr="004D2D8C">
        <w:rPr>
          <w:rFonts w:ascii="Comic Sans MS" w:hAnsi="Comic Sans MS"/>
          <w:sz w:val="20"/>
          <w:szCs w:val="20"/>
        </w:rPr>
        <w:t>(CBD)</w:t>
      </w:r>
      <w:r w:rsidR="00083E7E" w:rsidRPr="004D2D8C">
        <w:rPr>
          <w:rFonts w:ascii="Comic Sans MS" w:hAnsi="Comic Sans MS"/>
          <w:sz w:val="20"/>
          <w:szCs w:val="20"/>
        </w:rPr>
        <w:t xml:space="preserve"> te ostvarenju Milenijskih razvojnih ciljeva Ujedinjenih naroda </w:t>
      </w:r>
      <w:r w:rsidR="00B43E3F" w:rsidRPr="004D2D8C">
        <w:rPr>
          <w:rFonts w:ascii="Comic Sans MS" w:hAnsi="Comic Sans MS"/>
          <w:sz w:val="20"/>
          <w:szCs w:val="20"/>
        </w:rPr>
        <w:t>(MDGs)</w:t>
      </w:r>
      <w:r w:rsidR="00BF0EB2" w:rsidRPr="004D2D8C">
        <w:rPr>
          <w:rStyle w:val="EndnoteReference"/>
          <w:rFonts w:ascii="Comic Sans MS" w:hAnsi="Comic Sans MS"/>
          <w:sz w:val="20"/>
          <w:szCs w:val="20"/>
        </w:rPr>
        <w:endnoteReference w:id="8"/>
      </w:r>
      <w:r w:rsidR="00B43E3F" w:rsidRPr="004D2D8C">
        <w:rPr>
          <w:rFonts w:ascii="Comic Sans MS" w:hAnsi="Comic Sans MS"/>
          <w:sz w:val="20"/>
          <w:szCs w:val="20"/>
        </w:rPr>
        <w:t xml:space="preserve">, </w:t>
      </w:r>
      <w:r w:rsidR="00083E7E" w:rsidRPr="004D2D8C">
        <w:rPr>
          <w:rFonts w:ascii="Comic Sans MS" w:hAnsi="Comic Sans MS"/>
          <w:sz w:val="20"/>
          <w:szCs w:val="20"/>
        </w:rPr>
        <w:t xml:space="preserve">poglavito Milenijskog razvojnog cilja </w:t>
      </w:r>
      <w:r w:rsidR="0079331A" w:rsidRPr="004D2D8C">
        <w:rPr>
          <w:rFonts w:ascii="Comic Sans MS" w:hAnsi="Comic Sans MS"/>
          <w:sz w:val="20"/>
          <w:szCs w:val="20"/>
        </w:rPr>
        <w:t xml:space="preserve">br. </w:t>
      </w:r>
      <w:r w:rsidR="00B43E3F" w:rsidRPr="004D2D8C">
        <w:rPr>
          <w:rFonts w:ascii="Comic Sans MS" w:hAnsi="Comic Sans MS"/>
          <w:sz w:val="20"/>
          <w:szCs w:val="20"/>
        </w:rPr>
        <w:t xml:space="preserve">7 </w:t>
      </w:r>
      <w:r w:rsidR="0079331A" w:rsidRPr="004D2D8C">
        <w:rPr>
          <w:rFonts w:ascii="Comic Sans MS" w:hAnsi="Comic Sans MS"/>
          <w:sz w:val="20"/>
          <w:szCs w:val="20"/>
        </w:rPr>
        <w:t xml:space="preserve">radi </w:t>
      </w:r>
      <w:r w:rsidR="00083E7E" w:rsidRPr="004D2D8C">
        <w:rPr>
          <w:rFonts w:ascii="Comic Sans MS" w:hAnsi="Comic Sans MS"/>
          <w:sz w:val="20"/>
          <w:szCs w:val="20"/>
        </w:rPr>
        <w:t>osigura</w:t>
      </w:r>
      <w:r w:rsidR="0079331A" w:rsidRPr="004D2D8C">
        <w:rPr>
          <w:rFonts w:ascii="Comic Sans MS" w:hAnsi="Comic Sans MS"/>
          <w:sz w:val="20"/>
          <w:szCs w:val="20"/>
        </w:rPr>
        <w:t>nj</w:t>
      </w:r>
      <w:r w:rsidR="00083E7E" w:rsidRPr="004D2D8C">
        <w:rPr>
          <w:rFonts w:ascii="Comic Sans MS" w:hAnsi="Comic Sans MS"/>
          <w:sz w:val="20"/>
          <w:szCs w:val="20"/>
        </w:rPr>
        <w:t>a okolišn</w:t>
      </w:r>
      <w:r w:rsidR="0079331A" w:rsidRPr="004D2D8C">
        <w:rPr>
          <w:rFonts w:ascii="Comic Sans MS" w:hAnsi="Comic Sans MS"/>
          <w:sz w:val="20"/>
          <w:szCs w:val="20"/>
        </w:rPr>
        <w:t>e</w:t>
      </w:r>
      <w:r w:rsidR="00083E7E" w:rsidRPr="004D2D8C">
        <w:rPr>
          <w:rFonts w:ascii="Comic Sans MS" w:hAnsi="Comic Sans MS"/>
          <w:sz w:val="20"/>
          <w:szCs w:val="20"/>
        </w:rPr>
        <w:t xml:space="preserve"> održivost</w:t>
      </w:r>
      <w:r w:rsidR="0079331A" w:rsidRPr="004D2D8C">
        <w:rPr>
          <w:rFonts w:ascii="Comic Sans MS" w:hAnsi="Comic Sans MS"/>
          <w:sz w:val="20"/>
          <w:szCs w:val="20"/>
        </w:rPr>
        <w:t>i</w:t>
      </w:r>
      <w:r w:rsidR="00083E7E" w:rsidRPr="004D2D8C">
        <w:rPr>
          <w:rFonts w:ascii="Comic Sans MS" w:hAnsi="Comic Sans MS"/>
          <w:sz w:val="20"/>
          <w:szCs w:val="20"/>
        </w:rPr>
        <w:t>.</w:t>
      </w:r>
    </w:p>
    <w:p w:rsidR="00BF0EB2" w:rsidRPr="004D2D8C" w:rsidRDefault="00BF0EB2" w:rsidP="00BF0EB2">
      <w:pPr>
        <w:pStyle w:val="ListParagraph"/>
        <w:jc w:val="both"/>
        <w:rPr>
          <w:rFonts w:ascii="Comic Sans MS" w:hAnsi="Comic Sans MS"/>
          <w:sz w:val="20"/>
          <w:szCs w:val="20"/>
        </w:rPr>
      </w:pPr>
    </w:p>
    <w:p w:rsidR="001D504F" w:rsidRPr="004D2D8C" w:rsidRDefault="00B43E3F"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EIB</w:t>
      </w:r>
      <w:r w:rsidR="000245C2" w:rsidRPr="004D2D8C">
        <w:rPr>
          <w:rFonts w:ascii="Comic Sans MS" w:hAnsi="Comic Sans MS"/>
          <w:sz w:val="20"/>
          <w:szCs w:val="20"/>
        </w:rPr>
        <w:t xml:space="preserve"> je </w:t>
      </w:r>
      <w:r w:rsidR="0079331A" w:rsidRPr="004D2D8C">
        <w:rPr>
          <w:rFonts w:ascii="Comic Sans MS" w:hAnsi="Comic Sans MS"/>
          <w:sz w:val="20"/>
          <w:szCs w:val="20"/>
        </w:rPr>
        <w:t xml:space="preserve">1996. godine </w:t>
      </w:r>
      <w:r w:rsidR="000245C2" w:rsidRPr="004D2D8C">
        <w:rPr>
          <w:rFonts w:ascii="Comic Sans MS" w:hAnsi="Comic Sans MS"/>
          <w:sz w:val="20"/>
          <w:szCs w:val="20"/>
        </w:rPr>
        <w:t>usvojio Okolišnu izjavu kako bi naglasio svoju predanost zaštiti i unapređenju prirodnog i izgrađenog okoliša u skladu s politikom EU-a</w:t>
      </w:r>
      <w:r w:rsidRPr="004D2D8C">
        <w:rPr>
          <w:rFonts w:ascii="Comic Sans MS" w:hAnsi="Comic Sans MS"/>
          <w:sz w:val="20"/>
          <w:szCs w:val="20"/>
        </w:rPr>
        <w:t xml:space="preserve">. </w:t>
      </w:r>
      <w:r w:rsidR="000245C2" w:rsidRPr="004D2D8C">
        <w:rPr>
          <w:rFonts w:ascii="Comic Sans MS" w:hAnsi="Comic Sans MS"/>
          <w:sz w:val="20"/>
          <w:szCs w:val="20"/>
        </w:rPr>
        <w:t>Izm</w:t>
      </w:r>
      <w:r w:rsidR="00BF6868" w:rsidRPr="004D2D8C">
        <w:rPr>
          <w:rFonts w:ascii="Comic Sans MS" w:hAnsi="Comic Sans MS"/>
          <w:sz w:val="20"/>
          <w:szCs w:val="20"/>
        </w:rPr>
        <w:t xml:space="preserve">ijenjena </w:t>
      </w:r>
      <w:r w:rsidR="000245C2" w:rsidRPr="004D2D8C">
        <w:rPr>
          <w:rFonts w:ascii="Comic Sans MS" w:hAnsi="Comic Sans MS"/>
          <w:sz w:val="20"/>
          <w:szCs w:val="20"/>
        </w:rPr>
        <w:t>Izjav</w:t>
      </w:r>
      <w:r w:rsidR="00BF6868" w:rsidRPr="004D2D8C">
        <w:rPr>
          <w:rFonts w:ascii="Comic Sans MS" w:hAnsi="Comic Sans MS"/>
          <w:sz w:val="20"/>
          <w:szCs w:val="20"/>
        </w:rPr>
        <w:t>a</w:t>
      </w:r>
      <w:r w:rsidR="000245C2" w:rsidRPr="004D2D8C">
        <w:rPr>
          <w:rFonts w:ascii="Comic Sans MS" w:hAnsi="Comic Sans MS"/>
          <w:sz w:val="20"/>
          <w:szCs w:val="20"/>
        </w:rPr>
        <w:t xml:space="preserve"> izdan</w:t>
      </w:r>
      <w:r w:rsidR="00BF6868" w:rsidRPr="004D2D8C">
        <w:rPr>
          <w:rFonts w:ascii="Comic Sans MS" w:hAnsi="Comic Sans MS"/>
          <w:sz w:val="20"/>
          <w:szCs w:val="20"/>
        </w:rPr>
        <w:t>a je</w:t>
      </w:r>
      <w:r w:rsidR="000245C2" w:rsidRPr="004D2D8C">
        <w:rPr>
          <w:rFonts w:ascii="Comic Sans MS" w:hAnsi="Comic Sans MS"/>
          <w:sz w:val="20"/>
          <w:szCs w:val="20"/>
        </w:rPr>
        <w:t xml:space="preserve"> </w:t>
      </w:r>
      <w:r w:rsidRPr="004D2D8C">
        <w:rPr>
          <w:rFonts w:ascii="Comic Sans MS" w:hAnsi="Comic Sans MS"/>
          <w:sz w:val="20"/>
          <w:szCs w:val="20"/>
        </w:rPr>
        <w:t>2002</w:t>
      </w:r>
      <w:r w:rsidR="000245C2" w:rsidRPr="004D2D8C">
        <w:rPr>
          <w:rFonts w:ascii="Comic Sans MS" w:hAnsi="Comic Sans MS"/>
          <w:sz w:val="20"/>
          <w:szCs w:val="20"/>
        </w:rPr>
        <w:t xml:space="preserve">. godine te ponovno </w:t>
      </w:r>
      <w:r w:rsidRPr="004D2D8C">
        <w:rPr>
          <w:rFonts w:ascii="Comic Sans MS" w:hAnsi="Comic Sans MS"/>
          <w:sz w:val="20"/>
          <w:szCs w:val="20"/>
        </w:rPr>
        <w:t>2004</w:t>
      </w:r>
      <w:r w:rsidR="000245C2" w:rsidRPr="004D2D8C">
        <w:rPr>
          <w:rFonts w:ascii="Comic Sans MS" w:hAnsi="Comic Sans MS"/>
          <w:sz w:val="20"/>
          <w:szCs w:val="20"/>
        </w:rPr>
        <w:t>. godine</w:t>
      </w:r>
      <w:r w:rsidR="004E0B39" w:rsidRPr="004D2D8C">
        <w:rPr>
          <w:rFonts w:ascii="Comic Sans MS" w:hAnsi="Comic Sans MS"/>
          <w:sz w:val="20"/>
          <w:szCs w:val="20"/>
        </w:rPr>
        <w:t xml:space="preserve">, a </w:t>
      </w:r>
      <w:r w:rsidR="0036709C" w:rsidRPr="004D2D8C">
        <w:rPr>
          <w:rFonts w:ascii="Comic Sans MS" w:hAnsi="Comic Sans MS"/>
          <w:sz w:val="20"/>
          <w:szCs w:val="20"/>
        </w:rPr>
        <w:t xml:space="preserve">Banka </w:t>
      </w:r>
      <w:r w:rsidR="004E0B39" w:rsidRPr="004D2D8C">
        <w:rPr>
          <w:rFonts w:ascii="Comic Sans MS" w:hAnsi="Comic Sans MS"/>
          <w:sz w:val="20"/>
          <w:szCs w:val="20"/>
        </w:rPr>
        <w:t xml:space="preserve">se njima </w:t>
      </w:r>
      <w:r w:rsidR="0036709C" w:rsidRPr="004D2D8C">
        <w:rPr>
          <w:rFonts w:ascii="Comic Sans MS" w:hAnsi="Comic Sans MS"/>
          <w:sz w:val="20"/>
          <w:szCs w:val="20"/>
        </w:rPr>
        <w:t xml:space="preserve">usklađuje sa </w:t>
      </w:r>
      <w:r w:rsidR="00E12B6D" w:rsidRPr="004D2D8C">
        <w:rPr>
          <w:rFonts w:ascii="Comic Sans MS" w:hAnsi="Comic Sans MS"/>
          <w:sz w:val="20"/>
          <w:szCs w:val="20"/>
        </w:rPr>
        <w:t>Šesti</w:t>
      </w:r>
      <w:r w:rsidR="0036709C" w:rsidRPr="004D2D8C">
        <w:rPr>
          <w:rFonts w:ascii="Comic Sans MS" w:hAnsi="Comic Sans MS"/>
          <w:sz w:val="20"/>
          <w:szCs w:val="20"/>
        </w:rPr>
        <w:t>m</w:t>
      </w:r>
      <w:r w:rsidR="00E12B6D" w:rsidRPr="004D2D8C">
        <w:rPr>
          <w:rFonts w:ascii="Comic Sans MS" w:hAnsi="Comic Sans MS"/>
          <w:sz w:val="20"/>
          <w:szCs w:val="20"/>
        </w:rPr>
        <w:t xml:space="preserve"> EAP</w:t>
      </w:r>
      <w:r w:rsidR="0036709C" w:rsidRPr="004D2D8C">
        <w:rPr>
          <w:rFonts w:ascii="Comic Sans MS" w:hAnsi="Comic Sans MS"/>
          <w:sz w:val="20"/>
          <w:szCs w:val="20"/>
        </w:rPr>
        <w:t xml:space="preserve">-om u pružanju potpore održivom razvoju kako unutar tako i izvan </w:t>
      </w:r>
      <w:r w:rsidRPr="004D2D8C">
        <w:rPr>
          <w:rFonts w:ascii="Comic Sans MS" w:hAnsi="Comic Sans MS"/>
          <w:sz w:val="20"/>
          <w:szCs w:val="20"/>
        </w:rPr>
        <w:t>EU</w:t>
      </w:r>
      <w:r w:rsidR="0036709C" w:rsidRPr="004D2D8C">
        <w:rPr>
          <w:rFonts w:ascii="Comic Sans MS" w:hAnsi="Comic Sans MS"/>
          <w:sz w:val="20"/>
          <w:szCs w:val="20"/>
        </w:rPr>
        <w:t>-a</w:t>
      </w:r>
      <w:r w:rsidRPr="004D2D8C">
        <w:rPr>
          <w:rFonts w:ascii="Comic Sans MS" w:hAnsi="Comic Sans MS"/>
          <w:sz w:val="20"/>
          <w:szCs w:val="20"/>
        </w:rPr>
        <w:t xml:space="preserve">. </w:t>
      </w:r>
      <w:r w:rsidR="0036709C" w:rsidRPr="004D2D8C">
        <w:rPr>
          <w:rFonts w:ascii="Comic Sans MS" w:hAnsi="Comic Sans MS"/>
          <w:sz w:val="20"/>
          <w:szCs w:val="20"/>
        </w:rPr>
        <w:t xml:space="preserve">S vremenom se uz ekološka pitanja počelo razmatrati i socijalna pitanja te, iako </w:t>
      </w:r>
      <w:r w:rsidRPr="004D2D8C">
        <w:rPr>
          <w:rFonts w:ascii="Comic Sans MS" w:hAnsi="Comic Sans MS"/>
          <w:sz w:val="20"/>
          <w:szCs w:val="20"/>
        </w:rPr>
        <w:t>Bank</w:t>
      </w:r>
      <w:r w:rsidR="0036709C" w:rsidRPr="004D2D8C">
        <w:rPr>
          <w:rFonts w:ascii="Comic Sans MS" w:hAnsi="Comic Sans MS"/>
          <w:sz w:val="20"/>
          <w:szCs w:val="20"/>
        </w:rPr>
        <w:t>a i nadalje ovim pitanjima pristupa na različite načine u smislu načina, opsega i intenziteta,</w:t>
      </w:r>
      <w:r w:rsidR="004E0B39" w:rsidRPr="004D2D8C">
        <w:rPr>
          <w:rFonts w:ascii="Comic Sans MS" w:hAnsi="Comic Sans MS"/>
          <w:sz w:val="20"/>
          <w:szCs w:val="20"/>
        </w:rPr>
        <w:t xml:space="preserve"> a</w:t>
      </w:r>
      <w:r w:rsidR="0036709C" w:rsidRPr="004D2D8C">
        <w:rPr>
          <w:rFonts w:ascii="Comic Sans MS" w:hAnsi="Comic Sans MS"/>
          <w:sz w:val="20"/>
          <w:szCs w:val="20"/>
        </w:rPr>
        <w:t xml:space="preserve"> ova se dva područja sve više povezuje u jedinstvenu procjenu održivosti</w:t>
      </w:r>
      <w:r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B43E3F"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EIB</w:t>
      </w:r>
      <w:r w:rsidR="0036709C" w:rsidRPr="004D2D8C">
        <w:rPr>
          <w:rFonts w:ascii="Comic Sans MS" w:hAnsi="Comic Sans MS"/>
          <w:sz w:val="20"/>
          <w:szCs w:val="20"/>
        </w:rPr>
        <w:t xml:space="preserve">-ova Izjava o okolišnim i socijalnim načelima i standardima iz </w:t>
      </w:r>
      <w:r w:rsidRPr="004D2D8C">
        <w:rPr>
          <w:rFonts w:ascii="Comic Sans MS" w:hAnsi="Comic Sans MS"/>
          <w:sz w:val="20"/>
          <w:szCs w:val="20"/>
        </w:rPr>
        <w:t>2008</w:t>
      </w:r>
      <w:r w:rsidR="0036709C" w:rsidRPr="004D2D8C">
        <w:rPr>
          <w:rFonts w:ascii="Comic Sans MS" w:hAnsi="Comic Sans MS"/>
          <w:sz w:val="20"/>
          <w:szCs w:val="20"/>
        </w:rPr>
        <w:t>. godine</w:t>
      </w:r>
      <w:r w:rsidRPr="004D2D8C">
        <w:rPr>
          <w:rFonts w:ascii="Comic Sans MS" w:hAnsi="Comic Sans MS"/>
          <w:sz w:val="20"/>
          <w:szCs w:val="20"/>
        </w:rPr>
        <w:t xml:space="preserve"> (</w:t>
      </w:r>
      <w:r w:rsidR="0036709C" w:rsidRPr="004D2D8C">
        <w:rPr>
          <w:rFonts w:ascii="Comic Sans MS" w:hAnsi="Comic Sans MS"/>
          <w:sz w:val="20"/>
          <w:szCs w:val="20"/>
        </w:rPr>
        <w:t>„Izjava“</w:t>
      </w:r>
      <w:r w:rsidRPr="004D2D8C">
        <w:rPr>
          <w:rFonts w:ascii="Comic Sans MS" w:hAnsi="Comic Sans MS"/>
          <w:sz w:val="20"/>
          <w:szCs w:val="20"/>
        </w:rPr>
        <w:t>)</w:t>
      </w:r>
      <w:r w:rsidR="00DF1F18" w:rsidRPr="004D2D8C">
        <w:rPr>
          <w:rFonts w:ascii="Comic Sans MS" w:hAnsi="Comic Sans MS"/>
          <w:sz w:val="20"/>
          <w:szCs w:val="20"/>
        </w:rPr>
        <w:t xml:space="preserve"> razvija okolišne i socijalne zahtjeve </w:t>
      </w:r>
      <w:r w:rsidRPr="004D2D8C">
        <w:rPr>
          <w:rFonts w:ascii="Comic Sans MS" w:hAnsi="Comic Sans MS"/>
          <w:sz w:val="20"/>
          <w:szCs w:val="20"/>
        </w:rPr>
        <w:t>Bank</w:t>
      </w:r>
      <w:r w:rsidR="00DF1F18" w:rsidRPr="004D2D8C">
        <w:rPr>
          <w:rFonts w:ascii="Comic Sans MS" w:hAnsi="Comic Sans MS"/>
          <w:sz w:val="20"/>
          <w:szCs w:val="20"/>
        </w:rPr>
        <w:t xml:space="preserve">e što se primjenjuju na </w:t>
      </w:r>
      <w:r w:rsidRPr="004D2D8C">
        <w:rPr>
          <w:rFonts w:ascii="Comic Sans MS" w:hAnsi="Comic Sans MS"/>
          <w:sz w:val="20"/>
          <w:szCs w:val="20"/>
        </w:rPr>
        <w:t>proje</w:t>
      </w:r>
      <w:r w:rsidR="00DF1F18" w:rsidRPr="004D2D8C">
        <w:rPr>
          <w:rFonts w:ascii="Comic Sans MS" w:hAnsi="Comic Sans MS"/>
          <w:sz w:val="20"/>
          <w:szCs w:val="20"/>
        </w:rPr>
        <w:t>k</w:t>
      </w:r>
      <w:r w:rsidRPr="004D2D8C">
        <w:rPr>
          <w:rFonts w:ascii="Comic Sans MS" w:hAnsi="Comic Sans MS"/>
          <w:sz w:val="20"/>
          <w:szCs w:val="20"/>
        </w:rPr>
        <w:t>t</w:t>
      </w:r>
      <w:r w:rsidR="00DF1F18" w:rsidRPr="004D2D8C">
        <w:rPr>
          <w:rFonts w:ascii="Comic Sans MS" w:hAnsi="Comic Sans MS"/>
          <w:sz w:val="20"/>
          <w:szCs w:val="20"/>
        </w:rPr>
        <w:t>e koje financira te stavlja snažniji naglasak na svoje socijalne zahtjeve u usporedbi s praksom u prošlosti</w:t>
      </w:r>
      <w:r w:rsidRPr="004D2D8C">
        <w:rPr>
          <w:rFonts w:ascii="Comic Sans MS" w:hAnsi="Comic Sans MS"/>
          <w:sz w:val="20"/>
          <w:szCs w:val="20"/>
        </w:rPr>
        <w:t xml:space="preserve">. </w:t>
      </w:r>
      <w:r w:rsidR="004E0B39" w:rsidRPr="004D2D8C">
        <w:rPr>
          <w:rFonts w:ascii="Comic Sans MS" w:hAnsi="Comic Sans MS"/>
          <w:sz w:val="20"/>
          <w:szCs w:val="20"/>
        </w:rPr>
        <w:t>Ona p</w:t>
      </w:r>
      <w:r w:rsidR="00DF1F18" w:rsidRPr="004D2D8C">
        <w:rPr>
          <w:rFonts w:ascii="Comic Sans MS" w:hAnsi="Comic Sans MS"/>
          <w:sz w:val="20"/>
          <w:szCs w:val="20"/>
        </w:rPr>
        <w:t xml:space="preserve">redstavlja značajan izraz EIB-ove korporativne odgovornosti i aspiracija te </w:t>
      </w:r>
      <w:r w:rsidR="00F13C9F" w:rsidRPr="004D2D8C">
        <w:rPr>
          <w:rFonts w:ascii="Comic Sans MS" w:hAnsi="Comic Sans MS"/>
          <w:sz w:val="20"/>
          <w:szCs w:val="20"/>
        </w:rPr>
        <w:t>čini transparentnim zahtjeve temeljem kojih se procjenjuju i ocjenjuju projekti koje financira</w:t>
      </w:r>
      <w:r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466827"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 xml:space="preserve">U svim projektima koje financira </w:t>
      </w:r>
      <w:r w:rsidR="00B43E3F" w:rsidRPr="004D2D8C">
        <w:rPr>
          <w:rFonts w:ascii="Comic Sans MS" w:hAnsi="Comic Sans MS"/>
          <w:sz w:val="20"/>
          <w:szCs w:val="20"/>
        </w:rPr>
        <w:t>EIB</w:t>
      </w:r>
      <w:r w:rsidRPr="004D2D8C">
        <w:rPr>
          <w:rFonts w:ascii="Comic Sans MS" w:hAnsi="Comic Sans MS"/>
          <w:sz w:val="20"/>
          <w:szCs w:val="20"/>
        </w:rPr>
        <w:t xml:space="preserve"> razmatra odnos između okoliša i socijalnog blagostanja te između prirodnog i izgrađenog okoliša</w:t>
      </w:r>
      <w:r w:rsidR="00B43E3F" w:rsidRPr="004D2D8C">
        <w:rPr>
          <w:rFonts w:ascii="Comic Sans MS" w:hAnsi="Comic Sans MS"/>
          <w:sz w:val="20"/>
          <w:szCs w:val="20"/>
        </w:rPr>
        <w:t xml:space="preserve">. </w:t>
      </w:r>
      <w:r w:rsidRPr="004D2D8C">
        <w:rPr>
          <w:rFonts w:ascii="Comic Sans MS" w:hAnsi="Comic Sans MS"/>
          <w:sz w:val="20"/>
          <w:szCs w:val="20"/>
        </w:rPr>
        <w:t>Budući da socijalna komponenta sačinjava jedan od stupova održivog razvoja, razmatranje socijalnih pitanja postaje sve važnije u okviru aktivnosti Banke povezanih s projektima</w:t>
      </w:r>
      <w:r w:rsidR="00B43E3F" w:rsidRPr="004D2D8C">
        <w:rPr>
          <w:rFonts w:ascii="Comic Sans MS" w:hAnsi="Comic Sans MS"/>
          <w:sz w:val="20"/>
          <w:szCs w:val="20"/>
        </w:rPr>
        <w:t xml:space="preserve">, </w:t>
      </w:r>
      <w:r w:rsidRPr="004D2D8C">
        <w:rPr>
          <w:rFonts w:ascii="Comic Sans MS" w:hAnsi="Comic Sans MS"/>
          <w:sz w:val="20"/>
          <w:szCs w:val="20"/>
        </w:rPr>
        <w:t>poglavito u poslovima izvan Europske unije</w:t>
      </w:r>
      <w:r w:rsidR="00B43E3F" w:rsidRPr="004D2D8C">
        <w:rPr>
          <w:rFonts w:ascii="Comic Sans MS" w:hAnsi="Comic Sans MS"/>
          <w:sz w:val="20"/>
          <w:szCs w:val="20"/>
        </w:rPr>
        <w:t>.</w:t>
      </w:r>
      <w:r w:rsidRPr="004D2D8C">
        <w:rPr>
          <w:rFonts w:ascii="Comic Sans MS" w:hAnsi="Comic Sans MS"/>
          <w:sz w:val="20"/>
          <w:szCs w:val="20"/>
        </w:rPr>
        <w:t xml:space="preserve"> Oslanjajući se na Povelju Europske unije o temeljnim pravima </w:t>
      </w:r>
      <w:r w:rsidR="00B43E3F" w:rsidRPr="004D2D8C">
        <w:rPr>
          <w:rFonts w:ascii="Comic Sans MS" w:hAnsi="Comic Sans MS"/>
          <w:sz w:val="20"/>
          <w:szCs w:val="20"/>
        </w:rPr>
        <w:t>(</w:t>
      </w:r>
      <w:r w:rsidRPr="004D2D8C">
        <w:rPr>
          <w:rFonts w:ascii="Comic Sans MS" w:hAnsi="Comic Sans MS"/>
          <w:sz w:val="20"/>
          <w:szCs w:val="20"/>
        </w:rPr>
        <w:t>„Povelja“)</w:t>
      </w:r>
      <w:r w:rsidR="00B43E3F" w:rsidRPr="004D2D8C">
        <w:rPr>
          <w:rFonts w:ascii="Comic Sans MS" w:hAnsi="Comic Sans MS"/>
          <w:sz w:val="20"/>
          <w:szCs w:val="20"/>
        </w:rPr>
        <w:t xml:space="preserve"> (2000</w:t>
      </w:r>
      <w:r w:rsidRPr="004D2D8C">
        <w:rPr>
          <w:rFonts w:ascii="Comic Sans MS" w:hAnsi="Comic Sans MS"/>
          <w:sz w:val="20"/>
          <w:szCs w:val="20"/>
        </w:rPr>
        <w:t>.</w:t>
      </w:r>
      <w:r w:rsidR="007F1975" w:rsidRPr="004D2D8C">
        <w:rPr>
          <w:rFonts w:ascii="Comic Sans MS" w:hAnsi="Comic Sans MS"/>
          <w:sz w:val="20"/>
          <w:szCs w:val="20"/>
        </w:rPr>
        <w:t>)</w:t>
      </w:r>
      <w:r w:rsidR="001D504F" w:rsidRPr="004D2D8C">
        <w:rPr>
          <w:rStyle w:val="EndnoteReference"/>
          <w:rFonts w:ascii="Comic Sans MS" w:hAnsi="Comic Sans MS"/>
          <w:sz w:val="20"/>
          <w:szCs w:val="20"/>
        </w:rPr>
        <w:endnoteReference w:id="9"/>
      </w:r>
      <w:r w:rsidR="00B43E3F" w:rsidRPr="004D2D8C">
        <w:rPr>
          <w:rFonts w:ascii="Comic Sans MS" w:hAnsi="Comic Sans MS"/>
          <w:sz w:val="20"/>
          <w:szCs w:val="20"/>
        </w:rPr>
        <w:t>, Bank</w:t>
      </w:r>
      <w:r w:rsidRPr="004D2D8C">
        <w:rPr>
          <w:rFonts w:ascii="Comic Sans MS" w:hAnsi="Comic Sans MS"/>
          <w:sz w:val="20"/>
          <w:szCs w:val="20"/>
        </w:rPr>
        <w:t>a posebnu pažnju posvećuje pravima skupina</w:t>
      </w:r>
      <w:r w:rsidR="003734F2" w:rsidRPr="004D2D8C">
        <w:rPr>
          <w:rFonts w:ascii="Comic Sans MS" w:hAnsi="Comic Sans MS"/>
          <w:sz w:val="20"/>
          <w:szCs w:val="20"/>
        </w:rPr>
        <w:t xml:space="preserve"> koje se nalaze u nepovoljnom položaju te </w:t>
      </w:r>
      <w:r w:rsidRPr="004D2D8C">
        <w:rPr>
          <w:rFonts w:ascii="Comic Sans MS" w:hAnsi="Comic Sans MS"/>
          <w:sz w:val="20"/>
          <w:szCs w:val="20"/>
        </w:rPr>
        <w:t xml:space="preserve">utjecajima koja bi neki projekt mogao imati na ljude kako </w:t>
      </w:r>
      <w:r w:rsidR="007879A5" w:rsidRPr="004D2D8C">
        <w:rPr>
          <w:rFonts w:ascii="Comic Sans MS" w:hAnsi="Comic Sans MS"/>
          <w:sz w:val="20"/>
          <w:szCs w:val="20"/>
        </w:rPr>
        <w:t>n</w:t>
      </w:r>
      <w:r w:rsidRPr="004D2D8C">
        <w:rPr>
          <w:rFonts w:ascii="Comic Sans MS" w:hAnsi="Comic Sans MS"/>
          <w:sz w:val="20"/>
          <w:szCs w:val="20"/>
        </w:rPr>
        <w:t>a radnom mjestu tako i u lokalnoj zajednici</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466827"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Zaposlenici EIB-a moraju primjenjivati Izjavu u svim svojim poslovima</w:t>
      </w:r>
      <w:r w:rsidR="00B43E3F" w:rsidRPr="004D2D8C">
        <w:rPr>
          <w:rFonts w:ascii="Comic Sans MS" w:hAnsi="Comic Sans MS"/>
          <w:sz w:val="20"/>
          <w:szCs w:val="20"/>
        </w:rPr>
        <w:t xml:space="preserve">. </w:t>
      </w:r>
      <w:r w:rsidRPr="004D2D8C">
        <w:rPr>
          <w:rFonts w:ascii="Comic Sans MS" w:hAnsi="Comic Sans MS"/>
          <w:sz w:val="20"/>
          <w:szCs w:val="20"/>
        </w:rPr>
        <w:t>Njome se</w:t>
      </w:r>
      <w:r w:rsidR="00614C54" w:rsidRPr="004D2D8C">
        <w:rPr>
          <w:rFonts w:ascii="Comic Sans MS" w:hAnsi="Comic Sans MS"/>
          <w:sz w:val="20"/>
          <w:szCs w:val="20"/>
        </w:rPr>
        <w:t xml:space="preserve"> o zahtjevima Banke </w:t>
      </w:r>
      <w:r w:rsidRPr="004D2D8C">
        <w:rPr>
          <w:rFonts w:ascii="Comic Sans MS" w:hAnsi="Comic Sans MS"/>
          <w:sz w:val="20"/>
          <w:szCs w:val="20"/>
        </w:rPr>
        <w:t>obavještavaju promotori, javn</w:t>
      </w:r>
      <w:r w:rsidR="00614C54" w:rsidRPr="004D2D8C">
        <w:rPr>
          <w:rFonts w:ascii="Comic Sans MS" w:hAnsi="Comic Sans MS"/>
          <w:sz w:val="20"/>
          <w:szCs w:val="20"/>
        </w:rPr>
        <w:t xml:space="preserve">ost, </w:t>
      </w:r>
      <w:r w:rsidR="002567DE" w:rsidRPr="004D2D8C">
        <w:rPr>
          <w:rFonts w:ascii="Comic Sans MS" w:hAnsi="Comic Sans MS"/>
          <w:sz w:val="20"/>
          <w:szCs w:val="20"/>
        </w:rPr>
        <w:t xml:space="preserve">pogođene zajednice kao i drugi dionici, uključujući </w:t>
      </w:r>
      <w:r w:rsidR="00B4421D" w:rsidRPr="004D2D8C">
        <w:rPr>
          <w:rFonts w:ascii="Comic Sans MS" w:hAnsi="Comic Sans MS"/>
          <w:sz w:val="20"/>
          <w:szCs w:val="20"/>
        </w:rPr>
        <w:t xml:space="preserve">i </w:t>
      </w:r>
      <w:r w:rsidR="002567DE" w:rsidRPr="004D2D8C">
        <w:rPr>
          <w:rFonts w:ascii="Comic Sans MS" w:hAnsi="Comic Sans MS"/>
          <w:sz w:val="20"/>
          <w:szCs w:val="20"/>
        </w:rPr>
        <w:t xml:space="preserve">druge ustanove </w:t>
      </w:r>
      <w:r w:rsidR="00B43E3F" w:rsidRPr="004D2D8C">
        <w:rPr>
          <w:rFonts w:ascii="Comic Sans MS" w:hAnsi="Comic Sans MS"/>
          <w:sz w:val="20"/>
          <w:szCs w:val="20"/>
        </w:rPr>
        <w:t>EU</w:t>
      </w:r>
      <w:r w:rsidR="002567DE" w:rsidRPr="004D2D8C">
        <w:rPr>
          <w:rFonts w:ascii="Comic Sans MS" w:hAnsi="Comic Sans MS"/>
          <w:sz w:val="20"/>
          <w:szCs w:val="20"/>
        </w:rPr>
        <w:t xml:space="preserve">-a, poglavito </w:t>
      </w:r>
      <w:r w:rsidR="00B43E3F" w:rsidRPr="004D2D8C">
        <w:rPr>
          <w:rFonts w:ascii="Comic Sans MS" w:hAnsi="Comic Sans MS"/>
          <w:sz w:val="20"/>
          <w:szCs w:val="20"/>
        </w:rPr>
        <w:t>Europ</w:t>
      </w:r>
      <w:r w:rsidR="002567DE" w:rsidRPr="004D2D8C">
        <w:rPr>
          <w:rFonts w:ascii="Comic Sans MS" w:hAnsi="Comic Sans MS"/>
          <w:sz w:val="20"/>
          <w:szCs w:val="20"/>
        </w:rPr>
        <w:t xml:space="preserve">sku komisiju, </w:t>
      </w:r>
      <w:r w:rsidR="00614C54" w:rsidRPr="004D2D8C">
        <w:rPr>
          <w:rFonts w:ascii="Comic Sans MS" w:hAnsi="Comic Sans MS"/>
          <w:sz w:val="20"/>
          <w:szCs w:val="20"/>
        </w:rPr>
        <w:t xml:space="preserve">ostale multilateralne financijske ustanove </w:t>
      </w:r>
      <w:r w:rsidR="00B43E3F" w:rsidRPr="004D2D8C">
        <w:rPr>
          <w:rFonts w:ascii="Comic Sans MS" w:hAnsi="Comic Sans MS"/>
          <w:sz w:val="20"/>
          <w:szCs w:val="20"/>
        </w:rPr>
        <w:t>(MFIs), financi</w:t>
      </w:r>
      <w:r w:rsidR="00614C54" w:rsidRPr="004D2D8C">
        <w:rPr>
          <w:rFonts w:ascii="Comic Sans MS" w:hAnsi="Comic Sans MS"/>
          <w:sz w:val="20"/>
          <w:szCs w:val="20"/>
        </w:rPr>
        <w:t>jske i poslovne partnere te predstavnike civilnog društva</w:t>
      </w:r>
      <w:r w:rsidR="00B43E3F" w:rsidRPr="004D2D8C">
        <w:rPr>
          <w:rFonts w:ascii="Comic Sans MS" w:hAnsi="Comic Sans MS"/>
          <w:sz w:val="20"/>
          <w:szCs w:val="20"/>
        </w:rPr>
        <w:t xml:space="preserve"> </w:t>
      </w:r>
      <w:r w:rsidR="00B4421D" w:rsidRPr="004D2D8C">
        <w:rPr>
          <w:rFonts w:ascii="Comic Sans MS" w:hAnsi="Comic Sans MS"/>
          <w:sz w:val="20"/>
          <w:szCs w:val="20"/>
        </w:rPr>
        <w:t xml:space="preserve">kao </w:t>
      </w:r>
      <w:r w:rsidR="00614C54" w:rsidRPr="004D2D8C">
        <w:rPr>
          <w:rFonts w:ascii="Comic Sans MS" w:hAnsi="Comic Sans MS"/>
          <w:sz w:val="20"/>
          <w:szCs w:val="20"/>
        </w:rPr>
        <w:t xml:space="preserve">i nevladine organizacije </w:t>
      </w:r>
      <w:r w:rsidR="00B43E3F" w:rsidRPr="004D2D8C">
        <w:rPr>
          <w:rFonts w:ascii="Comic Sans MS" w:hAnsi="Comic Sans MS"/>
          <w:sz w:val="20"/>
          <w:szCs w:val="20"/>
        </w:rPr>
        <w:t xml:space="preserve">(NGOs). </w:t>
      </w:r>
    </w:p>
    <w:p w:rsidR="001D504F" w:rsidRPr="004D2D8C" w:rsidRDefault="001D504F" w:rsidP="001D504F">
      <w:pPr>
        <w:pStyle w:val="ListParagraph"/>
        <w:rPr>
          <w:rFonts w:ascii="Comic Sans MS" w:hAnsi="Comic Sans MS"/>
          <w:sz w:val="20"/>
          <w:szCs w:val="20"/>
        </w:rPr>
      </w:pPr>
    </w:p>
    <w:p w:rsidR="001D504F" w:rsidRPr="004D2D8C" w:rsidRDefault="00614C54"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 xml:space="preserve">Općeniti pristup </w:t>
      </w:r>
      <w:r w:rsidR="00B43E3F" w:rsidRPr="004D2D8C">
        <w:rPr>
          <w:rFonts w:ascii="Comic Sans MS" w:hAnsi="Comic Sans MS"/>
          <w:sz w:val="20"/>
          <w:szCs w:val="20"/>
        </w:rPr>
        <w:t>EIB</w:t>
      </w:r>
      <w:r w:rsidRPr="004D2D8C">
        <w:rPr>
          <w:rFonts w:ascii="Comic Sans MS" w:hAnsi="Comic Sans MS"/>
          <w:sz w:val="20"/>
          <w:szCs w:val="20"/>
        </w:rPr>
        <w:t xml:space="preserve">-a okolišnim pitanjima i socijalnom blagostanju </w:t>
      </w:r>
      <w:r w:rsidR="00423992" w:rsidRPr="004D2D8C">
        <w:rPr>
          <w:rFonts w:ascii="Comic Sans MS" w:hAnsi="Comic Sans MS"/>
          <w:sz w:val="20"/>
          <w:szCs w:val="20"/>
        </w:rPr>
        <w:t xml:space="preserve">Izjavi </w:t>
      </w:r>
      <w:r w:rsidRPr="004D2D8C">
        <w:rPr>
          <w:rFonts w:ascii="Comic Sans MS" w:hAnsi="Comic Sans MS"/>
          <w:sz w:val="20"/>
          <w:szCs w:val="20"/>
        </w:rPr>
        <w:t xml:space="preserve">daje </w:t>
      </w:r>
      <w:r w:rsidR="00423992" w:rsidRPr="004D2D8C">
        <w:rPr>
          <w:rFonts w:ascii="Comic Sans MS" w:hAnsi="Comic Sans MS"/>
          <w:sz w:val="20"/>
          <w:szCs w:val="20"/>
        </w:rPr>
        <w:t xml:space="preserve">njezin </w:t>
      </w:r>
      <w:r w:rsidRPr="004D2D8C">
        <w:rPr>
          <w:rFonts w:ascii="Comic Sans MS" w:hAnsi="Comic Sans MS"/>
          <w:sz w:val="20"/>
          <w:szCs w:val="20"/>
        </w:rPr>
        <w:t>kontekst</w:t>
      </w:r>
      <w:r w:rsidR="00B43E3F" w:rsidRPr="004D2D8C">
        <w:rPr>
          <w:rFonts w:ascii="Comic Sans MS" w:hAnsi="Comic Sans MS"/>
          <w:sz w:val="20"/>
          <w:szCs w:val="20"/>
        </w:rPr>
        <w:t>.</w:t>
      </w:r>
      <w:r w:rsidRPr="004D2D8C">
        <w:rPr>
          <w:rFonts w:ascii="Comic Sans MS" w:hAnsi="Comic Sans MS"/>
          <w:sz w:val="20"/>
          <w:szCs w:val="20"/>
        </w:rPr>
        <w:t xml:space="preserve"> Taj pristup proizlazi iz Ugovora kojim se Europskoj uniji daje zadaća promoviranja održivog razvoja, uključujući gospodarski rast</w:t>
      </w:r>
      <w:r w:rsidR="00B43E3F" w:rsidRPr="004D2D8C">
        <w:rPr>
          <w:rFonts w:ascii="Comic Sans MS" w:hAnsi="Comic Sans MS"/>
          <w:sz w:val="20"/>
          <w:szCs w:val="20"/>
        </w:rPr>
        <w:t xml:space="preserve">, </w:t>
      </w:r>
      <w:r w:rsidRPr="004D2D8C">
        <w:rPr>
          <w:rFonts w:ascii="Comic Sans MS" w:hAnsi="Comic Sans MS"/>
          <w:sz w:val="20"/>
          <w:szCs w:val="20"/>
        </w:rPr>
        <w:t>socijalnu koheziju i zaštitu okoliša</w:t>
      </w:r>
      <w:r w:rsidR="00B43E3F" w:rsidRPr="004D2D8C">
        <w:rPr>
          <w:rFonts w:ascii="Comic Sans MS" w:hAnsi="Comic Sans MS"/>
          <w:sz w:val="20"/>
          <w:szCs w:val="20"/>
        </w:rPr>
        <w:t xml:space="preserve">, </w:t>
      </w:r>
      <w:r w:rsidR="00752163" w:rsidRPr="004D2D8C">
        <w:rPr>
          <w:rFonts w:ascii="Comic Sans MS" w:hAnsi="Comic Sans MS"/>
          <w:sz w:val="20"/>
          <w:szCs w:val="20"/>
        </w:rPr>
        <w:t xml:space="preserve">na način da, </w:t>
      </w:r>
      <w:r w:rsidRPr="004D2D8C">
        <w:rPr>
          <w:rFonts w:ascii="Comic Sans MS" w:hAnsi="Comic Sans MS"/>
          <w:sz w:val="20"/>
          <w:szCs w:val="20"/>
        </w:rPr>
        <w:t>između ostalog</w:t>
      </w:r>
      <w:r w:rsidR="00752163" w:rsidRPr="004D2D8C">
        <w:rPr>
          <w:rFonts w:ascii="Comic Sans MS" w:hAnsi="Comic Sans MS"/>
          <w:sz w:val="20"/>
          <w:szCs w:val="20"/>
        </w:rPr>
        <w:t xml:space="preserve">, osigura integraciju ekoloških razmatranja u sve politike i aktivnosti </w:t>
      </w:r>
      <w:r w:rsidR="00B43E3F" w:rsidRPr="004D2D8C">
        <w:rPr>
          <w:rFonts w:ascii="Comic Sans MS" w:hAnsi="Comic Sans MS"/>
          <w:sz w:val="20"/>
          <w:szCs w:val="20"/>
        </w:rPr>
        <w:t>EU</w:t>
      </w:r>
      <w:r w:rsidR="00752163" w:rsidRPr="004D2D8C">
        <w:rPr>
          <w:rFonts w:ascii="Comic Sans MS" w:hAnsi="Comic Sans MS"/>
          <w:sz w:val="20"/>
          <w:szCs w:val="20"/>
        </w:rPr>
        <w:t>-a</w:t>
      </w:r>
      <w:r w:rsidR="00B43E3F" w:rsidRPr="004D2D8C">
        <w:rPr>
          <w:rFonts w:ascii="Comic Sans MS" w:hAnsi="Comic Sans MS"/>
          <w:sz w:val="20"/>
          <w:szCs w:val="20"/>
        </w:rPr>
        <w:t xml:space="preserve">. </w:t>
      </w:r>
      <w:r w:rsidR="00752163" w:rsidRPr="004D2D8C">
        <w:rPr>
          <w:rFonts w:ascii="Comic Sans MS" w:hAnsi="Comic Sans MS"/>
          <w:sz w:val="20"/>
          <w:szCs w:val="20"/>
        </w:rPr>
        <w:t>Kao tijelo EU-a</w:t>
      </w:r>
      <w:r w:rsidR="00423992" w:rsidRPr="004D2D8C">
        <w:rPr>
          <w:rFonts w:ascii="Comic Sans MS" w:hAnsi="Comic Sans MS"/>
          <w:sz w:val="20"/>
          <w:szCs w:val="20"/>
        </w:rPr>
        <w:t>,</w:t>
      </w:r>
      <w:r w:rsidR="00752163" w:rsidRPr="004D2D8C">
        <w:rPr>
          <w:rFonts w:ascii="Comic Sans MS" w:hAnsi="Comic Sans MS"/>
          <w:sz w:val="20"/>
          <w:szCs w:val="20"/>
        </w:rPr>
        <w:t xml:space="preserve"> </w:t>
      </w:r>
      <w:r w:rsidR="00B43E3F" w:rsidRPr="004D2D8C">
        <w:rPr>
          <w:rFonts w:ascii="Comic Sans MS" w:hAnsi="Comic Sans MS"/>
          <w:sz w:val="20"/>
          <w:szCs w:val="20"/>
        </w:rPr>
        <w:t>Bank</w:t>
      </w:r>
      <w:r w:rsidR="00752163" w:rsidRPr="004D2D8C">
        <w:rPr>
          <w:rFonts w:ascii="Comic Sans MS" w:hAnsi="Comic Sans MS"/>
          <w:sz w:val="20"/>
          <w:szCs w:val="20"/>
        </w:rPr>
        <w:t xml:space="preserve">u obvezuju zakoni </w:t>
      </w:r>
      <w:r w:rsidR="00B43E3F" w:rsidRPr="004D2D8C">
        <w:rPr>
          <w:rFonts w:ascii="Comic Sans MS" w:hAnsi="Comic Sans MS"/>
          <w:sz w:val="20"/>
          <w:szCs w:val="20"/>
        </w:rPr>
        <w:t>EU</w:t>
      </w:r>
      <w:r w:rsidR="00752163" w:rsidRPr="004D2D8C">
        <w:rPr>
          <w:rFonts w:ascii="Comic Sans MS" w:hAnsi="Comic Sans MS"/>
          <w:sz w:val="20"/>
          <w:szCs w:val="20"/>
        </w:rPr>
        <w:t xml:space="preserve">-a i ona je obvezna promovirati ciljeve politika </w:t>
      </w:r>
      <w:r w:rsidR="00B43E3F" w:rsidRPr="004D2D8C">
        <w:rPr>
          <w:rFonts w:ascii="Comic Sans MS" w:hAnsi="Comic Sans MS"/>
          <w:sz w:val="20"/>
          <w:szCs w:val="20"/>
        </w:rPr>
        <w:t>EU</w:t>
      </w:r>
      <w:r w:rsidR="00752163" w:rsidRPr="004D2D8C">
        <w:rPr>
          <w:rFonts w:ascii="Comic Sans MS" w:hAnsi="Comic Sans MS"/>
          <w:sz w:val="20"/>
          <w:szCs w:val="20"/>
        </w:rPr>
        <w:t>-a</w:t>
      </w:r>
      <w:r w:rsidR="00B43E3F" w:rsidRPr="004D2D8C">
        <w:rPr>
          <w:rFonts w:ascii="Comic Sans MS" w:hAnsi="Comic Sans MS"/>
          <w:sz w:val="20"/>
          <w:szCs w:val="20"/>
        </w:rPr>
        <w:t xml:space="preserve">. </w:t>
      </w:r>
      <w:r w:rsidR="00752163" w:rsidRPr="004D2D8C">
        <w:rPr>
          <w:rFonts w:ascii="Comic Sans MS" w:hAnsi="Comic Sans MS"/>
          <w:sz w:val="20"/>
          <w:szCs w:val="20"/>
        </w:rPr>
        <w:t xml:space="preserve">EIB-ova </w:t>
      </w:r>
      <w:r w:rsidR="00B43E3F" w:rsidRPr="004D2D8C">
        <w:rPr>
          <w:rFonts w:ascii="Comic Sans MS" w:hAnsi="Comic Sans MS"/>
          <w:sz w:val="20"/>
          <w:szCs w:val="20"/>
        </w:rPr>
        <w:t>Strateg</w:t>
      </w:r>
      <w:r w:rsidR="00752163" w:rsidRPr="004D2D8C">
        <w:rPr>
          <w:rFonts w:ascii="Comic Sans MS" w:hAnsi="Comic Sans MS"/>
          <w:sz w:val="20"/>
          <w:szCs w:val="20"/>
        </w:rPr>
        <w:t>ija</w:t>
      </w:r>
      <w:r w:rsidR="001D504F" w:rsidRPr="004D2D8C">
        <w:rPr>
          <w:rStyle w:val="EndnoteReference"/>
          <w:rFonts w:ascii="Comic Sans MS" w:hAnsi="Comic Sans MS"/>
          <w:sz w:val="20"/>
          <w:szCs w:val="20"/>
        </w:rPr>
        <w:endnoteReference w:id="10"/>
      </w:r>
      <w:r w:rsidR="00B43E3F" w:rsidRPr="004D2D8C">
        <w:rPr>
          <w:rFonts w:ascii="Comic Sans MS" w:hAnsi="Comic Sans MS"/>
          <w:sz w:val="20"/>
          <w:szCs w:val="20"/>
        </w:rPr>
        <w:t>, COP</w:t>
      </w:r>
      <w:r w:rsidR="00752163" w:rsidRPr="004D2D8C">
        <w:rPr>
          <w:rFonts w:ascii="Comic Sans MS" w:hAnsi="Comic Sans MS"/>
          <w:sz w:val="20"/>
          <w:szCs w:val="20"/>
        </w:rPr>
        <w:t xml:space="preserve"> i Izjava o korporativnoj društvenoj odgovornosti</w:t>
      </w:r>
      <w:r w:rsidR="001D504F" w:rsidRPr="004D2D8C">
        <w:rPr>
          <w:rStyle w:val="EndnoteReference"/>
          <w:rFonts w:ascii="Comic Sans MS" w:hAnsi="Comic Sans MS"/>
          <w:sz w:val="20"/>
          <w:szCs w:val="20"/>
        </w:rPr>
        <w:endnoteReference w:id="11"/>
      </w:r>
      <w:r w:rsidR="00752163" w:rsidRPr="004D2D8C">
        <w:rPr>
          <w:rFonts w:ascii="Comic Sans MS" w:hAnsi="Comic Sans MS"/>
          <w:sz w:val="20"/>
          <w:szCs w:val="20"/>
        </w:rPr>
        <w:t xml:space="preserve"> odražavaju ovaj važan zadatak</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752163"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 xml:space="preserve">Postoji niz dokumenata kojima se dopunjuje Izjava </w:t>
      </w:r>
      <w:r w:rsidR="00B43E3F" w:rsidRPr="004D2D8C">
        <w:rPr>
          <w:rFonts w:ascii="Comic Sans MS" w:hAnsi="Comic Sans MS"/>
          <w:sz w:val="20"/>
          <w:szCs w:val="20"/>
        </w:rPr>
        <w:t xml:space="preserve">– </w:t>
      </w:r>
      <w:r w:rsidRPr="004D2D8C">
        <w:rPr>
          <w:rFonts w:ascii="Comic Sans MS" w:hAnsi="Comic Sans MS"/>
          <w:sz w:val="20"/>
          <w:szCs w:val="20"/>
        </w:rPr>
        <w:t xml:space="preserve">poglavito neki od naprijed navedenih dokumenata koji se odnose na </w:t>
      </w:r>
      <w:r w:rsidR="00B43E3F" w:rsidRPr="004D2D8C">
        <w:rPr>
          <w:rFonts w:ascii="Comic Sans MS" w:hAnsi="Comic Sans MS"/>
          <w:sz w:val="20"/>
          <w:szCs w:val="20"/>
        </w:rPr>
        <w:t>EIB</w:t>
      </w:r>
      <w:r w:rsidRPr="004D2D8C">
        <w:rPr>
          <w:rFonts w:ascii="Comic Sans MS" w:hAnsi="Comic Sans MS"/>
          <w:sz w:val="20"/>
          <w:szCs w:val="20"/>
        </w:rPr>
        <w:t xml:space="preserve">-ovu okolišnu strategiju i politiku </w:t>
      </w:r>
      <w:r w:rsidR="0097666A" w:rsidRPr="004D2D8C">
        <w:rPr>
          <w:rFonts w:ascii="Comic Sans MS" w:hAnsi="Comic Sans MS"/>
          <w:sz w:val="20"/>
          <w:szCs w:val="20"/>
        </w:rPr>
        <w:t xml:space="preserve">kao i </w:t>
      </w:r>
      <w:r w:rsidRPr="004D2D8C">
        <w:rPr>
          <w:rFonts w:ascii="Comic Sans MS" w:hAnsi="Comic Sans MS"/>
          <w:sz w:val="20"/>
          <w:szCs w:val="20"/>
        </w:rPr>
        <w:t>EIB-ov Priručnik o ekološkim i socijalnim praksama</w:t>
      </w:r>
      <w:r w:rsidR="00B43E3F" w:rsidRPr="004D2D8C">
        <w:rPr>
          <w:rFonts w:ascii="Comic Sans MS" w:hAnsi="Comic Sans MS"/>
          <w:sz w:val="20"/>
          <w:szCs w:val="20"/>
        </w:rPr>
        <w:t xml:space="preserve"> (</w:t>
      </w:r>
      <w:r w:rsidRPr="004D2D8C">
        <w:rPr>
          <w:rFonts w:ascii="Comic Sans MS" w:hAnsi="Comic Sans MS"/>
          <w:sz w:val="20"/>
          <w:szCs w:val="20"/>
        </w:rPr>
        <w:t>„Priručnik“</w:t>
      </w:r>
      <w:r w:rsidR="00B43E3F" w:rsidRPr="004D2D8C">
        <w:rPr>
          <w:rFonts w:ascii="Comic Sans MS" w:hAnsi="Comic Sans MS"/>
          <w:sz w:val="20"/>
          <w:szCs w:val="20"/>
        </w:rPr>
        <w:t>)</w:t>
      </w:r>
      <w:r w:rsidR="001D504F" w:rsidRPr="004D2D8C">
        <w:rPr>
          <w:rStyle w:val="EndnoteReference"/>
          <w:rFonts w:ascii="Comic Sans MS" w:hAnsi="Comic Sans MS"/>
          <w:sz w:val="20"/>
          <w:szCs w:val="20"/>
        </w:rPr>
        <w:endnoteReference w:id="12"/>
      </w:r>
      <w:r w:rsidR="00B43E3F" w:rsidRPr="004D2D8C">
        <w:rPr>
          <w:rFonts w:ascii="Comic Sans MS" w:hAnsi="Comic Sans MS"/>
          <w:sz w:val="20"/>
          <w:szCs w:val="20"/>
        </w:rPr>
        <w:t xml:space="preserve"> – </w:t>
      </w:r>
      <w:r w:rsidR="00423992" w:rsidRPr="004D2D8C">
        <w:rPr>
          <w:rFonts w:ascii="Comic Sans MS" w:hAnsi="Comic Sans MS"/>
          <w:sz w:val="20"/>
          <w:szCs w:val="20"/>
        </w:rPr>
        <w:t xml:space="preserve">te </w:t>
      </w:r>
      <w:r w:rsidRPr="004D2D8C">
        <w:rPr>
          <w:rFonts w:ascii="Comic Sans MS" w:hAnsi="Comic Sans MS"/>
          <w:sz w:val="20"/>
          <w:szCs w:val="20"/>
        </w:rPr>
        <w:t>kojima se razrađuje predanost Banke okolišnim i socijalnim pitanjima</w:t>
      </w:r>
      <w:r w:rsidR="00B43E3F" w:rsidRPr="004D2D8C">
        <w:rPr>
          <w:rFonts w:ascii="Comic Sans MS" w:hAnsi="Comic Sans MS"/>
          <w:sz w:val="20"/>
          <w:szCs w:val="20"/>
        </w:rPr>
        <w:t xml:space="preserve">. </w:t>
      </w:r>
      <w:r w:rsidR="00DE4C5E" w:rsidRPr="004D2D8C">
        <w:rPr>
          <w:rFonts w:ascii="Comic Sans MS" w:hAnsi="Comic Sans MS"/>
          <w:sz w:val="20"/>
          <w:szCs w:val="20"/>
        </w:rPr>
        <w:t>Dostupni su javnosti i mogu, ovisno o svom specifičnom sadržaju i opsegu, biti predmetom različitih vrsta procedura javnog angažmana koje Banka primjenjuje</w:t>
      </w:r>
      <w:r w:rsidR="00B43E3F" w:rsidRPr="004D2D8C">
        <w:rPr>
          <w:rFonts w:ascii="Comic Sans MS" w:hAnsi="Comic Sans MS"/>
          <w:sz w:val="20"/>
          <w:szCs w:val="20"/>
        </w:rPr>
        <w:t xml:space="preserve">. </w:t>
      </w:r>
      <w:r w:rsidR="00DE4C5E" w:rsidRPr="004D2D8C">
        <w:rPr>
          <w:rFonts w:ascii="Comic Sans MS" w:hAnsi="Comic Sans MS"/>
          <w:sz w:val="20"/>
          <w:szCs w:val="20"/>
        </w:rPr>
        <w:t xml:space="preserve">Objava Izjave doprinos je </w:t>
      </w:r>
      <w:r w:rsidR="00B43E3F" w:rsidRPr="004D2D8C">
        <w:rPr>
          <w:rFonts w:ascii="Comic Sans MS" w:hAnsi="Comic Sans MS"/>
          <w:sz w:val="20"/>
          <w:szCs w:val="20"/>
        </w:rPr>
        <w:t>EIB</w:t>
      </w:r>
      <w:r w:rsidR="00DE4C5E" w:rsidRPr="004D2D8C">
        <w:rPr>
          <w:rFonts w:ascii="Comic Sans MS" w:hAnsi="Comic Sans MS"/>
          <w:sz w:val="20"/>
          <w:szCs w:val="20"/>
        </w:rPr>
        <w:t>-ovoj Politici javnog objavljivanja</w:t>
      </w:r>
      <w:r w:rsidR="001D504F" w:rsidRPr="004D2D8C">
        <w:rPr>
          <w:rStyle w:val="EndnoteReference"/>
          <w:rFonts w:ascii="Comic Sans MS" w:hAnsi="Comic Sans MS"/>
          <w:sz w:val="20"/>
          <w:szCs w:val="20"/>
        </w:rPr>
        <w:endnoteReference w:id="13"/>
      </w:r>
      <w:r w:rsidR="00DE4C5E" w:rsidRPr="004D2D8C">
        <w:rPr>
          <w:rFonts w:ascii="Comic Sans MS" w:hAnsi="Comic Sans MS"/>
          <w:sz w:val="20"/>
          <w:szCs w:val="20"/>
        </w:rPr>
        <w:t xml:space="preserve"> kojom se promovira</w:t>
      </w:r>
      <w:r w:rsidR="00A542BE" w:rsidRPr="004D2D8C">
        <w:rPr>
          <w:rFonts w:ascii="Comic Sans MS" w:hAnsi="Comic Sans MS"/>
          <w:sz w:val="20"/>
          <w:szCs w:val="20"/>
        </w:rPr>
        <w:t>ju</w:t>
      </w:r>
      <w:r w:rsidR="00DE4C5E" w:rsidRPr="004D2D8C">
        <w:rPr>
          <w:rFonts w:ascii="Comic Sans MS" w:hAnsi="Comic Sans MS"/>
          <w:sz w:val="20"/>
          <w:szCs w:val="20"/>
        </w:rPr>
        <w:t xml:space="preserve"> transparentnost i </w:t>
      </w:r>
      <w:r w:rsidR="00B43E3F" w:rsidRPr="004D2D8C">
        <w:rPr>
          <w:rFonts w:ascii="Comic Sans MS" w:hAnsi="Comic Sans MS"/>
          <w:sz w:val="20"/>
          <w:szCs w:val="20"/>
        </w:rPr>
        <w:t>o</w:t>
      </w:r>
      <w:r w:rsidR="00DE4C5E" w:rsidRPr="004D2D8C">
        <w:rPr>
          <w:rFonts w:ascii="Comic Sans MS" w:hAnsi="Comic Sans MS"/>
          <w:sz w:val="20"/>
          <w:szCs w:val="20"/>
        </w:rPr>
        <w:t xml:space="preserve">dgovornost te prava </w:t>
      </w:r>
      <w:r w:rsidR="004F09B0" w:rsidRPr="004D2D8C">
        <w:rPr>
          <w:rFonts w:ascii="Comic Sans MS" w:hAnsi="Comic Sans MS"/>
          <w:sz w:val="20"/>
          <w:szCs w:val="20"/>
        </w:rPr>
        <w:t xml:space="preserve">na konzultiranje i sudjelovanje </w:t>
      </w:r>
      <w:r w:rsidR="00DE4C5E" w:rsidRPr="004D2D8C">
        <w:rPr>
          <w:rFonts w:ascii="Comic Sans MS" w:hAnsi="Comic Sans MS"/>
          <w:sz w:val="20"/>
          <w:szCs w:val="20"/>
        </w:rPr>
        <w:t xml:space="preserve">ustanova i ljudi (tj. dionika) na koje </w:t>
      </w:r>
      <w:r w:rsidR="004F09B0" w:rsidRPr="004D2D8C">
        <w:rPr>
          <w:rFonts w:ascii="Comic Sans MS" w:hAnsi="Comic Sans MS"/>
          <w:sz w:val="20"/>
          <w:szCs w:val="20"/>
        </w:rPr>
        <w:t>p</w:t>
      </w:r>
      <w:r w:rsidR="00DE4C5E" w:rsidRPr="004D2D8C">
        <w:rPr>
          <w:rFonts w:ascii="Comic Sans MS" w:hAnsi="Comic Sans MS"/>
          <w:sz w:val="20"/>
          <w:szCs w:val="20"/>
        </w:rPr>
        <w:t xml:space="preserve">rojekti što ih Banka financira </w:t>
      </w:r>
      <w:r w:rsidR="004F09B0" w:rsidRPr="004D2D8C">
        <w:rPr>
          <w:rFonts w:ascii="Comic Sans MS" w:hAnsi="Comic Sans MS"/>
          <w:sz w:val="20"/>
          <w:szCs w:val="20"/>
        </w:rPr>
        <w:t xml:space="preserve">utječu </w:t>
      </w:r>
      <w:r w:rsidR="00DE4C5E" w:rsidRPr="004D2D8C">
        <w:rPr>
          <w:rFonts w:ascii="Comic Sans MS" w:hAnsi="Comic Sans MS"/>
          <w:sz w:val="20"/>
          <w:szCs w:val="20"/>
        </w:rPr>
        <w:t xml:space="preserve">ili </w:t>
      </w:r>
      <w:r w:rsidR="004F09B0" w:rsidRPr="004D2D8C">
        <w:rPr>
          <w:rFonts w:ascii="Comic Sans MS" w:hAnsi="Comic Sans MS"/>
          <w:sz w:val="20"/>
          <w:szCs w:val="20"/>
        </w:rPr>
        <w:t>koji su za takve projekte zainteresirani</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DE4C5E"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Priručnik</w:t>
      </w:r>
      <w:r w:rsidR="004F09B0" w:rsidRPr="004D2D8C">
        <w:rPr>
          <w:rFonts w:ascii="Comic Sans MS" w:hAnsi="Comic Sans MS"/>
          <w:sz w:val="20"/>
          <w:szCs w:val="20"/>
        </w:rPr>
        <w:t>om se okolišna i socijalna načela i standardi opisani u Izjavi prenose u operativne prakse koje p</w:t>
      </w:r>
      <w:r w:rsidR="00677030" w:rsidRPr="004D2D8C">
        <w:rPr>
          <w:rFonts w:ascii="Comic Sans MS" w:hAnsi="Comic Sans MS"/>
          <w:sz w:val="20"/>
          <w:szCs w:val="20"/>
        </w:rPr>
        <w:t>rovode</w:t>
      </w:r>
      <w:r w:rsidR="004F09B0" w:rsidRPr="004D2D8C">
        <w:rPr>
          <w:rFonts w:ascii="Comic Sans MS" w:hAnsi="Comic Sans MS"/>
          <w:sz w:val="20"/>
          <w:szCs w:val="20"/>
        </w:rPr>
        <w:t xml:space="preserve"> zaposlenici EIB-a</w:t>
      </w:r>
      <w:r w:rsidR="00B43E3F" w:rsidRPr="004D2D8C">
        <w:rPr>
          <w:rFonts w:ascii="Comic Sans MS" w:hAnsi="Comic Sans MS"/>
          <w:sz w:val="20"/>
          <w:szCs w:val="20"/>
        </w:rPr>
        <w:t xml:space="preserve">. </w:t>
      </w:r>
      <w:r w:rsidR="004F09B0" w:rsidRPr="004D2D8C">
        <w:rPr>
          <w:rFonts w:ascii="Comic Sans MS" w:hAnsi="Comic Sans MS"/>
          <w:sz w:val="20"/>
          <w:szCs w:val="20"/>
        </w:rPr>
        <w:t xml:space="preserve">Njime se objašnjava način na koji zaposlenici Banke svoje rutinske poslove u vezi s okolišnim i socijalnim pitanjima </w:t>
      </w:r>
      <w:r w:rsidR="007F1975" w:rsidRPr="004D2D8C">
        <w:rPr>
          <w:rFonts w:ascii="Comic Sans MS" w:hAnsi="Comic Sans MS"/>
          <w:sz w:val="20"/>
          <w:szCs w:val="20"/>
        </w:rPr>
        <w:t xml:space="preserve">obavljaju </w:t>
      </w:r>
      <w:r w:rsidR="004F09B0" w:rsidRPr="004D2D8C">
        <w:rPr>
          <w:rFonts w:ascii="Comic Sans MS" w:hAnsi="Comic Sans MS"/>
          <w:sz w:val="20"/>
          <w:szCs w:val="20"/>
        </w:rPr>
        <w:t>tijekom cijelog projektnog ciklusa</w:t>
      </w:r>
      <w:r w:rsidR="00B43E3F" w:rsidRPr="004D2D8C">
        <w:rPr>
          <w:rFonts w:ascii="Comic Sans MS" w:hAnsi="Comic Sans MS"/>
          <w:sz w:val="20"/>
          <w:szCs w:val="20"/>
        </w:rPr>
        <w:t xml:space="preserve">. </w:t>
      </w:r>
      <w:r w:rsidR="007F1975" w:rsidRPr="004D2D8C">
        <w:rPr>
          <w:rFonts w:ascii="Comic Sans MS" w:hAnsi="Comic Sans MS"/>
          <w:sz w:val="20"/>
          <w:szCs w:val="20"/>
        </w:rPr>
        <w:t>Priručnik o</w:t>
      </w:r>
      <w:r w:rsidR="004F09B0" w:rsidRPr="004D2D8C">
        <w:rPr>
          <w:rFonts w:ascii="Comic Sans MS" w:hAnsi="Comic Sans MS"/>
          <w:sz w:val="20"/>
          <w:szCs w:val="20"/>
        </w:rPr>
        <w:t xml:space="preserve">pisuje opseg rada </w:t>
      </w:r>
      <w:r w:rsidR="00B43E3F" w:rsidRPr="004D2D8C">
        <w:rPr>
          <w:rFonts w:ascii="Comic Sans MS" w:hAnsi="Comic Sans MS"/>
          <w:sz w:val="20"/>
          <w:szCs w:val="20"/>
        </w:rPr>
        <w:t>Bank</w:t>
      </w:r>
      <w:r w:rsidR="004F09B0" w:rsidRPr="004D2D8C">
        <w:rPr>
          <w:rFonts w:ascii="Comic Sans MS" w:hAnsi="Comic Sans MS"/>
          <w:sz w:val="20"/>
          <w:szCs w:val="20"/>
        </w:rPr>
        <w:t>e kao i odgovornosti i uloge drugih strana, poglavito onih koje se odnose na promotore i posrednike s kojima Banka surađuje</w:t>
      </w:r>
      <w:r w:rsidR="00B43E3F" w:rsidRPr="004D2D8C">
        <w:rPr>
          <w:rFonts w:ascii="Comic Sans MS" w:hAnsi="Comic Sans MS"/>
          <w:sz w:val="20"/>
          <w:szCs w:val="20"/>
        </w:rPr>
        <w:t xml:space="preserve">. </w:t>
      </w:r>
      <w:r w:rsidR="004F09B0" w:rsidRPr="004D2D8C">
        <w:rPr>
          <w:rFonts w:ascii="Comic Sans MS" w:hAnsi="Comic Sans MS"/>
          <w:sz w:val="20"/>
          <w:szCs w:val="20"/>
        </w:rPr>
        <w:t>Promotor je odgovoran za primjenu i provođenje EIB-ovih zahtjeva</w:t>
      </w:r>
      <w:r w:rsidR="00B43E3F" w:rsidRPr="004D2D8C">
        <w:rPr>
          <w:rFonts w:ascii="Comic Sans MS" w:hAnsi="Comic Sans MS"/>
          <w:sz w:val="20"/>
          <w:szCs w:val="20"/>
        </w:rPr>
        <w:t xml:space="preserve">, </w:t>
      </w:r>
      <w:r w:rsidR="004F09B0" w:rsidRPr="004D2D8C">
        <w:rPr>
          <w:rFonts w:ascii="Comic Sans MS" w:hAnsi="Comic Sans MS"/>
          <w:sz w:val="20"/>
          <w:szCs w:val="20"/>
        </w:rPr>
        <w:t>uključujuć</w:t>
      </w:r>
      <w:r w:rsidR="0030781C" w:rsidRPr="004D2D8C">
        <w:rPr>
          <w:rFonts w:ascii="Comic Sans MS" w:hAnsi="Comic Sans MS"/>
          <w:sz w:val="20"/>
          <w:szCs w:val="20"/>
        </w:rPr>
        <w:t>i usklađenost</w:t>
      </w:r>
      <w:r w:rsidR="007F1975" w:rsidRPr="004D2D8C">
        <w:rPr>
          <w:rFonts w:ascii="Comic Sans MS" w:hAnsi="Comic Sans MS"/>
          <w:sz w:val="20"/>
          <w:szCs w:val="20"/>
        </w:rPr>
        <w:t xml:space="preserve"> s odgovarajućim zakonima i drugim obvezama koje pred promotora stavlja </w:t>
      </w:r>
      <w:r w:rsidR="00B43E3F" w:rsidRPr="004D2D8C">
        <w:rPr>
          <w:rFonts w:ascii="Comic Sans MS" w:hAnsi="Comic Sans MS"/>
          <w:sz w:val="20"/>
          <w:szCs w:val="20"/>
        </w:rPr>
        <w:t>Bank</w:t>
      </w:r>
      <w:r w:rsidR="007F1975" w:rsidRPr="004D2D8C">
        <w:rPr>
          <w:rFonts w:ascii="Comic Sans MS" w:hAnsi="Comic Sans MS"/>
          <w:sz w:val="20"/>
          <w:szCs w:val="20"/>
        </w:rPr>
        <w:t>a kao</w:t>
      </w:r>
      <w:r w:rsidR="00685DF9" w:rsidRPr="004D2D8C">
        <w:rPr>
          <w:rFonts w:ascii="Comic Sans MS" w:hAnsi="Comic Sans MS"/>
          <w:sz w:val="20"/>
          <w:szCs w:val="20"/>
        </w:rPr>
        <w:t xml:space="preserve">, primjerice, </w:t>
      </w:r>
      <w:r w:rsidR="007F1975" w:rsidRPr="004D2D8C">
        <w:rPr>
          <w:rFonts w:ascii="Comic Sans MS" w:hAnsi="Comic Sans MS"/>
          <w:sz w:val="20"/>
          <w:szCs w:val="20"/>
        </w:rPr>
        <w:t>pravne obveze</w:t>
      </w:r>
      <w:r w:rsidR="00B43E3F" w:rsidRPr="004D2D8C">
        <w:rPr>
          <w:rFonts w:ascii="Comic Sans MS" w:hAnsi="Comic Sans MS"/>
          <w:sz w:val="20"/>
          <w:szCs w:val="20"/>
        </w:rPr>
        <w:t xml:space="preserve">. </w:t>
      </w:r>
      <w:r w:rsidR="007F1975" w:rsidRPr="004D2D8C">
        <w:rPr>
          <w:rFonts w:ascii="Comic Sans MS" w:hAnsi="Comic Sans MS"/>
          <w:sz w:val="20"/>
          <w:szCs w:val="20"/>
        </w:rPr>
        <w:t xml:space="preserve">U slučajevima kada bi nedostatan kapacitet mogao promotora onemogućiti u ostvarenju </w:t>
      </w:r>
      <w:r w:rsidR="00685DF9" w:rsidRPr="004D2D8C">
        <w:rPr>
          <w:rFonts w:ascii="Comic Sans MS" w:hAnsi="Comic Sans MS"/>
          <w:sz w:val="20"/>
          <w:szCs w:val="20"/>
        </w:rPr>
        <w:t xml:space="preserve">EIB-ovih </w:t>
      </w:r>
      <w:r w:rsidR="007F1975" w:rsidRPr="004D2D8C">
        <w:rPr>
          <w:rFonts w:ascii="Comic Sans MS" w:hAnsi="Comic Sans MS"/>
          <w:sz w:val="20"/>
          <w:szCs w:val="20"/>
        </w:rPr>
        <w:t xml:space="preserve">zahtjeva, </w:t>
      </w:r>
      <w:r w:rsidR="00B43E3F" w:rsidRPr="004D2D8C">
        <w:rPr>
          <w:rFonts w:ascii="Comic Sans MS" w:hAnsi="Comic Sans MS"/>
          <w:sz w:val="20"/>
          <w:szCs w:val="20"/>
        </w:rPr>
        <w:t>Bank</w:t>
      </w:r>
      <w:r w:rsidR="007F1975" w:rsidRPr="004D2D8C">
        <w:rPr>
          <w:rFonts w:ascii="Comic Sans MS" w:hAnsi="Comic Sans MS"/>
          <w:sz w:val="20"/>
          <w:szCs w:val="20"/>
        </w:rPr>
        <w:t>a traži jačanje kapaciteta i može ponuditi tehničku pomoć</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DC5658"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 xml:space="preserve">Izjava razvija </w:t>
      </w:r>
      <w:r w:rsidR="00B43E3F" w:rsidRPr="004D2D8C">
        <w:rPr>
          <w:rFonts w:ascii="Comic Sans MS" w:hAnsi="Comic Sans MS"/>
          <w:sz w:val="20"/>
          <w:szCs w:val="20"/>
        </w:rPr>
        <w:t>Europ</w:t>
      </w:r>
      <w:r w:rsidR="00094DE8" w:rsidRPr="004D2D8C">
        <w:rPr>
          <w:rFonts w:ascii="Comic Sans MS" w:hAnsi="Comic Sans MS"/>
          <w:sz w:val="20"/>
          <w:szCs w:val="20"/>
        </w:rPr>
        <w:t>ska načela za okoliš</w:t>
      </w:r>
      <w:r w:rsidR="001D504F" w:rsidRPr="004D2D8C">
        <w:rPr>
          <w:rStyle w:val="EndnoteReference"/>
          <w:rFonts w:ascii="Comic Sans MS" w:hAnsi="Comic Sans MS"/>
          <w:sz w:val="20"/>
          <w:szCs w:val="20"/>
        </w:rPr>
        <w:endnoteReference w:id="14"/>
      </w:r>
      <w:r w:rsidR="00094DE8" w:rsidRPr="004D2D8C">
        <w:rPr>
          <w:rFonts w:ascii="Comic Sans MS" w:hAnsi="Comic Sans MS"/>
          <w:sz w:val="20"/>
          <w:szCs w:val="20"/>
        </w:rPr>
        <w:t xml:space="preserve"> </w:t>
      </w:r>
      <w:r w:rsidR="00B43E3F" w:rsidRPr="004D2D8C">
        <w:rPr>
          <w:rFonts w:ascii="Comic Sans MS" w:hAnsi="Comic Sans MS"/>
          <w:sz w:val="20"/>
          <w:szCs w:val="20"/>
        </w:rPr>
        <w:t>(EPE)</w:t>
      </w:r>
      <w:r w:rsidRPr="004D2D8C">
        <w:rPr>
          <w:rFonts w:ascii="Comic Sans MS" w:hAnsi="Comic Sans MS"/>
          <w:sz w:val="20"/>
          <w:szCs w:val="20"/>
        </w:rPr>
        <w:t xml:space="preserve"> koji se temelje na pristupu okolišnim pitanjima koje je razvila i koje primjenjuje Europska unija</w:t>
      </w:r>
      <w:r w:rsidR="00B43E3F" w:rsidRPr="004D2D8C">
        <w:rPr>
          <w:rFonts w:ascii="Comic Sans MS" w:hAnsi="Comic Sans MS"/>
          <w:sz w:val="20"/>
          <w:szCs w:val="20"/>
        </w:rPr>
        <w:t xml:space="preserve">. </w:t>
      </w:r>
      <w:r w:rsidR="009B07A3" w:rsidRPr="004D2D8C">
        <w:rPr>
          <w:rFonts w:ascii="Comic Sans MS" w:hAnsi="Comic Sans MS"/>
          <w:sz w:val="20"/>
          <w:szCs w:val="20"/>
        </w:rPr>
        <w:t xml:space="preserve">Zahtjevi </w:t>
      </w:r>
      <w:r w:rsidR="00B43E3F" w:rsidRPr="004D2D8C">
        <w:rPr>
          <w:rFonts w:ascii="Comic Sans MS" w:hAnsi="Comic Sans MS"/>
          <w:sz w:val="20"/>
          <w:szCs w:val="20"/>
        </w:rPr>
        <w:t>EU</w:t>
      </w:r>
      <w:r w:rsidR="009B07A3" w:rsidRPr="004D2D8C">
        <w:rPr>
          <w:rFonts w:ascii="Comic Sans MS" w:hAnsi="Comic Sans MS"/>
          <w:sz w:val="20"/>
          <w:szCs w:val="20"/>
        </w:rPr>
        <w:t>-a svrstavaju se među najambicioznije u svijetu</w:t>
      </w:r>
      <w:r w:rsidR="00B43E3F" w:rsidRPr="004D2D8C">
        <w:rPr>
          <w:rFonts w:ascii="Comic Sans MS" w:hAnsi="Comic Sans MS"/>
          <w:sz w:val="20"/>
          <w:szCs w:val="20"/>
        </w:rPr>
        <w:t>. Bank</w:t>
      </w:r>
      <w:r w:rsidR="009B07A3" w:rsidRPr="004D2D8C">
        <w:rPr>
          <w:rFonts w:ascii="Comic Sans MS" w:hAnsi="Comic Sans MS"/>
          <w:sz w:val="20"/>
          <w:szCs w:val="20"/>
        </w:rPr>
        <w:t>a je 2006. godine sastavila Europska načela za okoliš zajedno s nizom dugih međunarodnih financijskih institucija koje imaju sjedište u Europi s ciljem izrade standarda u odnosu na koji bi se institucije potpisnice kao i projekti koji one financiraju procjenjivali u smislu okolišnih parametara</w:t>
      </w:r>
      <w:r w:rsidR="00B43E3F" w:rsidRPr="004D2D8C">
        <w:rPr>
          <w:rFonts w:ascii="Comic Sans MS" w:hAnsi="Comic Sans MS"/>
          <w:sz w:val="20"/>
          <w:szCs w:val="20"/>
        </w:rPr>
        <w:t>.</w:t>
      </w:r>
      <w:r w:rsidR="009B07A3" w:rsidRPr="004D2D8C">
        <w:rPr>
          <w:rFonts w:ascii="Comic Sans MS" w:hAnsi="Comic Sans MS"/>
          <w:sz w:val="20"/>
          <w:szCs w:val="20"/>
        </w:rPr>
        <w:t xml:space="preserve"> Zahtjevi Izjave prenose se u poslove </w:t>
      </w:r>
      <w:r w:rsidR="00B43E3F" w:rsidRPr="004D2D8C">
        <w:rPr>
          <w:rFonts w:ascii="Comic Sans MS" w:hAnsi="Comic Sans MS"/>
          <w:sz w:val="20"/>
          <w:szCs w:val="20"/>
        </w:rPr>
        <w:t>Bank</w:t>
      </w:r>
      <w:r w:rsidR="009B07A3" w:rsidRPr="004D2D8C">
        <w:rPr>
          <w:rFonts w:ascii="Comic Sans MS" w:hAnsi="Comic Sans MS"/>
          <w:sz w:val="20"/>
          <w:szCs w:val="20"/>
        </w:rPr>
        <w:t>e</w:t>
      </w:r>
      <w:r w:rsidR="00B43E3F" w:rsidRPr="004D2D8C">
        <w:rPr>
          <w:rFonts w:ascii="Comic Sans MS" w:hAnsi="Comic Sans MS"/>
          <w:sz w:val="20"/>
          <w:szCs w:val="20"/>
        </w:rPr>
        <w:t xml:space="preserve"> </w:t>
      </w:r>
      <w:r w:rsidR="009B07A3" w:rsidRPr="004D2D8C">
        <w:rPr>
          <w:rFonts w:ascii="Comic Sans MS" w:hAnsi="Comic Sans MS"/>
          <w:sz w:val="20"/>
          <w:szCs w:val="20"/>
        </w:rPr>
        <w:t>putem sektorskih politika kreditiranja kao što su</w:t>
      </w:r>
      <w:r w:rsidR="009660D2" w:rsidRPr="004D2D8C">
        <w:rPr>
          <w:rFonts w:ascii="Comic Sans MS" w:hAnsi="Comic Sans MS"/>
          <w:sz w:val="20"/>
          <w:szCs w:val="20"/>
        </w:rPr>
        <w:t>,</w:t>
      </w:r>
      <w:r w:rsidR="009B07A3" w:rsidRPr="004D2D8C">
        <w:rPr>
          <w:rFonts w:ascii="Comic Sans MS" w:hAnsi="Comic Sans MS"/>
          <w:sz w:val="20"/>
          <w:szCs w:val="20"/>
        </w:rPr>
        <w:t xml:space="preserve"> primjerice</w:t>
      </w:r>
      <w:r w:rsidR="009660D2" w:rsidRPr="004D2D8C">
        <w:rPr>
          <w:rFonts w:ascii="Comic Sans MS" w:hAnsi="Comic Sans MS"/>
          <w:sz w:val="20"/>
          <w:szCs w:val="20"/>
        </w:rPr>
        <w:t>,</w:t>
      </w:r>
      <w:r w:rsidR="009B07A3" w:rsidRPr="004D2D8C">
        <w:rPr>
          <w:rFonts w:ascii="Comic Sans MS" w:hAnsi="Comic Sans MS"/>
          <w:sz w:val="20"/>
          <w:szCs w:val="20"/>
        </w:rPr>
        <w:t xml:space="preserve"> politike kreditiranja sektora energetike, transporta, voda, otpada, istraživanja, razvoja i inovacija</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9B07A3"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 xml:space="preserve">Izjava se naslanja na EIB-ovo široko i raznovrsno iskustvo te naglašava </w:t>
      </w:r>
      <w:r w:rsidR="00B43E3F" w:rsidRPr="004D2D8C">
        <w:rPr>
          <w:rFonts w:ascii="Comic Sans MS" w:hAnsi="Comic Sans MS"/>
          <w:sz w:val="20"/>
          <w:szCs w:val="20"/>
        </w:rPr>
        <w:t>EIB</w:t>
      </w:r>
      <w:r w:rsidRPr="004D2D8C">
        <w:rPr>
          <w:rFonts w:ascii="Comic Sans MS" w:hAnsi="Comic Sans MS"/>
          <w:sz w:val="20"/>
          <w:szCs w:val="20"/>
        </w:rPr>
        <w:t>-ovu potporu ciljevima okolišne održivosti i socijalnog blagostanja u područjima u kojima posluje</w:t>
      </w:r>
      <w:r w:rsidR="00B43E3F" w:rsidRPr="004D2D8C">
        <w:rPr>
          <w:rFonts w:ascii="Comic Sans MS" w:hAnsi="Comic Sans MS"/>
          <w:sz w:val="20"/>
          <w:szCs w:val="20"/>
        </w:rPr>
        <w:t>.</w:t>
      </w:r>
      <w:r w:rsidRPr="004D2D8C">
        <w:rPr>
          <w:rFonts w:ascii="Comic Sans MS" w:hAnsi="Comic Sans MS"/>
          <w:sz w:val="20"/>
          <w:szCs w:val="20"/>
        </w:rPr>
        <w:t xml:space="preserve"> Uvažava nedavne promjene u razmišljanju o održivom razvoju, poglavito u vezi s</w:t>
      </w:r>
      <w:r w:rsidR="00B43E3F" w:rsidRPr="004D2D8C">
        <w:rPr>
          <w:rFonts w:ascii="Comic Sans MS" w:hAnsi="Comic Sans MS"/>
          <w:sz w:val="20"/>
          <w:szCs w:val="20"/>
        </w:rPr>
        <w:t xml:space="preserve">: a) </w:t>
      </w:r>
      <w:r w:rsidRPr="004D2D8C">
        <w:rPr>
          <w:rFonts w:ascii="Comic Sans MS" w:hAnsi="Comic Sans MS"/>
          <w:sz w:val="20"/>
          <w:szCs w:val="20"/>
        </w:rPr>
        <w:t>jačanjem transparentnos</w:t>
      </w:r>
      <w:r w:rsidR="00AB5792" w:rsidRPr="004D2D8C">
        <w:rPr>
          <w:rFonts w:ascii="Comic Sans MS" w:hAnsi="Comic Sans MS"/>
          <w:sz w:val="20"/>
          <w:szCs w:val="20"/>
        </w:rPr>
        <w:t>t</w:t>
      </w:r>
      <w:r w:rsidRPr="004D2D8C">
        <w:rPr>
          <w:rFonts w:ascii="Comic Sans MS" w:hAnsi="Comic Sans MS"/>
          <w:sz w:val="20"/>
          <w:szCs w:val="20"/>
        </w:rPr>
        <w:t>i i o</w:t>
      </w:r>
      <w:r w:rsidR="00AB5792" w:rsidRPr="004D2D8C">
        <w:rPr>
          <w:rFonts w:ascii="Comic Sans MS" w:hAnsi="Comic Sans MS"/>
          <w:sz w:val="20"/>
          <w:szCs w:val="20"/>
        </w:rPr>
        <w:t>dgovornosti</w:t>
      </w:r>
      <w:r w:rsidR="00B43E3F" w:rsidRPr="004D2D8C">
        <w:rPr>
          <w:rFonts w:ascii="Comic Sans MS" w:hAnsi="Comic Sans MS"/>
          <w:sz w:val="20"/>
          <w:szCs w:val="20"/>
        </w:rPr>
        <w:t xml:space="preserve">, b) </w:t>
      </w:r>
      <w:r w:rsidR="00AB5792" w:rsidRPr="004D2D8C">
        <w:rPr>
          <w:rFonts w:ascii="Comic Sans MS" w:hAnsi="Comic Sans MS"/>
          <w:sz w:val="20"/>
          <w:szCs w:val="20"/>
        </w:rPr>
        <w:t xml:space="preserve">većom ulogom koju bi mogle preuzeti organizacije civilnog društva </w:t>
      </w:r>
      <w:r w:rsidR="00B43E3F" w:rsidRPr="004D2D8C">
        <w:rPr>
          <w:rFonts w:ascii="Comic Sans MS" w:hAnsi="Comic Sans MS"/>
          <w:sz w:val="20"/>
          <w:szCs w:val="20"/>
        </w:rPr>
        <w:t xml:space="preserve">(CSOs), c) </w:t>
      </w:r>
      <w:r w:rsidR="00AB5792" w:rsidRPr="004D2D8C">
        <w:rPr>
          <w:rFonts w:ascii="Comic Sans MS" w:hAnsi="Comic Sans MS"/>
          <w:sz w:val="20"/>
          <w:szCs w:val="20"/>
        </w:rPr>
        <w:t xml:space="preserve">nedavnim </w:t>
      </w:r>
      <w:r w:rsidR="00E95983" w:rsidRPr="004D2D8C">
        <w:rPr>
          <w:rFonts w:ascii="Comic Sans MS" w:hAnsi="Comic Sans MS"/>
          <w:sz w:val="20"/>
          <w:szCs w:val="20"/>
        </w:rPr>
        <w:t>obvezama koje su preuzele vodeće financijske i gospodarske institucije privatnog sektora na području korporativne odgovornosti te</w:t>
      </w:r>
      <w:r w:rsidR="00B43E3F" w:rsidRPr="004D2D8C">
        <w:rPr>
          <w:rFonts w:ascii="Comic Sans MS" w:hAnsi="Comic Sans MS"/>
          <w:sz w:val="20"/>
          <w:szCs w:val="20"/>
        </w:rPr>
        <w:t xml:space="preserve"> d) </w:t>
      </w:r>
      <w:r w:rsidR="00E95983" w:rsidRPr="004D2D8C">
        <w:rPr>
          <w:rFonts w:ascii="Comic Sans MS" w:hAnsi="Comic Sans MS"/>
          <w:sz w:val="20"/>
          <w:szCs w:val="20"/>
        </w:rPr>
        <w:t xml:space="preserve">razvojem dobre prakse unutar </w:t>
      </w:r>
      <w:r w:rsidR="00B43E3F" w:rsidRPr="004D2D8C">
        <w:rPr>
          <w:rFonts w:ascii="Comic Sans MS" w:hAnsi="Comic Sans MS"/>
          <w:sz w:val="20"/>
          <w:szCs w:val="20"/>
        </w:rPr>
        <w:t>EU</w:t>
      </w:r>
      <w:r w:rsidR="00E95983" w:rsidRPr="004D2D8C">
        <w:rPr>
          <w:rFonts w:ascii="Comic Sans MS" w:hAnsi="Comic Sans MS"/>
          <w:sz w:val="20"/>
          <w:szCs w:val="20"/>
        </w:rPr>
        <w:t>-a i među EIB-ovim partnerskim institucijama u kontekstu novih globalnih i regionalnih izazova i mogućnosti</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AB5792"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Izjava naglasak stavlja na</w:t>
      </w:r>
      <w:r w:rsidR="00B43E3F" w:rsidRPr="004D2D8C">
        <w:rPr>
          <w:rFonts w:ascii="Comic Sans MS" w:hAnsi="Comic Sans MS"/>
          <w:sz w:val="20"/>
          <w:szCs w:val="20"/>
        </w:rPr>
        <w:t xml:space="preserve">: a) </w:t>
      </w:r>
      <w:r w:rsidRPr="004D2D8C">
        <w:rPr>
          <w:rFonts w:ascii="Comic Sans MS" w:hAnsi="Comic Sans MS"/>
          <w:sz w:val="20"/>
          <w:szCs w:val="20"/>
        </w:rPr>
        <w:t xml:space="preserve">„načela“ na kojima se temelji </w:t>
      </w:r>
      <w:r w:rsidR="00B43E3F" w:rsidRPr="004D2D8C">
        <w:rPr>
          <w:rFonts w:ascii="Comic Sans MS" w:hAnsi="Comic Sans MS"/>
          <w:sz w:val="20"/>
          <w:szCs w:val="20"/>
        </w:rPr>
        <w:t>EIB</w:t>
      </w:r>
      <w:r w:rsidRPr="004D2D8C">
        <w:rPr>
          <w:rFonts w:ascii="Comic Sans MS" w:hAnsi="Comic Sans MS"/>
          <w:sz w:val="20"/>
          <w:szCs w:val="20"/>
        </w:rPr>
        <w:t>-ov pristup</w:t>
      </w:r>
      <w:r w:rsidR="00E95983" w:rsidRPr="004D2D8C">
        <w:rPr>
          <w:rFonts w:ascii="Comic Sans MS" w:hAnsi="Comic Sans MS"/>
          <w:sz w:val="20"/>
          <w:szCs w:val="20"/>
        </w:rPr>
        <w:t xml:space="preserve"> </w:t>
      </w:r>
      <w:r w:rsidR="00E11F12" w:rsidRPr="004D2D8C">
        <w:rPr>
          <w:rFonts w:ascii="Comic Sans MS" w:hAnsi="Comic Sans MS"/>
          <w:sz w:val="20"/>
          <w:szCs w:val="20"/>
        </w:rPr>
        <w:t xml:space="preserve">okolišnim i socijalnim pitanjima te </w:t>
      </w:r>
      <w:r w:rsidR="00B43E3F" w:rsidRPr="004D2D8C">
        <w:rPr>
          <w:rFonts w:ascii="Comic Sans MS" w:hAnsi="Comic Sans MS"/>
          <w:sz w:val="20"/>
          <w:szCs w:val="20"/>
        </w:rPr>
        <w:t xml:space="preserve">b) </w:t>
      </w:r>
      <w:r w:rsidR="00E11F12" w:rsidRPr="004D2D8C">
        <w:rPr>
          <w:rFonts w:ascii="Comic Sans MS" w:hAnsi="Comic Sans MS"/>
          <w:sz w:val="20"/>
          <w:szCs w:val="20"/>
        </w:rPr>
        <w:t>„standarde“ okolišnog i socijalnog djelovanja kojima se osigurava usklađenost s EIB-ovim zahtjevima</w:t>
      </w:r>
      <w:r w:rsidR="00B43E3F" w:rsidRPr="004D2D8C">
        <w:rPr>
          <w:rFonts w:ascii="Comic Sans MS" w:hAnsi="Comic Sans MS"/>
          <w:sz w:val="20"/>
          <w:szCs w:val="20"/>
        </w:rPr>
        <w:t>.</w:t>
      </w:r>
      <w:r w:rsidR="00E11F12" w:rsidRPr="004D2D8C">
        <w:rPr>
          <w:rFonts w:ascii="Comic Sans MS" w:hAnsi="Comic Sans MS"/>
          <w:sz w:val="20"/>
          <w:szCs w:val="20"/>
        </w:rPr>
        <w:t xml:space="preserve"> Načela i standardi izvedeni su iz EIB-ove politike i zakona, dopunjeni su drugim primjerima međunarodne dobre prakse te obuhvaćaju</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E11F12" w:rsidP="002C3A1C">
      <w:pPr>
        <w:pStyle w:val="ListParagraph"/>
        <w:numPr>
          <w:ilvl w:val="0"/>
          <w:numId w:val="123"/>
        </w:numPr>
        <w:jc w:val="both"/>
        <w:rPr>
          <w:rFonts w:ascii="Comic Sans MS" w:hAnsi="Comic Sans MS"/>
          <w:sz w:val="20"/>
          <w:szCs w:val="20"/>
        </w:rPr>
      </w:pPr>
      <w:r w:rsidRPr="004D2D8C">
        <w:rPr>
          <w:rFonts w:ascii="Comic Sans MS" w:hAnsi="Comic Sans MS"/>
          <w:sz w:val="20"/>
          <w:szCs w:val="20"/>
        </w:rPr>
        <w:t>dominantna okolišna načela sadržana u U</w:t>
      </w:r>
      <w:r w:rsidR="00AB5792" w:rsidRPr="004D2D8C">
        <w:rPr>
          <w:rFonts w:ascii="Comic Sans MS" w:hAnsi="Comic Sans MS"/>
          <w:sz w:val="20"/>
          <w:szCs w:val="20"/>
        </w:rPr>
        <w:t>govoru</w:t>
      </w:r>
      <w:r w:rsidRPr="004D2D8C">
        <w:rPr>
          <w:rFonts w:ascii="Comic Sans MS" w:hAnsi="Comic Sans MS"/>
          <w:sz w:val="20"/>
          <w:szCs w:val="20"/>
        </w:rPr>
        <w:t xml:space="preserve">, </w:t>
      </w:r>
      <w:r w:rsidR="00B43E3F" w:rsidRPr="004D2D8C">
        <w:rPr>
          <w:rFonts w:ascii="Comic Sans MS" w:hAnsi="Comic Sans MS"/>
          <w:sz w:val="20"/>
          <w:szCs w:val="20"/>
        </w:rPr>
        <w:t xml:space="preserve"> </w:t>
      </w:r>
    </w:p>
    <w:p w:rsidR="001D504F" w:rsidRPr="004D2D8C" w:rsidRDefault="001D504F" w:rsidP="001D504F">
      <w:pPr>
        <w:pStyle w:val="ListParagraph"/>
        <w:ind w:left="1080"/>
        <w:jc w:val="both"/>
        <w:rPr>
          <w:rFonts w:ascii="Comic Sans MS" w:hAnsi="Comic Sans MS"/>
          <w:sz w:val="20"/>
          <w:szCs w:val="20"/>
        </w:rPr>
      </w:pPr>
    </w:p>
    <w:p w:rsidR="001D504F" w:rsidRPr="004D2D8C" w:rsidRDefault="00E11F12" w:rsidP="001D504F">
      <w:pPr>
        <w:pStyle w:val="ListParagraph"/>
        <w:numPr>
          <w:ilvl w:val="0"/>
          <w:numId w:val="123"/>
        </w:numPr>
        <w:jc w:val="both"/>
        <w:rPr>
          <w:rFonts w:ascii="Comic Sans MS" w:hAnsi="Comic Sans MS"/>
          <w:sz w:val="20"/>
          <w:szCs w:val="20"/>
        </w:rPr>
      </w:pPr>
      <w:r w:rsidRPr="004D2D8C">
        <w:rPr>
          <w:rFonts w:ascii="Comic Sans MS" w:hAnsi="Comic Sans MS"/>
          <w:sz w:val="20"/>
          <w:szCs w:val="20"/>
        </w:rPr>
        <w:t xml:space="preserve">temeljna ljudska prava iz </w:t>
      </w:r>
      <w:r w:rsidR="00AB5792" w:rsidRPr="004D2D8C">
        <w:rPr>
          <w:rFonts w:ascii="Comic Sans MS" w:hAnsi="Comic Sans MS"/>
          <w:sz w:val="20"/>
          <w:szCs w:val="20"/>
        </w:rPr>
        <w:t>Povelj</w:t>
      </w:r>
      <w:r w:rsidRPr="004D2D8C">
        <w:rPr>
          <w:rFonts w:ascii="Comic Sans MS" w:hAnsi="Comic Sans MS"/>
          <w:sz w:val="20"/>
          <w:szCs w:val="20"/>
        </w:rPr>
        <w:t>e</w:t>
      </w:r>
      <w:r w:rsidR="00AB5792" w:rsidRPr="004D2D8C">
        <w:rPr>
          <w:rFonts w:ascii="Comic Sans MS" w:hAnsi="Comic Sans MS"/>
          <w:sz w:val="20"/>
          <w:szCs w:val="20"/>
        </w:rPr>
        <w:t xml:space="preserve"> </w:t>
      </w:r>
      <w:r w:rsidR="00B43E3F" w:rsidRPr="004D2D8C">
        <w:rPr>
          <w:rFonts w:ascii="Comic Sans MS" w:hAnsi="Comic Sans MS"/>
          <w:sz w:val="20"/>
          <w:szCs w:val="20"/>
        </w:rPr>
        <w:t>EU</w:t>
      </w:r>
      <w:r w:rsidR="00AB5792" w:rsidRPr="004D2D8C">
        <w:rPr>
          <w:rFonts w:ascii="Comic Sans MS" w:hAnsi="Comic Sans MS"/>
          <w:sz w:val="20"/>
          <w:szCs w:val="20"/>
        </w:rPr>
        <w:t>-a</w:t>
      </w:r>
      <w:r w:rsidRPr="004D2D8C">
        <w:rPr>
          <w:rFonts w:ascii="Comic Sans MS" w:hAnsi="Comic Sans MS"/>
          <w:sz w:val="20"/>
          <w:szCs w:val="20"/>
        </w:rPr>
        <w:t xml:space="preserve">, </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E11F12" w:rsidP="001D504F">
      <w:pPr>
        <w:pStyle w:val="ListParagraph"/>
        <w:numPr>
          <w:ilvl w:val="0"/>
          <w:numId w:val="123"/>
        </w:numPr>
        <w:jc w:val="both"/>
        <w:rPr>
          <w:rFonts w:ascii="Comic Sans MS" w:hAnsi="Comic Sans MS"/>
          <w:sz w:val="20"/>
          <w:szCs w:val="20"/>
        </w:rPr>
      </w:pPr>
      <w:r w:rsidRPr="004D2D8C">
        <w:rPr>
          <w:rFonts w:ascii="Comic Sans MS" w:hAnsi="Comic Sans MS"/>
          <w:sz w:val="20"/>
          <w:szCs w:val="20"/>
        </w:rPr>
        <w:t xml:space="preserve">standarde sadržane u korpusu okolišne i socijalne legislative </w:t>
      </w:r>
      <w:r w:rsidR="00B43E3F" w:rsidRPr="004D2D8C">
        <w:rPr>
          <w:rFonts w:ascii="Comic Sans MS" w:hAnsi="Comic Sans MS"/>
          <w:sz w:val="20"/>
          <w:szCs w:val="20"/>
        </w:rPr>
        <w:t>EU</w:t>
      </w:r>
      <w:r w:rsidRPr="004D2D8C">
        <w:rPr>
          <w:rFonts w:ascii="Comic Sans MS" w:hAnsi="Comic Sans MS"/>
          <w:sz w:val="20"/>
          <w:szCs w:val="20"/>
        </w:rPr>
        <w:t>-a koji se odnose na sektore i projekte koje Banka financira</w:t>
      </w:r>
      <w:r w:rsidR="001D504F" w:rsidRPr="004D2D8C">
        <w:rPr>
          <w:rStyle w:val="EndnoteReference"/>
          <w:rFonts w:ascii="Comic Sans MS" w:hAnsi="Comic Sans MS"/>
          <w:sz w:val="20"/>
          <w:szCs w:val="20"/>
        </w:rPr>
        <w:endnoteReference w:id="15"/>
      </w:r>
      <w:r w:rsidRPr="004D2D8C">
        <w:rPr>
          <w:rFonts w:ascii="Comic Sans MS" w:hAnsi="Comic Sans MS"/>
          <w:sz w:val="20"/>
          <w:szCs w:val="20"/>
        </w:rPr>
        <w:t xml:space="preserve">, </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E11F12" w:rsidP="001D504F">
      <w:pPr>
        <w:pStyle w:val="ListParagraph"/>
        <w:numPr>
          <w:ilvl w:val="0"/>
          <w:numId w:val="123"/>
        </w:numPr>
        <w:jc w:val="both"/>
        <w:rPr>
          <w:rFonts w:ascii="Comic Sans MS" w:hAnsi="Comic Sans MS"/>
          <w:sz w:val="20"/>
          <w:szCs w:val="20"/>
        </w:rPr>
      </w:pPr>
      <w:r w:rsidRPr="004D2D8C">
        <w:rPr>
          <w:rFonts w:ascii="Comic Sans MS" w:hAnsi="Comic Sans MS"/>
          <w:sz w:val="20"/>
          <w:szCs w:val="20"/>
        </w:rPr>
        <w:t>međunarodno priznate dobre okolišne i socijalne prakse iz niza izvora</w:t>
      </w:r>
      <w:r w:rsidR="007624FD" w:rsidRPr="004D2D8C">
        <w:rPr>
          <w:rFonts w:ascii="Comic Sans MS" w:hAnsi="Comic Sans MS"/>
          <w:sz w:val="20"/>
          <w:szCs w:val="20"/>
        </w:rPr>
        <w:t xml:space="preserve"> često prilagođen</w:t>
      </w:r>
      <w:r w:rsidR="00A163B4" w:rsidRPr="004D2D8C">
        <w:rPr>
          <w:rFonts w:ascii="Comic Sans MS" w:hAnsi="Comic Sans MS"/>
          <w:sz w:val="20"/>
          <w:szCs w:val="20"/>
        </w:rPr>
        <w:t>ih</w:t>
      </w:r>
      <w:r w:rsidR="007624FD" w:rsidRPr="004D2D8C">
        <w:rPr>
          <w:rFonts w:ascii="Comic Sans MS" w:hAnsi="Comic Sans MS"/>
          <w:sz w:val="20"/>
          <w:szCs w:val="20"/>
        </w:rPr>
        <w:t xml:space="preserve"> specifičnim sektorima,</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4E37A0" w:rsidRPr="004D2D8C" w:rsidRDefault="007624FD" w:rsidP="001D504F">
      <w:pPr>
        <w:pStyle w:val="ListParagraph"/>
        <w:numPr>
          <w:ilvl w:val="0"/>
          <w:numId w:val="123"/>
        </w:numPr>
        <w:jc w:val="both"/>
        <w:rPr>
          <w:rFonts w:ascii="Comic Sans MS" w:hAnsi="Comic Sans MS"/>
          <w:sz w:val="20"/>
          <w:szCs w:val="20"/>
        </w:rPr>
      </w:pPr>
      <w:r w:rsidRPr="004D2D8C">
        <w:rPr>
          <w:rFonts w:ascii="Comic Sans MS" w:hAnsi="Comic Sans MS"/>
          <w:sz w:val="20"/>
          <w:szCs w:val="20"/>
        </w:rPr>
        <w:t>skup socijalnih standarda koji odgovaraju zajedničkih zahtjevima multilateralnih financijskih ustanova (MFIs).</w:t>
      </w:r>
    </w:p>
    <w:p w:rsidR="001D504F" w:rsidRPr="004D2D8C" w:rsidRDefault="001D504F" w:rsidP="001D504F">
      <w:pPr>
        <w:pStyle w:val="ListParagraph"/>
        <w:jc w:val="both"/>
        <w:rPr>
          <w:rFonts w:ascii="Comic Sans MS" w:hAnsi="Comic Sans MS"/>
          <w:sz w:val="20"/>
          <w:szCs w:val="20"/>
        </w:rPr>
      </w:pPr>
    </w:p>
    <w:p w:rsidR="001D504F" w:rsidRPr="004D2D8C" w:rsidRDefault="00EB4F10" w:rsidP="001D504F">
      <w:pPr>
        <w:pStyle w:val="ListParagraph"/>
        <w:jc w:val="both"/>
        <w:rPr>
          <w:rFonts w:ascii="Comic Sans MS" w:hAnsi="Comic Sans MS"/>
          <w:sz w:val="20"/>
          <w:szCs w:val="20"/>
        </w:rPr>
      </w:pPr>
      <w:r w:rsidRPr="004D2D8C">
        <w:rPr>
          <w:rFonts w:ascii="Comic Sans MS" w:hAnsi="Comic Sans MS"/>
          <w:sz w:val="20"/>
          <w:szCs w:val="20"/>
        </w:rPr>
        <w:t>EIB-ovi o</w:t>
      </w:r>
      <w:r w:rsidR="00AB5792" w:rsidRPr="004D2D8C">
        <w:rPr>
          <w:rFonts w:ascii="Comic Sans MS" w:hAnsi="Comic Sans MS"/>
          <w:sz w:val="20"/>
          <w:szCs w:val="20"/>
        </w:rPr>
        <w:t xml:space="preserve">kolišni </w:t>
      </w:r>
      <w:r w:rsidRPr="004D2D8C">
        <w:rPr>
          <w:rFonts w:ascii="Comic Sans MS" w:hAnsi="Comic Sans MS"/>
          <w:sz w:val="20"/>
          <w:szCs w:val="20"/>
        </w:rPr>
        <w:t>i</w:t>
      </w:r>
      <w:r w:rsidR="005C50A1" w:rsidRPr="004D2D8C">
        <w:rPr>
          <w:rFonts w:ascii="Comic Sans MS" w:hAnsi="Comic Sans MS"/>
          <w:sz w:val="20"/>
          <w:szCs w:val="20"/>
        </w:rPr>
        <w:t xml:space="preserve"> socijalni zahtjevi odražavaju načela Strategije održivog razvoja EU-a</w:t>
      </w:r>
      <w:r w:rsidR="001D504F" w:rsidRPr="004D2D8C">
        <w:rPr>
          <w:rStyle w:val="EndnoteReference"/>
          <w:rFonts w:ascii="Comic Sans MS" w:hAnsi="Comic Sans MS"/>
          <w:sz w:val="20"/>
          <w:szCs w:val="20"/>
        </w:rPr>
        <w:endnoteReference w:id="16"/>
      </w:r>
      <w:r w:rsidR="00B43E3F" w:rsidRPr="004D2D8C">
        <w:rPr>
          <w:rFonts w:ascii="Comic Sans MS" w:hAnsi="Comic Sans MS"/>
          <w:sz w:val="20"/>
          <w:szCs w:val="20"/>
        </w:rPr>
        <w:t xml:space="preserve">, </w:t>
      </w:r>
      <w:r w:rsidR="005C50A1" w:rsidRPr="004D2D8C">
        <w:rPr>
          <w:rFonts w:ascii="Comic Sans MS" w:hAnsi="Comic Sans MS"/>
          <w:sz w:val="20"/>
          <w:szCs w:val="20"/>
        </w:rPr>
        <w:t>Sporazuma iz Cotonoua</w:t>
      </w:r>
      <w:r w:rsidR="001D504F" w:rsidRPr="004D2D8C">
        <w:rPr>
          <w:rStyle w:val="EndnoteReference"/>
          <w:rFonts w:ascii="Comic Sans MS" w:hAnsi="Comic Sans MS"/>
          <w:sz w:val="20"/>
          <w:szCs w:val="20"/>
        </w:rPr>
        <w:endnoteReference w:id="17"/>
      </w:r>
      <w:r w:rsidR="005C50A1" w:rsidRPr="004D2D8C">
        <w:rPr>
          <w:rFonts w:ascii="Comic Sans MS" w:hAnsi="Comic Sans MS"/>
          <w:sz w:val="20"/>
          <w:szCs w:val="20"/>
        </w:rPr>
        <w:t xml:space="preserve"> te </w:t>
      </w:r>
      <w:r w:rsidR="00B43E3F" w:rsidRPr="004D2D8C">
        <w:rPr>
          <w:rFonts w:ascii="Comic Sans MS" w:hAnsi="Comic Sans MS"/>
          <w:sz w:val="20"/>
          <w:szCs w:val="20"/>
        </w:rPr>
        <w:t>Europ</w:t>
      </w:r>
      <w:r w:rsidR="005C50A1" w:rsidRPr="004D2D8C">
        <w:rPr>
          <w:rFonts w:ascii="Comic Sans MS" w:hAnsi="Comic Sans MS"/>
          <w:sz w:val="20"/>
          <w:szCs w:val="20"/>
        </w:rPr>
        <w:t>skog konsenzusa o razvoju</w:t>
      </w:r>
      <w:r w:rsidR="001D504F" w:rsidRPr="004D2D8C">
        <w:rPr>
          <w:rStyle w:val="EndnoteReference"/>
          <w:rFonts w:ascii="Comic Sans MS" w:hAnsi="Comic Sans MS"/>
          <w:sz w:val="20"/>
          <w:szCs w:val="20"/>
        </w:rPr>
        <w:endnoteReference w:id="18"/>
      </w:r>
      <w:r w:rsidR="00B43E3F" w:rsidRPr="004D2D8C">
        <w:rPr>
          <w:rFonts w:ascii="Comic Sans MS" w:hAnsi="Comic Sans MS"/>
          <w:sz w:val="20"/>
          <w:szCs w:val="20"/>
        </w:rPr>
        <w:t xml:space="preserve">. </w:t>
      </w:r>
    </w:p>
    <w:p w:rsidR="001D504F" w:rsidRPr="004D2D8C" w:rsidRDefault="001D504F" w:rsidP="001D504F">
      <w:pPr>
        <w:pStyle w:val="ListParagraph"/>
        <w:jc w:val="both"/>
        <w:rPr>
          <w:rFonts w:ascii="Comic Sans MS" w:hAnsi="Comic Sans MS"/>
          <w:sz w:val="20"/>
          <w:szCs w:val="20"/>
        </w:rPr>
      </w:pPr>
    </w:p>
    <w:p w:rsidR="001D504F" w:rsidRPr="004D2D8C" w:rsidRDefault="00B43E3F"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EIB</w:t>
      </w:r>
      <w:r w:rsidR="00E11F12" w:rsidRPr="004D2D8C">
        <w:rPr>
          <w:rFonts w:ascii="Comic Sans MS" w:hAnsi="Comic Sans MS"/>
          <w:sz w:val="20"/>
          <w:szCs w:val="20"/>
        </w:rPr>
        <w:t>-ovi zahtjevi</w:t>
      </w:r>
      <w:r w:rsidR="00BD44DC" w:rsidRPr="004D2D8C">
        <w:rPr>
          <w:rFonts w:ascii="Comic Sans MS" w:hAnsi="Comic Sans MS"/>
          <w:sz w:val="20"/>
          <w:szCs w:val="20"/>
        </w:rPr>
        <w:t xml:space="preserve"> najlakše se primjenjuju </w:t>
      </w:r>
      <w:r w:rsidR="00116A42" w:rsidRPr="004D2D8C">
        <w:rPr>
          <w:rFonts w:ascii="Comic Sans MS" w:hAnsi="Comic Sans MS"/>
          <w:sz w:val="20"/>
          <w:szCs w:val="20"/>
        </w:rPr>
        <w:t xml:space="preserve">u slučaju </w:t>
      </w:r>
      <w:r w:rsidR="00BD44DC" w:rsidRPr="004D2D8C">
        <w:rPr>
          <w:rFonts w:ascii="Comic Sans MS" w:hAnsi="Comic Sans MS"/>
          <w:sz w:val="20"/>
          <w:szCs w:val="20"/>
        </w:rPr>
        <w:t>dugoročnih kredita</w:t>
      </w:r>
      <w:r w:rsidR="00116A42" w:rsidRPr="004D2D8C">
        <w:rPr>
          <w:rFonts w:ascii="Comic Sans MS" w:hAnsi="Comic Sans MS"/>
          <w:sz w:val="20"/>
          <w:szCs w:val="20"/>
        </w:rPr>
        <w:t xml:space="preserve"> koji se odobravaju izravno promotoru za financiranje </w:t>
      </w:r>
      <w:r w:rsidR="009022F1" w:rsidRPr="004D2D8C">
        <w:rPr>
          <w:rFonts w:ascii="Comic Sans MS" w:hAnsi="Comic Sans MS"/>
          <w:sz w:val="20"/>
          <w:szCs w:val="20"/>
        </w:rPr>
        <w:t xml:space="preserve">nekog </w:t>
      </w:r>
      <w:r w:rsidR="00116A42" w:rsidRPr="004D2D8C">
        <w:rPr>
          <w:rFonts w:ascii="Comic Sans MS" w:hAnsi="Comic Sans MS"/>
          <w:sz w:val="20"/>
          <w:szCs w:val="20"/>
        </w:rPr>
        <w:t>investicijskog projekta. No, ponekad se radi i o više projekata</w:t>
      </w:r>
      <w:r w:rsidRPr="004D2D8C">
        <w:rPr>
          <w:rFonts w:ascii="Comic Sans MS" w:hAnsi="Comic Sans MS"/>
          <w:sz w:val="20"/>
          <w:szCs w:val="20"/>
        </w:rPr>
        <w:t xml:space="preserve"> (</w:t>
      </w:r>
      <w:r w:rsidR="00E16F08" w:rsidRPr="004D2D8C">
        <w:rPr>
          <w:rFonts w:ascii="Comic Sans MS" w:hAnsi="Comic Sans MS"/>
          <w:sz w:val="20"/>
          <w:szCs w:val="20"/>
        </w:rPr>
        <w:t>kod okvirnog kredita</w:t>
      </w:r>
      <w:r w:rsidRPr="004D2D8C">
        <w:rPr>
          <w:rFonts w:ascii="Comic Sans MS" w:hAnsi="Comic Sans MS"/>
          <w:sz w:val="20"/>
          <w:szCs w:val="20"/>
        </w:rPr>
        <w:t>)</w:t>
      </w:r>
      <w:r w:rsidR="00E16F08" w:rsidRPr="004D2D8C">
        <w:rPr>
          <w:rFonts w:ascii="Comic Sans MS" w:hAnsi="Comic Sans MS"/>
          <w:sz w:val="20"/>
          <w:szCs w:val="20"/>
        </w:rPr>
        <w:t>, a ponekad više projekata čini jedan program, ponekad se sredstva odobravaju neizravno jednom promotoru ili većem broju promotora</w:t>
      </w:r>
      <w:r w:rsidR="00E643E7" w:rsidRPr="004D2D8C">
        <w:rPr>
          <w:rFonts w:ascii="Comic Sans MS" w:hAnsi="Comic Sans MS"/>
          <w:sz w:val="20"/>
          <w:szCs w:val="20"/>
        </w:rPr>
        <w:t xml:space="preserve"> </w:t>
      </w:r>
      <w:r w:rsidR="00C56951" w:rsidRPr="004D2D8C">
        <w:rPr>
          <w:rFonts w:ascii="Comic Sans MS" w:hAnsi="Comic Sans MS"/>
          <w:sz w:val="20"/>
          <w:szCs w:val="20"/>
        </w:rPr>
        <w:t xml:space="preserve">obično putem </w:t>
      </w:r>
      <w:r w:rsidRPr="004D2D8C">
        <w:rPr>
          <w:rFonts w:ascii="Comic Sans MS" w:hAnsi="Comic Sans MS"/>
          <w:sz w:val="20"/>
          <w:szCs w:val="20"/>
        </w:rPr>
        <w:t>financi</w:t>
      </w:r>
      <w:r w:rsidR="00C56951" w:rsidRPr="004D2D8C">
        <w:rPr>
          <w:rFonts w:ascii="Comic Sans MS" w:hAnsi="Comic Sans MS"/>
          <w:sz w:val="20"/>
          <w:szCs w:val="20"/>
        </w:rPr>
        <w:t xml:space="preserve">jskog posrednika </w:t>
      </w:r>
      <w:r w:rsidRPr="004D2D8C">
        <w:rPr>
          <w:rFonts w:ascii="Comic Sans MS" w:hAnsi="Comic Sans MS"/>
          <w:sz w:val="20"/>
          <w:szCs w:val="20"/>
        </w:rPr>
        <w:t>(</w:t>
      </w:r>
      <w:r w:rsidR="00C56951" w:rsidRPr="004D2D8C">
        <w:rPr>
          <w:rFonts w:ascii="Comic Sans MS" w:hAnsi="Comic Sans MS"/>
          <w:sz w:val="20"/>
          <w:szCs w:val="20"/>
        </w:rPr>
        <w:t>kod kreditne linije</w:t>
      </w:r>
      <w:r w:rsidRPr="004D2D8C">
        <w:rPr>
          <w:rFonts w:ascii="Comic Sans MS" w:hAnsi="Comic Sans MS"/>
          <w:sz w:val="20"/>
          <w:szCs w:val="20"/>
        </w:rPr>
        <w:t>)</w:t>
      </w:r>
      <w:r w:rsidR="00C56951" w:rsidRPr="004D2D8C">
        <w:rPr>
          <w:rFonts w:ascii="Comic Sans MS" w:hAnsi="Comic Sans MS"/>
          <w:sz w:val="20"/>
          <w:szCs w:val="20"/>
        </w:rPr>
        <w:t xml:space="preserve"> te, konačno, </w:t>
      </w:r>
      <w:r w:rsidRPr="004D2D8C">
        <w:rPr>
          <w:rFonts w:ascii="Comic Sans MS" w:hAnsi="Comic Sans MS"/>
          <w:sz w:val="20"/>
          <w:szCs w:val="20"/>
        </w:rPr>
        <w:t>Bank</w:t>
      </w:r>
      <w:r w:rsidR="00C56951" w:rsidRPr="004D2D8C">
        <w:rPr>
          <w:rFonts w:ascii="Comic Sans MS" w:hAnsi="Comic Sans MS"/>
          <w:sz w:val="20"/>
          <w:szCs w:val="20"/>
        </w:rPr>
        <w:t>a može sredstva za financiranje kapitala odobriti u raznim oblicima</w:t>
      </w:r>
      <w:r w:rsidRPr="004D2D8C">
        <w:rPr>
          <w:rFonts w:ascii="Comic Sans MS" w:hAnsi="Comic Sans MS"/>
          <w:sz w:val="20"/>
          <w:szCs w:val="20"/>
        </w:rPr>
        <w:t xml:space="preserve">. </w:t>
      </w:r>
      <w:r w:rsidR="00C56951" w:rsidRPr="004D2D8C">
        <w:rPr>
          <w:rFonts w:ascii="Comic Sans MS" w:hAnsi="Comic Sans MS"/>
          <w:sz w:val="20"/>
          <w:szCs w:val="20"/>
        </w:rPr>
        <w:t xml:space="preserve">Ako Banka sredstva odobrava neizravno putem posrednika, </w:t>
      </w:r>
      <w:r w:rsidRPr="004D2D8C">
        <w:rPr>
          <w:rFonts w:ascii="Comic Sans MS" w:hAnsi="Comic Sans MS"/>
          <w:sz w:val="20"/>
          <w:szCs w:val="20"/>
        </w:rPr>
        <w:t>Bank</w:t>
      </w:r>
      <w:r w:rsidR="00C56951" w:rsidRPr="004D2D8C">
        <w:rPr>
          <w:rFonts w:ascii="Comic Sans MS" w:hAnsi="Comic Sans MS"/>
          <w:sz w:val="20"/>
          <w:szCs w:val="20"/>
        </w:rPr>
        <w:t>a</w:t>
      </w:r>
      <w:r w:rsidRPr="004D2D8C">
        <w:rPr>
          <w:rFonts w:ascii="Comic Sans MS" w:hAnsi="Comic Sans MS"/>
          <w:sz w:val="20"/>
          <w:szCs w:val="20"/>
        </w:rPr>
        <w:t xml:space="preserve"> m</w:t>
      </w:r>
      <w:r w:rsidR="00C56951" w:rsidRPr="004D2D8C">
        <w:rPr>
          <w:rFonts w:ascii="Comic Sans MS" w:hAnsi="Comic Sans MS"/>
          <w:sz w:val="20"/>
          <w:szCs w:val="20"/>
        </w:rPr>
        <w:t xml:space="preserve">ože ovlast za donošenje odluke o financiranju prenijeti na financijsku instituciju, općinu, korporaciju ili upravitelja fonda koji dokaže da je u stanju ostvarivati okolišne </w:t>
      </w:r>
      <w:r w:rsidR="009022F1" w:rsidRPr="004D2D8C">
        <w:rPr>
          <w:rFonts w:ascii="Comic Sans MS" w:hAnsi="Comic Sans MS"/>
          <w:sz w:val="20"/>
          <w:szCs w:val="20"/>
        </w:rPr>
        <w:t>i</w:t>
      </w:r>
      <w:r w:rsidR="00C56951" w:rsidRPr="004D2D8C">
        <w:rPr>
          <w:rFonts w:ascii="Comic Sans MS" w:hAnsi="Comic Sans MS"/>
          <w:sz w:val="20"/>
          <w:szCs w:val="20"/>
        </w:rPr>
        <w:t xml:space="preserve"> socijalne zahtjeve </w:t>
      </w:r>
      <w:r w:rsidRPr="004D2D8C">
        <w:rPr>
          <w:rFonts w:ascii="Comic Sans MS" w:hAnsi="Comic Sans MS"/>
          <w:sz w:val="20"/>
          <w:szCs w:val="20"/>
        </w:rPr>
        <w:t>Bank</w:t>
      </w:r>
      <w:r w:rsidR="00C56951" w:rsidRPr="004D2D8C">
        <w:rPr>
          <w:rFonts w:ascii="Comic Sans MS" w:hAnsi="Comic Sans MS"/>
          <w:sz w:val="20"/>
          <w:szCs w:val="20"/>
        </w:rPr>
        <w:t>e ovisno o odgovarajućim zahtjevima izvještavanja, praćenja i ugovaranja</w:t>
      </w:r>
      <w:r w:rsidRPr="004D2D8C">
        <w:rPr>
          <w:rFonts w:ascii="Comic Sans MS" w:hAnsi="Comic Sans MS"/>
          <w:sz w:val="20"/>
          <w:szCs w:val="20"/>
        </w:rPr>
        <w:t xml:space="preserve">. </w:t>
      </w:r>
      <w:r w:rsidR="00FB47DB" w:rsidRPr="004D2D8C">
        <w:rPr>
          <w:rFonts w:ascii="Comic Sans MS" w:hAnsi="Comic Sans MS"/>
          <w:sz w:val="20"/>
          <w:szCs w:val="20"/>
        </w:rPr>
        <w:t>U Priručniku su opisani postupci Banke u takvim slučajevima</w:t>
      </w:r>
      <w:r w:rsidRPr="004D2D8C">
        <w:rPr>
          <w:rFonts w:ascii="Comic Sans MS" w:hAnsi="Comic Sans MS"/>
          <w:sz w:val="20"/>
          <w:szCs w:val="20"/>
        </w:rPr>
        <w:t xml:space="preserve">. </w:t>
      </w:r>
    </w:p>
    <w:p w:rsidR="001D504F" w:rsidRPr="004D2D8C" w:rsidRDefault="001D504F" w:rsidP="001D504F">
      <w:pPr>
        <w:pStyle w:val="ListParagraph"/>
        <w:jc w:val="both"/>
        <w:rPr>
          <w:rFonts w:ascii="Comic Sans MS" w:hAnsi="Comic Sans MS"/>
          <w:sz w:val="20"/>
          <w:szCs w:val="20"/>
        </w:rPr>
      </w:pPr>
    </w:p>
    <w:p w:rsidR="001D504F" w:rsidRPr="004D2D8C" w:rsidRDefault="00D76D31"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Izjava se primjenjuje na sve oblike EIB-ovog financiranja</w:t>
      </w:r>
      <w:r w:rsidR="00FB53B9" w:rsidRPr="004D2D8C">
        <w:rPr>
          <w:rFonts w:ascii="Comic Sans MS" w:hAnsi="Comic Sans MS"/>
          <w:sz w:val="20"/>
          <w:szCs w:val="20"/>
        </w:rPr>
        <w:t xml:space="preserve"> i</w:t>
      </w:r>
      <w:r w:rsidR="004718B0" w:rsidRPr="004D2D8C">
        <w:rPr>
          <w:rFonts w:ascii="Comic Sans MS" w:hAnsi="Comic Sans MS"/>
          <w:sz w:val="20"/>
          <w:szCs w:val="20"/>
        </w:rPr>
        <w:t xml:space="preserve"> na sva područja poslovanja </w:t>
      </w:r>
      <w:r w:rsidR="00B43E3F" w:rsidRPr="004D2D8C">
        <w:rPr>
          <w:rFonts w:ascii="Comic Sans MS" w:hAnsi="Comic Sans MS"/>
          <w:sz w:val="20"/>
          <w:szCs w:val="20"/>
        </w:rPr>
        <w:t>Bank</w:t>
      </w:r>
      <w:r w:rsidR="004718B0" w:rsidRPr="004D2D8C">
        <w:rPr>
          <w:rFonts w:ascii="Comic Sans MS" w:hAnsi="Comic Sans MS"/>
          <w:sz w:val="20"/>
          <w:szCs w:val="20"/>
        </w:rPr>
        <w:t>e</w:t>
      </w:r>
      <w:r w:rsidR="00E85F4C" w:rsidRPr="004D2D8C">
        <w:rPr>
          <w:rFonts w:ascii="Comic Sans MS" w:hAnsi="Comic Sans MS"/>
          <w:sz w:val="20"/>
          <w:szCs w:val="20"/>
        </w:rPr>
        <w:t xml:space="preserve"> kako u javnom tako i u privatnom sektoru</w:t>
      </w:r>
      <w:r w:rsidR="00B43E3F" w:rsidRPr="004D2D8C">
        <w:rPr>
          <w:rFonts w:ascii="Comic Sans MS" w:hAnsi="Comic Sans MS"/>
          <w:sz w:val="20"/>
          <w:szCs w:val="20"/>
        </w:rPr>
        <w:t>.</w:t>
      </w:r>
      <w:r w:rsidR="00E85F4C" w:rsidRPr="004D2D8C">
        <w:rPr>
          <w:rFonts w:ascii="Comic Sans MS" w:hAnsi="Comic Sans MS"/>
          <w:sz w:val="20"/>
          <w:szCs w:val="20"/>
        </w:rPr>
        <w:t xml:space="preserve"> </w:t>
      </w:r>
      <w:r w:rsidR="00A04CD2" w:rsidRPr="004D2D8C">
        <w:rPr>
          <w:rFonts w:ascii="Comic Sans MS" w:hAnsi="Comic Sans MS"/>
          <w:sz w:val="20"/>
          <w:szCs w:val="20"/>
        </w:rPr>
        <w:t>Svi projekti koje EIB financira ravnaju se prema n</w:t>
      </w:r>
      <w:r w:rsidR="00E85F4C" w:rsidRPr="004D2D8C">
        <w:rPr>
          <w:rFonts w:ascii="Comic Sans MS" w:hAnsi="Comic Sans MS"/>
          <w:sz w:val="20"/>
          <w:szCs w:val="20"/>
        </w:rPr>
        <w:t>ačel</w:t>
      </w:r>
      <w:r w:rsidR="00A04CD2" w:rsidRPr="004D2D8C">
        <w:rPr>
          <w:rFonts w:ascii="Comic Sans MS" w:hAnsi="Comic Sans MS"/>
          <w:sz w:val="20"/>
          <w:szCs w:val="20"/>
        </w:rPr>
        <w:t>im</w:t>
      </w:r>
      <w:r w:rsidR="00E85F4C" w:rsidRPr="004D2D8C">
        <w:rPr>
          <w:rFonts w:ascii="Comic Sans MS" w:hAnsi="Comic Sans MS"/>
          <w:sz w:val="20"/>
          <w:szCs w:val="20"/>
        </w:rPr>
        <w:t>a i standard</w:t>
      </w:r>
      <w:r w:rsidR="00A04CD2" w:rsidRPr="004D2D8C">
        <w:rPr>
          <w:rFonts w:ascii="Comic Sans MS" w:hAnsi="Comic Sans MS"/>
          <w:sz w:val="20"/>
          <w:szCs w:val="20"/>
        </w:rPr>
        <w:t>ima</w:t>
      </w:r>
      <w:r w:rsidR="00E85F4C" w:rsidRPr="004D2D8C">
        <w:rPr>
          <w:rFonts w:ascii="Comic Sans MS" w:hAnsi="Comic Sans MS"/>
          <w:sz w:val="20"/>
          <w:szCs w:val="20"/>
        </w:rPr>
        <w:t xml:space="preserve"> </w:t>
      </w:r>
      <w:r w:rsidR="00B43E3F" w:rsidRPr="004D2D8C">
        <w:rPr>
          <w:rFonts w:ascii="Comic Sans MS" w:hAnsi="Comic Sans MS"/>
          <w:sz w:val="20"/>
          <w:szCs w:val="20"/>
        </w:rPr>
        <w:t>EU</w:t>
      </w:r>
      <w:r w:rsidR="00E85F4C" w:rsidRPr="004D2D8C">
        <w:rPr>
          <w:rFonts w:ascii="Comic Sans MS" w:hAnsi="Comic Sans MS"/>
          <w:sz w:val="20"/>
          <w:szCs w:val="20"/>
        </w:rPr>
        <w:t>-a</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A04CD2"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Okolišni i socijalni standardi u Europskoj uniji primjenjuju se bezuvjetno</w:t>
      </w:r>
      <w:r w:rsidR="00B43E3F" w:rsidRPr="004D2D8C">
        <w:rPr>
          <w:rFonts w:ascii="Comic Sans MS" w:hAnsi="Comic Sans MS"/>
          <w:sz w:val="20"/>
          <w:szCs w:val="20"/>
        </w:rPr>
        <w:t>.</w:t>
      </w:r>
      <w:r w:rsidRPr="004D2D8C">
        <w:rPr>
          <w:rFonts w:ascii="Comic Sans MS" w:hAnsi="Comic Sans MS"/>
          <w:sz w:val="20"/>
          <w:szCs w:val="20"/>
        </w:rPr>
        <w:t xml:space="preserve"> Zakoni EU-a obve</w:t>
      </w:r>
      <w:r w:rsidR="00FB53B9" w:rsidRPr="004D2D8C">
        <w:rPr>
          <w:rFonts w:ascii="Comic Sans MS" w:hAnsi="Comic Sans MS"/>
          <w:sz w:val="20"/>
          <w:szCs w:val="20"/>
        </w:rPr>
        <w:t xml:space="preserve">zujući </w:t>
      </w:r>
      <w:r w:rsidRPr="004D2D8C">
        <w:rPr>
          <w:rFonts w:ascii="Comic Sans MS" w:hAnsi="Comic Sans MS"/>
          <w:sz w:val="20"/>
          <w:szCs w:val="20"/>
        </w:rPr>
        <w:t xml:space="preserve">su unutar </w:t>
      </w:r>
      <w:r w:rsidR="00B43E3F" w:rsidRPr="004D2D8C">
        <w:rPr>
          <w:rFonts w:ascii="Comic Sans MS" w:hAnsi="Comic Sans MS"/>
          <w:sz w:val="20"/>
          <w:szCs w:val="20"/>
        </w:rPr>
        <w:t>E</w:t>
      </w:r>
      <w:r w:rsidRPr="004D2D8C">
        <w:rPr>
          <w:rFonts w:ascii="Comic Sans MS" w:hAnsi="Comic Sans MS"/>
          <w:sz w:val="20"/>
          <w:szCs w:val="20"/>
        </w:rPr>
        <w:t xml:space="preserve">uropske unije, no </w:t>
      </w:r>
      <w:r w:rsidR="00B43E3F" w:rsidRPr="004D2D8C">
        <w:rPr>
          <w:rFonts w:ascii="Comic Sans MS" w:hAnsi="Comic Sans MS"/>
          <w:sz w:val="20"/>
          <w:szCs w:val="20"/>
        </w:rPr>
        <w:t>Bank</w:t>
      </w:r>
      <w:r w:rsidRPr="004D2D8C">
        <w:rPr>
          <w:rFonts w:ascii="Comic Sans MS" w:hAnsi="Comic Sans MS"/>
          <w:sz w:val="20"/>
          <w:szCs w:val="20"/>
        </w:rPr>
        <w:t>a zadržava pravo postaviti vlastite više standarde ukoliko to smatra prikladnim</w:t>
      </w:r>
      <w:r w:rsidR="00B43E3F" w:rsidRPr="004D2D8C">
        <w:rPr>
          <w:rFonts w:ascii="Comic Sans MS" w:hAnsi="Comic Sans MS"/>
          <w:sz w:val="20"/>
          <w:szCs w:val="20"/>
        </w:rPr>
        <w:t xml:space="preserve">. </w:t>
      </w:r>
      <w:r w:rsidRPr="004D2D8C">
        <w:rPr>
          <w:rFonts w:ascii="Comic Sans MS" w:hAnsi="Comic Sans MS"/>
          <w:sz w:val="20"/>
          <w:szCs w:val="20"/>
        </w:rPr>
        <w:t>Isti će se standardi poštivati i u</w:t>
      </w:r>
      <w:r w:rsidR="00291F92" w:rsidRPr="004D2D8C">
        <w:rPr>
          <w:rFonts w:ascii="Comic Sans MS" w:hAnsi="Comic Sans MS"/>
          <w:sz w:val="20"/>
          <w:szCs w:val="20"/>
        </w:rPr>
        <w:t xml:space="preserve"> državama </w:t>
      </w:r>
      <w:r w:rsidRPr="004D2D8C">
        <w:rPr>
          <w:rFonts w:ascii="Comic Sans MS" w:hAnsi="Comic Sans MS"/>
          <w:sz w:val="20"/>
          <w:szCs w:val="20"/>
        </w:rPr>
        <w:t xml:space="preserve">kandidatkinjama kao i </w:t>
      </w:r>
      <w:r w:rsidR="00291F92" w:rsidRPr="004D2D8C">
        <w:rPr>
          <w:rFonts w:ascii="Comic Sans MS" w:hAnsi="Comic Sans MS"/>
          <w:sz w:val="20"/>
          <w:szCs w:val="20"/>
        </w:rPr>
        <w:t xml:space="preserve">državama </w:t>
      </w:r>
      <w:r w:rsidRPr="004D2D8C">
        <w:rPr>
          <w:rFonts w:ascii="Comic Sans MS" w:hAnsi="Comic Sans MS"/>
          <w:sz w:val="20"/>
          <w:szCs w:val="20"/>
        </w:rPr>
        <w:t>potencijalnim kandidatkinjama</w:t>
      </w:r>
      <w:r w:rsidR="00B43E3F" w:rsidRPr="004D2D8C">
        <w:rPr>
          <w:rFonts w:ascii="Comic Sans MS" w:hAnsi="Comic Sans MS"/>
          <w:sz w:val="20"/>
          <w:szCs w:val="20"/>
        </w:rPr>
        <w:t xml:space="preserve"> (</w:t>
      </w:r>
      <w:r w:rsidR="00A37551" w:rsidRPr="004D2D8C">
        <w:rPr>
          <w:rFonts w:ascii="Comic Sans MS" w:hAnsi="Comic Sans MS"/>
          <w:sz w:val="20"/>
          <w:szCs w:val="20"/>
        </w:rPr>
        <w:t>tj. zemlje proširenja</w:t>
      </w:r>
      <w:r w:rsidR="001D504F" w:rsidRPr="004D2D8C">
        <w:rPr>
          <w:rStyle w:val="EndnoteReference"/>
          <w:rFonts w:ascii="Comic Sans MS" w:hAnsi="Comic Sans MS"/>
          <w:sz w:val="20"/>
          <w:szCs w:val="20"/>
        </w:rPr>
        <w:endnoteReference w:id="19"/>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A37551"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U ostalom dijelu svijeta, iako se zakoni EU-a formalno ne pri</w:t>
      </w:r>
      <w:r w:rsidR="00557C89" w:rsidRPr="004D2D8C">
        <w:rPr>
          <w:rFonts w:ascii="Comic Sans MS" w:hAnsi="Comic Sans MS"/>
          <w:sz w:val="20"/>
          <w:szCs w:val="20"/>
        </w:rPr>
        <w:t xml:space="preserve">mjenjuju, </w:t>
      </w:r>
      <w:r w:rsidR="00B43E3F" w:rsidRPr="004D2D8C">
        <w:rPr>
          <w:rFonts w:ascii="Comic Sans MS" w:hAnsi="Comic Sans MS"/>
          <w:sz w:val="20"/>
          <w:szCs w:val="20"/>
        </w:rPr>
        <w:t>EIB</w:t>
      </w:r>
      <w:r w:rsidR="00892ADF" w:rsidRPr="004D2D8C">
        <w:rPr>
          <w:rFonts w:ascii="Comic Sans MS" w:hAnsi="Comic Sans MS"/>
          <w:sz w:val="20"/>
          <w:szCs w:val="20"/>
        </w:rPr>
        <w:t xml:space="preserve"> također slijedi p</w:t>
      </w:r>
      <w:r w:rsidR="00557C89" w:rsidRPr="004D2D8C">
        <w:rPr>
          <w:rFonts w:ascii="Comic Sans MS" w:hAnsi="Comic Sans MS"/>
          <w:sz w:val="20"/>
          <w:szCs w:val="20"/>
        </w:rPr>
        <w:t>ravna načela i standard</w:t>
      </w:r>
      <w:r w:rsidR="00892ADF" w:rsidRPr="004D2D8C">
        <w:rPr>
          <w:rFonts w:ascii="Comic Sans MS" w:hAnsi="Comic Sans MS"/>
          <w:sz w:val="20"/>
          <w:szCs w:val="20"/>
        </w:rPr>
        <w:t>e</w:t>
      </w:r>
      <w:r w:rsidR="00557C89" w:rsidRPr="004D2D8C">
        <w:rPr>
          <w:rFonts w:ascii="Comic Sans MS" w:hAnsi="Comic Sans MS"/>
          <w:sz w:val="20"/>
          <w:szCs w:val="20"/>
        </w:rPr>
        <w:t xml:space="preserve"> </w:t>
      </w:r>
      <w:r w:rsidR="00B43E3F" w:rsidRPr="004D2D8C">
        <w:rPr>
          <w:rFonts w:ascii="Comic Sans MS" w:hAnsi="Comic Sans MS"/>
          <w:sz w:val="20"/>
          <w:szCs w:val="20"/>
        </w:rPr>
        <w:t>E</w:t>
      </w:r>
      <w:r w:rsidR="00557C89" w:rsidRPr="004D2D8C">
        <w:rPr>
          <w:rFonts w:ascii="Comic Sans MS" w:hAnsi="Comic Sans MS"/>
          <w:sz w:val="20"/>
          <w:szCs w:val="20"/>
        </w:rPr>
        <w:t>uropske unije</w:t>
      </w:r>
      <w:r w:rsidR="00B43E3F" w:rsidRPr="004D2D8C">
        <w:rPr>
          <w:rFonts w:ascii="Comic Sans MS" w:hAnsi="Comic Sans MS"/>
          <w:sz w:val="20"/>
          <w:szCs w:val="20"/>
        </w:rPr>
        <w:t>.</w:t>
      </w:r>
      <w:r w:rsidR="00557C89" w:rsidRPr="004D2D8C">
        <w:rPr>
          <w:rFonts w:ascii="Comic Sans MS" w:hAnsi="Comic Sans MS"/>
          <w:sz w:val="20"/>
          <w:szCs w:val="20"/>
        </w:rPr>
        <w:t xml:space="preserve"> Promotor treba opravdati svako odstupanje od zahtjeva </w:t>
      </w:r>
      <w:r w:rsidR="00B43E3F" w:rsidRPr="004D2D8C">
        <w:rPr>
          <w:rFonts w:ascii="Comic Sans MS" w:hAnsi="Comic Sans MS"/>
          <w:sz w:val="20"/>
          <w:szCs w:val="20"/>
        </w:rPr>
        <w:t>Bank</w:t>
      </w:r>
      <w:r w:rsidR="00557C89" w:rsidRPr="004D2D8C">
        <w:rPr>
          <w:rFonts w:ascii="Comic Sans MS" w:hAnsi="Comic Sans MS"/>
          <w:sz w:val="20"/>
          <w:szCs w:val="20"/>
        </w:rPr>
        <w:t>e u okviru općih okolišnih i socijalnih načela i standarda sadržanih u ovoj Izjavi</w:t>
      </w:r>
      <w:r w:rsidR="00B43E3F" w:rsidRPr="004D2D8C">
        <w:rPr>
          <w:rFonts w:ascii="Comic Sans MS" w:hAnsi="Comic Sans MS"/>
          <w:sz w:val="20"/>
          <w:szCs w:val="20"/>
        </w:rPr>
        <w:t xml:space="preserve">. </w:t>
      </w:r>
      <w:r w:rsidR="00892ADF" w:rsidRPr="004D2D8C">
        <w:rPr>
          <w:rFonts w:ascii="Comic Sans MS" w:hAnsi="Comic Sans MS"/>
          <w:sz w:val="20"/>
          <w:szCs w:val="20"/>
        </w:rPr>
        <w:t xml:space="preserve">U nekim </w:t>
      </w:r>
      <w:r w:rsidR="00025E27" w:rsidRPr="004D2D8C">
        <w:rPr>
          <w:rFonts w:ascii="Comic Sans MS" w:hAnsi="Comic Sans MS"/>
          <w:sz w:val="20"/>
          <w:szCs w:val="20"/>
        </w:rPr>
        <w:t xml:space="preserve">je </w:t>
      </w:r>
      <w:r w:rsidR="00892ADF" w:rsidRPr="004D2D8C">
        <w:rPr>
          <w:rFonts w:ascii="Comic Sans MS" w:hAnsi="Comic Sans MS"/>
          <w:sz w:val="20"/>
          <w:szCs w:val="20"/>
        </w:rPr>
        <w:t>slučajevim</w:t>
      </w:r>
      <w:r w:rsidR="00855590" w:rsidRPr="004D2D8C">
        <w:rPr>
          <w:rFonts w:ascii="Comic Sans MS" w:hAnsi="Comic Sans MS"/>
          <w:sz w:val="20"/>
          <w:szCs w:val="20"/>
        </w:rPr>
        <w:t xml:space="preserve">a etapno provođenje </w:t>
      </w:r>
      <w:r w:rsidR="00AA58C4" w:rsidRPr="004D2D8C">
        <w:rPr>
          <w:rFonts w:ascii="Comic Sans MS" w:hAnsi="Comic Sans MS"/>
          <w:sz w:val="20"/>
          <w:szCs w:val="20"/>
        </w:rPr>
        <w:t>opravdan</w:t>
      </w:r>
      <w:r w:rsidR="00855590" w:rsidRPr="004D2D8C">
        <w:rPr>
          <w:rFonts w:ascii="Comic Sans MS" w:hAnsi="Comic Sans MS"/>
          <w:sz w:val="20"/>
          <w:szCs w:val="20"/>
        </w:rPr>
        <w:t>o</w:t>
      </w:r>
      <w:r w:rsidR="00AA58C4" w:rsidRPr="004D2D8C">
        <w:rPr>
          <w:rFonts w:ascii="Comic Sans MS" w:hAnsi="Comic Sans MS"/>
          <w:sz w:val="20"/>
          <w:szCs w:val="20"/>
        </w:rPr>
        <w:t xml:space="preserve"> kako bi se cilj zahtjeva </w:t>
      </w:r>
      <w:r w:rsidR="00B43E3F" w:rsidRPr="004D2D8C">
        <w:rPr>
          <w:rFonts w:ascii="Comic Sans MS" w:hAnsi="Comic Sans MS"/>
          <w:sz w:val="20"/>
          <w:szCs w:val="20"/>
        </w:rPr>
        <w:t>EU</w:t>
      </w:r>
      <w:r w:rsidR="00AA58C4" w:rsidRPr="004D2D8C">
        <w:rPr>
          <w:rFonts w:ascii="Comic Sans MS" w:hAnsi="Comic Sans MS"/>
          <w:sz w:val="20"/>
          <w:szCs w:val="20"/>
        </w:rPr>
        <w:t xml:space="preserve">-a ostvario postupno, a takav pristup EU također ponekad provodi </w:t>
      </w:r>
      <w:r w:rsidR="00025E27" w:rsidRPr="004D2D8C">
        <w:rPr>
          <w:rFonts w:ascii="Comic Sans MS" w:hAnsi="Comic Sans MS"/>
          <w:sz w:val="20"/>
          <w:szCs w:val="20"/>
        </w:rPr>
        <w:t xml:space="preserve">i </w:t>
      </w:r>
      <w:r w:rsidR="00AA58C4" w:rsidRPr="004D2D8C">
        <w:rPr>
          <w:rFonts w:ascii="Comic Sans MS" w:hAnsi="Comic Sans MS"/>
          <w:sz w:val="20"/>
          <w:szCs w:val="20"/>
        </w:rPr>
        <w:t>u zemljama proširenja</w:t>
      </w:r>
      <w:r w:rsidR="00B43E3F" w:rsidRPr="004D2D8C">
        <w:rPr>
          <w:rFonts w:ascii="Comic Sans MS" w:hAnsi="Comic Sans MS"/>
          <w:sz w:val="20"/>
          <w:szCs w:val="20"/>
        </w:rPr>
        <w:t>.</w:t>
      </w:r>
      <w:r w:rsidR="00AA58C4" w:rsidRPr="004D2D8C">
        <w:rPr>
          <w:rFonts w:ascii="Comic Sans MS" w:hAnsi="Comic Sans MS"/>
          <w:sz w:val="20"/>
          <w:szCs w:val="20"/>
        </w:rPr>
        <w:t xml:space="preserve"> U zemljama koje obuhvaća</w:t>
      </w:r>
      <w:r w:rsidR="00441267" w:rsidRPr="004D2D8C">
        <w:rPr>
          <w:rFonts w:ascii="Comic Sans MS" w:hAnsi="Comic Sans MS"/>
          <w:sz w:val="20"/>
          <w:szCs w:val="20"/>
        </w:rPr>
        <w:t xml:space="preserve"> europska susjedska i partnerska politika</w:t>
      </w:r>
      <w:r w:rsidR="0029338D" w:rsidRPr="004D2D8C">
        <w:rPr>
          <w:rFonts w:ascii="Comic Sans MS" w:hAnsi="Comic Sans MS"/>
          <w:sz w:val="20"/>
          <w:szCs w:val="20"/>
        </w:rPr>
        <w:t>,</w:t>
      </w:r>
      <w:r w:rsidR="00441267" w:rsidRPr="004D2D8C">
        <w:rPr>
          <w:rFonts w:ascii="Comic Sans MS" w:hAnsi="Comic Sans MS"/>
          <w:sz w:val="20"/>
          <w:szCs w:val="20"/>
        </w:rPr>
        <w:t xml:space="preserve"> postizanje usklađenosti s EU-ovim okolišnim zahtjevima trebalo </w:t>
      </w:r>
      <w:r w:rsidR="00025E27" w:rsidRPr="004D2D8C">
        <w:rPr>
          <w:rFonts w:ascii="Comic Sans MS" w:hAnsi="Comic Sans MS"/>
          <w:sz w:val="20"/>
          <w:szCs w:val="20"/>
        </w:rPr>
        <w:t xml:space="preserve">bi </w:t>
      </w:r>
      <w:r w:rsidR="00441267" w:rsidRPr="004D2D8C">
        <w:rPr>
          <w:rFonts w:ascii="Comic Sans MS" w:hAnsi="Comic Sans MS"/>
          <w:sz w:val="20"/>
          <w:szCs w:val="20"/>
        </w:rPr>
        <w:t>biti sukladno svim bilateralnim sporazumima i akcijskim planovima sklopljenim između EU-a i dotične zemlje</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C97C4E"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 xml:space="preserve">Unutar </w:t>
      </w:r>
      <w:r w:rsidR="00B43E3F" w:rsidRPr="004D2D8C">
        <w:rPr>
          <w:rFonts w:ascii="Comic Sans MS" w:hAnsi="Comic Sans MS"/>
          <w:sz w:val="20"/>
          <w:szCs w:val="20"/>
        </w:rPr>
        <w:t>EU</w:t>
      </w:r>
      <w:r w:rsidRPr="004D2D8C">
        <w:rPr>
          <w:rFonts w:ascii="Comic Sans MS" w:hAnsi="Comic Sans MS"/>
          <w:sz w:val="20"/>
          <w:szCs w:val="20"/>
        </w:rPr>
        <w:t>-a</w:t>
      </w:r>
      <w:r w:rsidR="00B43E3F" w:rsidRPr="004D2D8C">
        <w:rPr>
          <w:rFonts w:ascii="Comic Sans MS" w:hAnsi="Comic Sans MS"/>
          <w:sz w:val="20"/>
          <w:szCs w:val="20"/>
        </w:rPr>
        <w:t xml:space="preserve">, EIB </w:t>
      </w:r>
      <w:r w:rsidR="00441267" w:rsidRPr="004D2D8C">
        <w:rPr>
          <w:rFonts w:ascii="Comic Sans MS" w:hAnsi="Comic Sans MS"/>
          <w:sz w:val="20"/>
          <w:szCs w:val="20"/>
        </w:rPr>
        <w:t xml:space="preserve">polazi od pretpostavke da </w:t>
      </w:r>
      <w:r w:rsidR="009774F5" w:rsidRPr="004D2D8C">
        <w:rPr>
          <w:rFonts w:ascii="Comic Sans MS" w:hAnsi="Comic Sans MS"/>
          <w:sz w:val="20"/>
          <w:szCs w:val="20"/>
        </w:rPr>
        <w:t xml:space="preserve">su </w:t>
      </w:r>
      <w:r w:rsidR="00441267" w:rsidRPr="004D2D8C">
        <w:rPr>
          <w:rFonts w:ascii="Comic Sans MS" w:hAnsi="Comic Sans MS"/>
          <w:sz w:val="20"/>
          <w:szCs w:val="20"/>
        </w:rPr>
        <w:t xml:space="preserve">okolišni i socijalni zakoni </w:t>
      </w:r>
      <w:r w:rsidR="00B43E3F" w:rsidRPr="004D2D8C">
        <w:rPr>
          <w:rFonts w:ascii="Comic Sans MS" w:hAnsi="Comic Sans MS"/>
          <w:sz w:val="20"/>
          <w:szCs w:val="20"/>
        </w:rPr>
        <w:t>EU</w:t>
      </w:r>
      <w:r w:rsidR="00441267" w:rsidRPr="004D2D8C">
        <w:rPr>
          <w:rFonts w:ascii="Comic Sans MS" w:hAnsi="Comic Sans MS"/>
          <w:sz w:val="20"/>
          <w:szCs w:val="20"/>
        </w:rPr>
        <w:t>-a</w:t>
      </w:r>
      <w:r w:rsidR="009774F5" w:rsidRPr="004D2D8C">
        <w:rPr>
          <w:rFonts w:ascii="Comic Sans MS" w:hAnsi="Comic Sans MS"/>
          <w:sz w:val="20"/>
          <w:szCs w:val="20"/>
        </w:rPr>
        <w:t xml:space="preserve"> točno preneseni u nacionalne zakone te da nadležni organi vlasti provode nacionalne zakone</w:t>
      </w:r>
      <w:r w:rsidR="00B43E3F" w:rsidRPr="004D2D8C">
        <w:rPr>
          <w:rFonts w:ascii="Comic Sans MS" w:hAnsi="Comic Sans MS"/>
          <w:sz w:val="20"/>
          <w:szCs w:val="20"/>
        </w:rPr>
        <w:t>. EIB</w:t>
      </w:r>
      <w:r w:rsidR="009774F5" w:rsidRPr="004D2D8C">
        <w:rPr>
          <w:rFonts w:ascii="Comic Sans MS" w:hAnsi="Comic Sans MS"/>
          <w:sz w:val="20"/>
          <w:szCs w:val="20"/>
        </w:rPr>
        <w:t xml:space="preserve"> dubinsko snimanje fokusira poglavito na zemlje i</w:t>
      </w:r>
      <w:r w:rsidR="00B43E3F" w:rsidRPr="004D2D8C">
        <w:rPr>
          <w:rFonts w:ascii="Comic Sans MS" w:hAnsi="Comic Sans MS"/>
          <w:sz w:val="20"/>
          <w:szCs w:val="20"/>
        </w:rPr>
        <w:t>/</w:t>
      </w:r>
      <w:r w:rsidR="009774F5" w:rsidRPr="004D2D8C">
        <w:rPr>
          <w:rFonts w:ascii="Comic Sans MS" w:hAnsi="Comic Sans MS"/>
          <w:sz w:val="20"/>
          <w:szCs w:val="20"/>
        </w:rPr>
        <w:t xml:space="preserve">ili </w:t>
      </w:r>
      <w:r w:rsidR="00B43E3F" w:rsidRPr="004D2D8C">
        <w:rPr>
          <w:rFonts w:ascii="Comic Sans MS" w:hAnsi="Comic Sans MS"/>
          <w:sz w:val="20"/>
          <w:szCs w:val="20"/>
        </w:rPr>
        <w:t>specifi</w:t>
      </w:r>
      <w:r w:rsidR="009774F5" w:rsidRPr="004D2D8C">
        <w:rPr>
          <w:rFonts w:ascii="Comic Sans MS" w:hAnsi="Comic Sans MS"/>
          <w:sz w:val="20"/>
          <w:szCs w:val="20"/>
        </w:rPr>
        <w:t>čne zakone kod kojih postoji dokaz koji sugerira da bi te pretpostavke mogle biti pogrešne</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787521" w:rsidP="0029338D">
      <w:pPr>
        <w:pStyle w:val="ListParagraph"/>
        <w:numPr>
          <w:ilvl w:val="0"/>
          <w:numId w:val="122"/>
        </w:numPr>
        <w:jc w:val="both"/>
        <w:rPr>
          <w:rFonts w:ascii="Comic Sans MS" w:hAnsi="Comic Sans MS"/>
          <w:sz w:val="20"/>
          <w:szCs w:val="20"/>
        </w:rPr>
      </w:pPr>
      <w:r w:rsidRPr="004D2D8C">
        <w:rPr>
          <w:rFonts w:ascii="Comic Sans MS" w:hAnsi="Comic Sans MS"/>
          <w:sz w:val="20"/>
          <w:szCs w:val="20"/>
        </w:rPr>
        <w:t xml:space="preserve">Kada je </w:t>
      </w:r>
      <w:r w:rsidR="009774F5" w:rsidRPr="004D2D8C">
        <w:rPr>
          <w:rFonts w:ascii="Comic Sans MS" w:hAnsi="Comic Sans MS"/>
          <w:sz w:val="20"/>
          <w:szCs w:val="20"/>
        </w:rPr>
        <w:t xml:space="preserve">to </w:t>
      </w:r>
      <w:r w:rsidRPr="004D2D8C">
        <w:rPr>
          <w:rFonts w:ascii="Comic Sans MS" w:hAnsi="Comic Sans MS"/>
          <w:sz w:val="20"/>
          <w:szCs w:val="20"/>
        </w:rPr>
        <w:t xml:space="preserve">moguće, </w:t>
      </w:r>
      <w:r w:rsidR="00B43E3F" w:rsidRPr="004D2D8C">
        <w:rPr>
          <w:rFonts w:ascii="Comic Sans MS" w:hAnsi="Comic Sans MS"/>
          <w:sz w:val="20"/>
          <w:szCs w:val="20"/>
        </w:rPr>
        <w:t>EIB</w:t>
      </w:r>
      <w:r w:rsidRPr="004D2D8C">
        <w:rPr>
          <w:rFonts w:ascii="Comic Sans MS" w:hAnsi="Comic Sans MS"/>
          <w:sz w:val="20"/>
          <w:szCs w:val="20"/>
        </w:rPr>
        <w:t xml:space="preserve"> </w:t>
      </w:r>
      <w:r w:rsidR="009774F5" w:rsidRPr="004D2D8C">
        <w:rPr>
          <w:rFonts w:ascii="Comic Sans MS" w:hAnsi="Comic Sans MS"/>
          <w:sz w:val="20"/>
          <w:szCs w:val="20"/>
        </w:rPr>
        <w:t xml:space="preserve">za upravljanje svojim vlastitim kapacitetima </w:t>
      </w:r>
      <w:r w:rsidRPr="004D2D8C">
        <w:rPr>
          <w:rFonts w:ascii="Comic Sans MS" w:hAnsi="Comic Sans MS"/>
          <w:sz w:val="20"/>
          <w:szCs w:val="20"/>
        </w:rPr>
        <w:t xml:space="preserve">usvaja </w:t>
      </w:r>
      <w:r w:rsidR="0029338D" w:rsidRPr="004D2D8C">
        <w:rPr>
          <w:rFonts w:ascii="Comic Sans MS" w:hAnsi="Comic Sans MS"/>
          <w:sz w:val="20"/>
          <w:szCs w:val="20"/>
        </w:rPr>
        <w:t xml:space="preserve">barem </w:t>
      </w:r>
      <w:r w:rsidRPr="004D2D8C">
        <w:rPr>
          <w:rFonts w:ascii="Comic Sans MS" w:hAnsi="Comic Sans MS"/>
          <w:sz w:val="20"/>
          <w:szCs w:val="20"/>
        </w:rPr>
        <w:t xml:space="preserve">jednake </w:t>
      </w:r>
      <w:r w:rsidR="009774F5" w:rsidRPr="004D2D8C">
        <w:rPr>
          <w:rFonts w:ascii="Comic Sans MS" w:hAnsi="Comic Sans MS"/>
          <w:sz w:val="20"/>
          <w:szCs w:val="20"/>
        </w:rPr>
        <w:t>okolišne i socijalne zahtjeve koje usvaja za svoje aktivnosti financiranja kako je opisano u EIB-ovim uzastopnim Izvještajima o korporativnoj odgovornost</w:t>
      </w:r>
      <w:r w:rsidR="001D504F" w:rsidRPr="004D2D8C">
        <w:rPr>
          <w:rStyle w:val="EndnoteReference"/>
          <w:rFonts w:ascii="Comic Sans MS" w:hAnsi="Comic Sans MS"/>
          <w:sz w:val="20"/>
          <w:szCs w:val="20"/>
        </w:rPr>
        <w:endnoteReference w:id="20"/>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1D504F" w:rsidRPr="004D2D8C" w:rsidRDefault="00787521"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EU-ov pristup okolišu i socijalnom blagostanju</w:t>
      </w:r>
      <w:r w:rsidR="009774F5" w:rsidRPr="004D2D8C">
        <w:rPr>
          <w:rFonts w:ascii="Comic Sans MS" w:hAnsi="Comic Sans MS"/>
          <w:sz w:val="20"/>
          <w:szCs w:val="20"/>
        </w:rPr>
        <w:t xml:space="preserve"> samo je jedan primjer dobre međunarodne prakse</w:t>
      </w:r>
      <w:r w:rsidR="00F4219C" w:rsidRPr="004D2D8C">
        <w:rPr>
          <w:rFonts w:ascii="Comic Sans MS" w:hAnsi="Comic Sans MS"/>
          <w:sz w:val="20"/>
          <w:szCs w:val="20"/>
        </w:rPr>
        <w:t xml:space="preserve"> koju EIB provodi</w:t>
      </w:r>
      <w:r w:rsidR="00B43E3F" w:rsidRPr="004D2D8C">
        <w:rPr>
          <w:rFonts w:ascii="Comic Sans MS" w:hAnsi="Comic Sans MS"/>
          <w:sz w:val="20"/>
          <w:szCs w:val="20"/>
        </w:rPr>
        <w:t>. O</w:t>
      </w:r>
      <w:r w:rsidR="00F4219C" w:rsidRPr="004D2D8C">
        <w:rPr>
          <w:rFonts w:ascii="Comic Sans MS" w:hAnsi="Comic Sans MS"/>
          <w:sz w:val="20"/>
          <w:szCs w:val="20"/>
        </w:rPr>
        <w:t xml:space="preserve">stali pristupi koji inkorporiraju dobru međunarodnu praksu prihvatljivi su za </w:t>
      </w:r>
      <w:r w:rsidR="00B43E3F" w:rsidRPr="004D2D8C">
        <w:rPr>
          <w:rFonts w:ascii="Comic Sans MS" w:hAnsi="Comic Sans MS"/>
          <w:sz w:val="20"/>
          <w:szCs w:val="20"/>
        </w:rPr>
        <w:t>Bank</w:t>
      </w:r>
      <w:r w:rsidR="00F4219C" w:rsidRPr="004D2D8C">
        <w:rPr>
          <w:rFonts w:ascii="Comic Sans MS" w:hAnsi="Comic Sans MS"/>
          <w:sz w:val="20"/>
          <w:szCs w:val="20"/>
        </w:rPr>
        <w:t>u</w:t>
      </w:r>
      <w:r w:rsidR="00B43E3F" w:rsidRPr="004D2D8C">
        <w:rPr>
          <w:rFonts w:ascii="Comic Sans MS" w:hAnsi="Comic Sans MS"/>
          <w:sz w:val="20"/>
          <w:szCs w:val="20"/>
        </w:rPr>
        <w:t xml:space="preserve"> </w:t>
      </w:r>
      <w:r w:rsidR="00F4219C" w:rsidRPr="004D2D8C">
        <w:rPr>
          <w:rFonts w:ascii="Comic Sans MS" w:hAnsi="Comic Sans MS"/>
          <w:sz w:val="20"/>
          <w:szCs w:val="20"/>
        </w:rPr>
        <w:t>i opravdani u određenim okolnostima</w:t>
      </w:r>
      <w:r w:rsidR="00B43E3F" w:rsidRPr="004D2D8C">
        <w:rPr>
          <w:rFonts w:ascii="Comic Sans MS" w:hAnsi="Comic Sans MS"/>
          <w:sz w:val="20"/>
          <w:szCs w:val="20"/>
        </w:rPr>
        <w:t xml:space="preserve">. </w:t>
      </w:r>
      <w:r w:rsidR="00363EDE" w:rsidRPr="004D2D8C">
        <w:rPr>
          <w:rFonts w:ascii="Comic Sans MS" w:hAnsi="Comic Sans MS"/>
          <w:sz w:val="20"/>
          <w:szCs w:val="20"/>
        </w:rPr>
        <w:t xml:space="preserve">Koriste se za jačanje opsega i robusnosti EU-ovog pristupa okolišnim i socijalnim predmetima u vezi </w:t>
      </w:r>
      <w:r w:rsidR="00F314A5" w:rsidRPr="004D2D8C">
        <w:rPr>
          <w:rFonts w:ascii="Comic Sans MS" w:hAnsi="Comic Sans MS"/>
          <w:sz w:val="20"/>
          <w:szCs w:val="20"/>
        </w:rPr>
        <w:t xml:space="preserve">s </w:t>
      </w:r>
      <w:r w:rsidR="00363EDE" w:rsidRPr="004D2D8C">
        <w:rPr>
          <w:rFonts w:ascii="Comic Sans MS" w:hAnsi="Comic Sans MS"/>
          <w:sz w:val="20"/>
          <w:szCs w:val="20"/>
        </w:rPr>
        <w:t>određenim pitanjima i/ili u pojedinim sektorima. To može biti slučaj kada određeni predmet nije na odgovarajući način obuhvaćen zakonodavstvom EU-e, kada Banka odobrava financijska sredstva u suradnji s drugim financijskim institucijama, i/ili kada su financijska sredstva Banke kasno zatražena u okviru pripreme projekta i procesa dizajniranja</w:t>
      </w:r>
      <w:r w:rsidR="00B43E3F" w:rsidRPr="004D2D8C">
        <w:rPr>
          <w:rFonts w:ascii="Comic Sans MS" w:hAnsi="Comic Sans MS"/>
          <w:sz w:val="20"/>
          <w:szCs w:val="20"/>
        </w:rPr>
        <w:t xml:space="preserve">. </w:t>
      </w:r>
    </w:p>
    <w:p w:rsidR="001D504F" w:rsidRPr="004D2D8C" w:rsidRDefault="001D504F" w:rsidP="001D504F">
      <w:pPr>
        <w:pStyle w:val="ListParagraph"/>
        <w:rPr>
          <w:rFonts w:ascii="Comic Sans MS" w:hAnsi="Comic Sans MS"/>
          <w:sz w:val="20"/>
          <w:szCs w:val="20"/>
        </w:rPr>
      </w:pPr>
    </w:p>
    <w:p w:rsidR="00B43E3F" w:rsidRPr="004D2D8C" w:rsidRDefault="002678AB" w:rsidP="002C3A1C">
      <w:pPr>
        <w:pStyle w:val="ListParagraph"/>
        <w:numPr>
          <w:ilvl w:val="0"/>
          <w:numId w:val="122"/>
        </w:numPr>
        <w:jc w:val="both"/>
        <w:rPr>
          <w:rFonts w:ascii="Comic Sans MS" w:hAnsi="Comic Sans MS"/>
          <w:sz w:val="20"/>
          <w:szCs w:val="20"/>
        </w:rPr>
      </w:pPr>
      <w:r w:rsidRPr="004D2D8C">
        <w:rPr>
          <w:rFonts w:ascii="Comic Sans MS" w:hAnsi="Comic Sans MS"/>
          <w:sz w:val="20"/>
          <w:szCs w:val="20"/>
        </w:rPr>
        <w:t xml:space="preserve">Kod sufinanciranja, </w:t>
      </w:r>
      <w:r w:rsidR="00B43E3F" w:rsidRPr="004D2D8C">
        <w:rPr>
          <w:rFonts w:ascii="Comic Sans MS" w:hAnsi="Comic Sans MS"/>
          <w:sz w:val="20"/>
          <w:szCs w:val="20"/>
        </w:rPr>
        <w:t>Bank</w:t>
      </w:r>
      <w:r w:rsidRPr="004D2D8C">
        <w:rPr>
          <w:rFonts w:ascii="Comic Sans MS" w:hAnsi="Comic Sans MS"/>
          <w:sz w:val="20"/>
          <w:szCs w:val="20"/>
        </w:rPr>
        <w:t>a je spremna prihvatiti</w:t>
      </w:r>
      <w:r w:rsidR="00363EDE" w:rsidRPr="004D2D8C">
        <w:rPr>
          <w:rFonts w:ascii="Comic Sans MS" w:hAnsi="Comic Sans MS"/>
          <w:sz w:val="20"/>
          <w:szCs w:val="20"/>
        </w:rPr>
        <w:t xml:space="preserve"> zajednički pristup utemeljen na relevantnim zahtjevima jednog od njezinih financijskih </w:t>
      </w:r>
      <w:r w:rsidR="00B43E3F" w:rsidRPr="004D2D8C">
        <w:rPr>
          <w:rFonts w:ascii="Comic Sans MS" w:hAnsi="Comic Sans MS"/>
          <w:sz w:val="20"/>
          <w:szCs w:val="20"/>
        </w:rPr>
        <w:t>partner</w:t>
      </w:r>
      <w:r w:rsidR="00363EDE" w:rsidRPr="004D2D8C">
        <w:rPr>
          <w:rFonts w:ascii="Comic Sans MS" w:hAnsi="Comic Sans MS"/>
          <w:sz w:val="20"/>
          <w:szCs w:val="20"/>
        </w:rPr>
        <w:t>a radi dosljednosti i usklađenosti</w:t>
      </w:r>
      <w:r w:rsidR="00C65D0D" w:rsidRPr="004D2D8C">
        <w:rPr>
          <w:rStyle w:val="EndnoteReference"/>
          <w:rFonts w:ascii="Comic Sans MS" w:hAnsi="Comic Sans MS"/>
          <w:sz w:val="20"/>
          <w:szCs w:val="20"/>
        </w:rPr>
        <w:endnoteReference w:id="21"/>
      </w:r>
      <w:r w:rsidR="00363EDE" w:rsidRPr="004D2D8C">
        <w:rPr>
          <w:rFonts w:ascii="Comic Sans MS" w:hAnsi="Comic Sans MS"/>
          <w:sz w:val="20"/>
          <w:szCs w:val="20"/>
        </w:rPr>
        <w:t xml:space="preserve"> te radi izbjegavanja dupliciranja</w:t>
      </w:r>
      <w:r w:rsidR="00B43E3F" w:rsidRPr="004D2D8C">
        <w:rPr>
          <w:rFonts w:ascii="Comic Sans MS" w:hAnsi="Comic Sans MS"/>
          <w:sz w:val="20"/>
          <w:szCs w:val="20"/>
        </w:rPr>
        <w:t>.</w:t>
      </w:r>
      <w:r w:rsidR="00363EDE" w:rsidRPr="004D2D8C">
        <w:rPr>
          <w:rFonts w:ascii="Comic Sans MS" w:hAnsi="Comic Sans MS"/>
          <w:sz w:val="20"/>
          <w:szCs w:val="20"/>
        </w:rPr>
        <w:t xml:space="preserve"> Primjerice, u projektima izvan EU-a, u suradnji s drugim međunarodnim javnim i privatnim financijskim institucijama može se provoditi zajednički pristup na temelju Equator načela </w:t>
      </w:r>
      <w:r w:rsidR="009A2982" w:rsidRPr="004D2D8C">
        <w:rPr>
          <w:rFonts w:ascii="Comic Sans MS" w:hAnsi="Comic Sans MS"/>
          <w:sz w:val="20"/>
          <w:szCs w:val="20"/>
        </w:rPr>
        <w:t>ili politika zaštite Svjetske banke</w:t>
      </w:r>
      <w:r w:rsidR="00AD34CC" w:rsidRPr="004D2D8C">
        <w:rPr>
          <w:rStyle w:val="EndnoteReference"/>
          <w:rFonts w:ascii="Comic Sans MS" w:hAnsi="Comic Sans MS"/>
          <w:sz w:val="20"/>
          <w:szCs w:val="20"/>
        </w:rPr>
        <w:endnoteReference w:id="22"/>
      </w:r>
      <w:r w:rsidR="00B43E3F" w:rsidRPr="004D2D8C">
        <w:rPr>
          <w:rFonts w:ascii="Comic Sans MS" w:hAnsi="Comic Sans MS"/>
          <w:sz w:val="20"/>
          <w:szCs w:val="20"/>
        </w:rPr>
        <w:t xml:space="preserve">. </w:t>
      </w:r>
    </w:p>
    <w:p w:rsidR="001D504F" w:rsidRPr="004D2D8C" w:rsidRDefault="001D504F" w:rsidP="002C3A1C">
      <w:pPr>
        <w:jc w:val="both"/>
        <w:rPr>
          <w:rFonts w:ascii="Comic Sans MS" w:hAnsi="Comic Sans MS"/>
          <w:sz w:val="20"/>
          <w:szCs w:val="20"/>
        </w:rPr>
      </w:pPr>
    </w:p>
    <w:p w:rsidR="00C65D0D" w:rsidRPr="004D2D8C" w:rsidRDefault="00C65D0D">
      <w:pPr>
        <w:rPr>
          <w:rFonts w:ascii="Comic Sans MS" w:hAnsi="Comic Sans MS"/>
          <w:sz w:val="20"/>
          <w:szCs w:val="20"/>
        </w:rPr>
      </w:pPr>
      <w:r w:rsidRPr="004D2D8C">
        <w:rPr>
          <w:rFonts w:ascii="Comic Sans MS" w:hAnsi="Comic Sans MS"/>
          <w:sz w:val="20"/>
          <w:szCs w:val="20"/>
        </w:rPr>
        <w:br w:type="page"/>
      </w:r>
    </w:p>
    <w:p w:rsidR="009216E4" w:rsidRPr="004D2D8C" w:rsidRDefault="00094DE8" w:rsidP="00C65D0D">
      <w:pPr>
        <w:jc w:val="center"/>
        <w:rPr>
          <w:rFonts w:ascii="Comic Sans MS" w:hAnsi="Comic Sans MS"/>
          <w:sz w:val="20"/>
          <w:szCs w:val="20"/>
        </w:rPr>
      </w:pPr>
      <w:r w:rsidRPr="004D2D8C">
        <w:rPr>
          <w:rFonts w:ascii="Comic Sans MS" w:hAnsi="Comic Sans MS"/>
          <w:b/>
          <w:sz w:val="28"/>
          <w:szCs w:val="28"/>
        </w:rPr>
        <w:t>IZJAVA</w:t>
      </w:r>
    </w:p>
    <w:p w:rsidR="00B43E3F" w:rsidRPr="004D2D8C" w:rsidRDefault="00B43E3F" w:rsidP="002C3A1C">
      <w:pPr>
        <w:jc w:val="both"/>
        <w:rPr>
          <w:rFonts w:ascii="Comic Sans MS" w:hAnsi="Comic Sans MS"/>
          <w:b/>
          <w:sz w:val="20"/>
          <w:szCs w:val="20"/>
        </w:rPr>
      </w:pPr>
      <w:r w:rsidRPr="004D2D8C">
        <w:rPr>
          <w:rFonts w:ascii="Comic Sans MS" w:hAnsi="Comic Sans MS"/>
          <w:b/>
          <w:sz w:val="24"/>
          <w:szCs w:val="24"/>
        </w:rPr>
        <w:t>PREAMB</w:t>
      </w:r>
      <w:r w:rsidR="00A069E4" w:rsidRPr="004D2D8C">
        <w:rPr>
          <w:rFonts w:ascii="Comic Sans MS" w:hAnsi="Comic Sans MS"/>
          <w:b/>
          <w:sz w:val="24"/>
          <w:szCs w:val="24"/>
        </w:rPr>
        <w:t>U</w:t>
      </w:r>
      <w:r w:rsidRPr="004D2D8C">
        <w:rPr>
          <w:rFonts w:ascii="Comic Sans MS" w:hAnsi="Comic Sans MS"/>
          <w:b/>
          <w:sz w:val="24"/>
          <w:szCs w:val="24"/>
        </w:rPr>
        <w:t>L</w:t>
      </w:r>
      <w:r w:rsidR="00A069E4" w:rsidRPr="004D2D8C">
        <w:rPr>
          <w:rFonts w:ascii="Comic Sans MS" w:hAnsi="Comic Sans MS"/>
          <w:b/>
          <w:sz w:val="24"/>
          <w:szCs w:val="24"/>
        </w:rPr>
        <w:t>A</w:t>
      </w:r>
      <w:r w:rsidRPr="004D2D8C">
        <w:rPr>
          <w:rFonts w:ascii="Comic Sans MS" w:hAnsi="Comic Sans MS"/>
          <w:b/>
          <w:sz w:val="20"/>
          <w:szCs w:val="20"/>
        </w:rPr>
        <w:t xml:space="preserve"> </w:t>
      </w:r>
    </w:p>
    <w:p w:rsidR="00B43E3F" w:rsidRPr="004D2D8C" w:rsidRDefault="00A069E4" w:rsidP="002C3A1C">
      <w:pPr>
        <w:jc w:val="both"/>
        <w:rPr>
          <w:rFonts w:ascii="Comic Sans MS" w:hAnsi="Comic Sans MS"/>
          <w:b/>
          <w:sz w:val="20"/>
          <w:szCs w:val="20"/>
        </w:rPr>
      </w:pPr>
      <w:r w:rsidRPr="004D2D8C">
        <w:rPr>
          <w:rFonts w:ascii="Comic Sans MS" w:hAnsi="Comic Sans MS"/>
          <w:b/>
          <w:sz w:val="20"/>
          <w:szCs w:val="20"/>
        </w:rPr>
        <w:t>Okolišna i socijalna prihvatljivost</w:t>
      </w:r>
      <w:r w:rsidR="00B43E3F" w:rsidRPr="004D2D8C">
        <w:rPr>
          <w:rFonts w:ascii="Comic Sans MS" w:hAnsi="Comic Sans MS"/>
          <w:b/>
          <w:sz w:val="20"/>
          <w:szCs w:val="20"/>
        </w:rPr>
        <w:t xml:space="preserve">: </w:t>
      </w:r>
      <w:r w:rsidRPr="004D2D8C">
        <w:rPr>
          <w:rFonts w:ascii="Comic Sans MS" w:hAnsi="Comic Sans MS"/>
          <w:b/>
          <w:sz w:val="20"/>
          <w:szCs w:val="20"/>
        </w:rPr>
        <w:t>Upravljanje prilikama i rizicima</w:t>
      </w:r>
      <w:r w:rsidR="00B43E3F" w:rsidRPr="004D2D8C">
        <w:rPr>
          <w:rFonts w:ascii="Comic Sans MS" w:hAnsi="Comic Sans MS"/>
          <w:b/>
          <w:sz w:val="20"/>
          <w:szCs w:val="20"/>
        </w:rPr>
        <w:t xml:space="preserve"> </w:t>
      </w:r>
    </w:p>
    <w:p w:rsidR="00AD34CC" w:rsidRPr="004D2D8C" w:rsidRDefault="00B43E3F" w:rsidP="00556F60">
      <w:pPr>
        <w:pStyle w:val="ListParagraph"/>
        <w:numPr>
          <w:ilvl w:val="0"/>
          <w:numId w:val="124"/>
        </w:numPr>
        <w:jc w:val="both"/>
        <w:rPr>
          <w:rFonts w:ascii="Comic Sans MS" w:hAnsi="Comic Sans MS"/>
          <w:sz w:val="20"/>
          <w:szCs w:val="20"/>
        </w:rPr>
      </w:pPr>
      <w:r w:rsidRPr="004D2D8C">
        <w:rPr>
          <w:rFonts w:ascii="Comic Sans MS" w:hAnsi="Comic Sans MS"/>
          <w:sz w:val="20"/>
          <w:szCs w:val="20"/>
        </w:rPr>
        <w:t>Europ</w:t>
      </w:r>
      <w:r w:rsidR="00CD33FC" w:rsidRPr="004D2D8C">
        <w:rPr>
          <w:rFonts w:ascii="Comic Sans MS" w:hAnsi="Comic Sans MS"/>
          <w:sz w:val="20"/>
          <w:szCs w:val="20"/>
        </w:rPr>
        <w:t>ska investicijska b</w:t>
      </w:r>
      <w:r w:rsidRPr="004D2D8C">
        <w:rPr>
          <w:rFonts w:ascii="Comic Sans MS" w:hAnsi="Comic Sans MS"/>
          <w:sz w:val="20"/>
          <w:szCs w:val="20"/>
        </w:rPr>
        <w:t>ank</w:t>
      </w:r>
      <w:r w:rsidR="00CD33FC" w:rsidRPr="004D2D8C">
        <w:rPr>
          <w:rFonts w:ascii="Comic Sans MS" w:hAnsi="Comic Sans MS"/>
          <w:sz w:val="20"/>
          <w:szCs w:val="20"/>
        </w:rPr>
        <w:t>a</w:t>
      </w:r>
      <w:r w:rsidRPr="004D2D8C">
        <w:rPr>
          <w:rFonts w:ascii="Comic Sans MS" w:hAnsi="Comic Sans MS"/>
          <w:sz w:val="20"/>
          <w:szCs w:val="20"/>
        </w:rPr>
        <w:t xml:space="preserve"> (EIB) </w:t>
      </w:r>
      <w:r w:rsidR="00CD33FC" w:rsidRPr="004D2D8C">
        <w:rPr>
          <w:rFonts w:ascii="Comic Sans MS" w:hAnsi="Comic Sans MS"/>
          <w:sz w:val="20"/>
          <w:szCs w:val="20"/>
        </w:rPr>
        <w:t xml:space="preserve">zahtijeva da svi projekti koje financira </w:t>
      </w:r>
      <w:r w:rsidR="00AC0056" w:rsidRPr="004D2D8C">
        <w:rPr>
          <w:rFonts w:ascii="Comic Sans MS" w:hAnsi="Comic Sans MS"/>
          <w:sz w:val="20"/>
          <w:szCs w:val="20"/>
        </w:rPr>
        <w:t xml:space="preserve">budu </w:t>
      </w:r>
      <w:r w:rsidR="00CD33FC" w:rsidRPr="004D2D8C">
        <w:rPr>
          <w:rFonts w:ascii="Comic Sans MS" w:hAnsi="Comic Sans MS"/>
          <w:sz w:val="20"/>
          <w:szCs w:val="20"/>
        </w:rPr>
        <w:t xml:space="preserve">prihvatljivi u okolišnom i socijalnom smislu </w:t>
      </w:r>
      <w:r w:rsidR="00556F60" w:rsidRPr="004D2D8C">
        <w:rPr>
          <w:rFonts w:ascii="Comic Sans MS" w:hAnsi="Comic Sans MS"/>
          <w:sz w:val="20"/>
          <w:szCs w:val="20"/>
        </w:rPr>
        <w:t xml:space="preserve">i </w:t>
      </w:r>
      <w:r w:rsidR="00CD33FC" w:rsidRPr="004D2D8C">
        <w:rPr>
          <w:rFonts w:ascii="Comic Sans MS" w:hAnsi="Comic Sans MS"/>
          <w:sz w:val="20"/>
          <w:szCs w:val="20"/>
        </w:rPr>
        <w:t>primjen</w:t>
      </w:r>
      <w:r w:rsidR="00556F60" w:rsidRPr="004D2D8C">
        <w:rPr>
          <w:rFonts w:ascii="Comic Sans MS" w:hAnsi="Comic Sans MS"/>
          <w:sz w:val="20"/>
          <w:szCs w:val="20"/>
        </w:rPr>
        <w:t xml:space="preserve">juje </w:t>
      </w:r>
      <w:r w:rsidR="00CD33FC" w:rsidRPr="004D2D8C">
        <w:rPr>
          <w:rFonts w:ascii="Comic Sans MS" w:hAnsi="Comic Sans MS"/>
          <w:sz w:val="20"/>
          <w:szCs w:val="20"/>
        </w:rPr>
        <w:t>odgovarajuć</w:t>
      </w:r>
      <w:r w:rsidR="00556F60" w:rsidRPr="004D2D8C">
        <w:rPr>
          <w:rFonts w:ascii="Comic Sans MS" w:hAnsi="Comic Sans MS"/>
          <w:sz w:val="20"/>
          <w:szCs w:val="20"/>
        </w:rPr>
        <w:t>e</w:t>
      </w:r>
      <w:r w:rsidR="003743F9" w:rsidRPr="004D2D8C">
        <w:rPr>
          <w:rFonts w:ascii="Comic Sans MS" w:hAnsi="Comic Sans MS"/>
          <w:sz w:val="20"/>
          <w:szCs w:val="20"/>
        </w:rPr>
        <w:t xml:space="preserve"> </w:t>
      </w:r>
      <w:r w:rsidR="00BE56E2" w:rsidRPr="004D2D8C">
        <w:rPr>
          <w:rFonts w:ascii="Comic Sans MS" w:hAnsi="Comic Sans MS"/>
          <w:sz w:val="20"/>
          <w:szCs w:val="20"/>
        </w:rPr>
        <w:t xml:space="preserve">mjere </w:t>
      </w:r>
      <w:r w:rsidR="003743F9" w:rsidRPr="004D2D8C">
        <w:rPr>
          <w:rFonts w:ascii="Comic Sans MS" w:hAnsi="Comic Sans MS"/>
          <w:sz w:val="20"/>
          <w:szCs w:val="20"/>
        </w:rPr>
        <w:t>zaštit</w:t>
      </w:r>
      <w:r w:rsidR="00556F60" w:rsidRPr="004D2D8C">
        <w:rPr>
          <w:rFonts w:ascii="Comic Sans MS" w:hAnsi="Comic Sans MS"/>
          <w:sz w:val="20"/>
          <w:szCs w:val="20"/>
        </w:rPr>
        <w:t>e</w:t>
      </w:r>
      <w:r w:rsidR="003743F9" w:rsidRPr="004D2D8C">
        <w:rPr>
          <w:rFonts w:ascii="Comic Sans MS" w:hAnsi="Comic Sans MS"/>
          <w:sz w:val="20"/>
          <w:szCs w:val="20"/>
        </w:rPr>
        <w:t xml:space="preserve"> na sve svoje aktivnosti</w:t>
      </w:r>
      <w:r w:rsidRPr="004D2D8C">
        <w:rPr>
          <w:rFonts w:ascii="Comic Sans MS" w:hAnsi="Comic Sans MS"/>
          <w:sz w:val="20"/>
          <w:szCs w:val="20"/>
        </w:rPr>
        <w:t>.</w:t>
      </w:r>
      <w:r w:rsidR="003743F9" w:rsidRPr="004D2D8C">
        <w:rPr>
          <w:rFonts w:ascii="Comic Sans MS" w:hAnsi="Comic Sans MS"/>
          <w:sz w:val="20"/>
          <w:szCs w:val="20"/>
        </w:rPr>
        <w:t xml:space="preserve"> Nadalje, </w:t>
      </w:r>
      <w:r w:rsidRPr="004D2D8C">
        <w:rPr>
          <w:rFonts w:ascii="Comic Sans MS" w:hAnsi="Comic Sans MS"/>
          <w:sz w:val="20"/>
          <w:szCs w:val="20"/>
        </w:rPr>
        <w:t>Banka financ</w:t>
      </w:r>
      <w:r w:rsidR="003743F9" w:rsidRPr="004D2D8C">
        <w:rPr>
          <w:rFonts w:ascii="Comic Sans MS" w:hAnsi="Comic Sans MS"/>
          <w:sz w:val="20"/>
          <w:szCs w:val="20"/>
        </w:rPr>
        <w:t xml:space="preserve">ira </w:t>
      </w:r>
      <w:r w:rsidRPr="004D2D8C">
        <w:rPr>
          <w:rFonts w:ascii="Comic Sans MS" w:hAnsi="Comic Sans MS"/>
          <w:sz w:val="20"/>
          <w:szCs w:val="20"/>
        </w:rPr>
        <w:t>proje</w:t>
      </w:r>
      <w:r w:rsidR="003743F9" w:rsidRPr="004D2D8C">
        <w:rPr>
          <w:rFonts w:ascii="Comic Sans MS" w:hAnsi="Comic Sans MS"/>
          <w:sz w:val="20"/>
          <w:szCs w:val="20"/>
        </w:rPr>
        <w:t>k</w:t>
      </w:r>
      <w:r w:rsidRPr="004D2D8C">
        <w:rPr>
          <w:rFonts w:ascii="Comic Sans MS" w:hAnsi="Comic Sans MS"/>
          <w:sz w:val="20"/>
          <w:szCs w:val="20"/>
        </w:rPr>
        <w:t>t</w:t>
      </w:r>
      <w:r w:rsidR="003743F9" w:rsidRPr="004D2D8C">
        <w:rPr>
          <w:rFonts w:ascii="Comic Sans MS" w:hAnsi="Comic Sans MS"/>
          <w:sz w:val="20"/>
          <w:szCs w:val="20"/>
        </w:rPr>
        <w:t xml:space="preserve">e koji izravno doprinose okolišnoj održivosti i socijalnom blagostanju </w:t>
      </w:r>
      <w:r w:rsidR="00521610" w:rsidRPr="004D2D8C">
        <w:rPr>
          <w:rFonts w:ascii="Comic Sans MS" w:hAnsi="Comic Sans MS"/>
          <w:sz w:val="20"/>
          <w:szCs w:val="20"/>
        </w:rPr>
        <w:t>doprinoseći održivom razvoju putem pozitivnog doprinosa zaštiti i jačanju prirodnog ili izgrađenog okoliša i</w:t>
      </w:r>
      <w:r w:rsidRPr="004D2D8C">
        <w:rPr>
          <w:rFonts w:ascii="Comic Sans MS" w:hAnsi="Comic Sans MS"/>
          <w:sz w:val="20"/>
          <w:szCs w:val="20"/>
        </w:rPr>
        <w:t>/</w:t>
      </w:r>
      <w:r w:rsidR="00521610" w:rsidRPr="004D2D8C">
        <w:rPr>
          <w:rFonts w:ascii="Comic Sans MS" w:hAnsi="Comic Sans MS"/>
          <w:sz w:val="20"/>
          <w:szCs w:val="20"/>
        </w:rPr>
        <w:t>ili promociji održivih zajednica</w:t>
      </w:r>
      <w:r w:rsidRPr="004D2D8C">
        <w:rPr>
          <w:rFonts w:ascii="Comic Sans MS" w:hAnsi="Comic Sans MS"/>
          <w:sz w:val="20"/>
          <w:szCs w:val="20"/>
        </w:rPr>
        <w:t xml:space="preserve">. </w:t>
      </w:r>
    </w:p>
    <w:p w:rsidR="00AD34CC" w:rsidRPr="004D2D8C" w:rsidRDefault="00AD34CC" w:rsidP="00AD34CC">
      <w:pPr>
        <w:pStyle w:val="ListParagraph"/>
        <w:jc w:val="both"/>
        <w:rPr>
          <w:rFonts w:ascii="Comic Sans MS" w:hAnsi="Comic Sans MS"/>
          <w:sz w:val="20"/>
          <w:szCs w:val="20"/>
        </w:rPr>
      </w:pPr>
    </w:p>
    <w:p w:rsidR="00573434" w:rsidRPr="004D2D8C" w:rsidRDefault="00B43E3F"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EIB </w:t>
      </w:r>
      <w:r w:rsidR="007F2DC5" w:rsidRPr="004D2D8C">
        <w:rPr>
          <w:rFonts w:ascii="Comic Sans MS" w:hAnsi="Comic Sans MS"/>
          <w:sz w:val="20"/>
          <w:szCs w:val="20"/>
        </w:rPr>
        <w:t>primjenjuje s</w:t>
      </w:r>
      <w:r w:rsidR="00521610" w:rsidRPr="004D2D8C">
        <w:rPr>
          <w:rFonts w:ascii="Comic Sans MS" w:hAnsi="Comic Sans MS"/>
          <w:sz w:val="20"/>
          <w:szCs w:val="20"/>
        </w:rPr>
        <w:t>kup okolišnih i socijalnih zahtjeva</w:t>
      </w:r>
      <w:r w:rsidR="00383CD0" w:rsidRPr="004D2D8C">
        <w:rPr>
          <w:rFonts w:ascii="Comic Sans MS" w:hAnsi="Comic Sans MS"/>
          <w:sz w:val="20"/>
          <w:szCs w:val="20"/>
        </w:rPr>
        <w:t xml:space="preserve"> </w:t>
      </w:r>
      <w:r w:rsidR="00BE56E2" w:rsidRPr="004D2D8C">
        <w:rPr>
          <w:rFonts w:ascii="Comic Sans MS" w:hAnsi="Comic Sans MS"/>
          <w:sz w:val="20"/>
          <w:szCs w:val="20"/>
        </w:rPr>
        <w:t xml:space="preserve">za vrijeme </w:t>
      </w:r>
      <w:r w:rsidR="00383CD0" w:rsidRPr="004D2D8C">
        <w:rPr>
          <w:rFonts w:ascii="Comic Sans MS" w:hAnsi="Comic Sans MS"/>
          <w:sz w:val="20"/>
          <w:szCs w:val="20"/>
        </w:rPr>
        <w:t>cijelog projektnog ciklusa kako bi</w:t>
      </w:r>
      <w:r w:rsidR="00B2127F" w:rsidRPr="004D2D8C">
        <w:rPr>
          <w:rFonts w:ascii="Comic Sans MS" w:hAnsi="Comic Sans MS"/>
          <w:sz w:val="20"/>
          <w:szCs w:val="20"/>
        </w:rPr>
        <w:t xml:space="preserve"> pomogao ispunjenj</w:t>
      </w:r>
      <w:r w:rsidR="004E1982" w:rsidRPr="004D2D8C">
        <w:rPr>
          <w:rFonts w:ascii="Comic Sans MS" w:hAnsi="Comic Sans MS"/>
          <w:sz w:val="20"/>
          <w:szCs w:val="20"/>
        </w:rPr>
        <w:t>u</w:t>
      </w:r>
      <w:r w:rsidR="00B2127F" w:rsidRPr="004D2D8C">
        <w:rPr>
          <w:rFonts w:ascii="Comic Sans MS" w:hAnsi="Comic Sans MS"/>
          <w:sz w:val="20"/>
          <w:szCs w:val="20"/>
        </w:rPr>
        <w:t xml:space="preserve"> zahtjeva održivosti svih projekata koje financira</w:t>
      </w:r>
      <w:r w:rsidRPr="004D2D8C">
        <w:rPr>
          <w:rFonts w:ascii="Comic Sans MS" w:hAnsi="Comic Sans MS"/>
          <w:sz w:val="20"/>
          <w:szCs w:val="20"/>
        </w:rPr>
        <w:t>. Promot</w:t>
      </w:r>
      <w:r w:rsidR="00B2127F" w:rsidRPr="004D2D8C">
        <w:rPr>
          <w:rFonts w:ascii="Comic Sans MS" w:hAnsi="Comic Sans MS"/>
          <w:sz w:val="20"/>
          <w:szCs w:val="20"/>
        </w:rPr>
        <w:t>o</w:t>
      </w:r>
      <w:r w:rsidRPr="004D2D8C">
        <w:rPr>
          <w:rFonts w:ascii="Comic Sans MS" w:hAnsi="Comic Sans MS"/>
          <w:sz w:val="20"/>
          <w:szCs w:val="20"/>
        </w:rPr>
        <w:t>r</w:t>
      </w:r>
      <w:r w:rsidR="00B2127F" w:rsidRPr="004D2D8C">
        <w:rPr>
          <w:rFonts w:ascii="Comic Sans MS" w:hAnsi="Comic Sans MS"/>
          <w:sz w:val="20"/>
          <w:szCs w:val="20"/>
        </w:rPr>
        <w:t xml:space="preserve">i su odgovorni za pripremu, provođenje i realizaciju projekata koje Banka financira, a odgovorni su i za ispunjenje zahtjeva </w:t>
      </w:r>
      <w:r w:rsidR="00A67509" w:rsidRPr="004D2D8C">
        <w:rPr>
          <w:rFonts w:ascii="Comic Sans MS" w:hAnsi="Comic Sans MS"/>
          <w:sz w:val="20"/>
          <w:szCs w:val="20"/>
        </w:rPr>
        <w:t>Banke i to poglavito zahtjeva pravne usklađenosti</w:t>
      </w:r>
      <w:r w:rsidRPr="004D2D8C">
        <w:rPr>
          <w:rFonts w:ascii="Comic Sans MS" w:hAnsi="Comic Sans MS"/>
          <w:sz w:val="20"/>
          <w:szCs w:val="20"/>
        </w:rPr>
        <w:t>.</w:t>
      </w:r>
      <w:r w:rsidR="00A67509" w:rsidRPr="004D2D8C">
        <w:rPr>
          <w:rFonts w:ascii="Comic Sans MS" w:hAnsi="Comic Sans MS"/>
          <w:sz w:val="20"/>
          <w:szCs w:val="20"/>
        </w:rPr>
        <w:t xml:space="preserve"> </w:t>
      </w:r>
      <w:r w:rsidRPr="004D2D8C">
        <w:rPr>
          <w:rFonts w:ascii="Comic Sans MS" w:hAnsi="Comic Sans MS"/>
          <w:sz w:val="20"/>
          <w:szCs w:val="20"/>
        </w:rPr>
        <w:t>Bank</w:t>
      </w:r>
      <w:r w:rsidR="00A67509" w:rsidRPr="004D2D8C">
        <w:rPr>
          <w:rFonts w:ascii="Comic Sans MS" w:hAnsi="Comic Sans MS"/>
          <w:sz w:val="20"/>
          <w:szCs w:val="20"/>
        </w:rPr>
        <w:t>a</w:t>
      </w:r>
      <w:r w:rsidRPr="004D2D8C">
        <w:rPr>
          <w:rFonts w:ascii="Comic Sans MS" w:hAnsi="Comic Sans MS"/>
          <w:sz w:val="20"/>
          <w:szCs w:val="20"/>
        </w:rPr>
        <w:t xml:space="preserve"> </w:t>
      </w:r>
      <w:r w:rsidR="00A67509" w:rsidRPr="004D2D8C">
        <w:rPr>
          <w:rFonts w:ascii="Comic Sans MS" w:hAnsi="Comic Sans MS"/>
          <w:sz w:val="20"/>
          <w:szCs w:val="20"/>
        </w:rPr>
        <w:t>pruža podršku promotorima kako bi uspješno ispunili navedene odgovornosti</w:t>
      </w:r>
      <w:r w:rsidRPr="004D2D8C">
        <w:rPr>
          <w:rFonts w:ascii="Comic Sans MS" w:hAnsi="Comic Sans MS"/>
          <w:sz w:val="20"/>
          <w:szCs w:val="20"/>
        </w:rPr>
        <w:t xml:space="preserve">. </w:t>
      </w:r>
    </w:p>
    <w:p w:rsidR="00573434" w:rsidRPr="004D2D8C" w:rsidRDefault="00573434" w:rsidP="00573434">
      <w:pPr>
        <w:pStyle w:val="ListParagraph"/>
        <w:rPr>
          <w:rFonts w:ascii="Comic Sans MS" w:hAnsi="Comic Sans MS"/>
          <w:sz w:val="20"/>
          <w:szCs w:val="20"/>
        </w:rPr>
      </w:pPr>
    </w:p>
    <w:p w:rsidR="00573434" w:rsidRPr="004D2D8C" w:rsidRDefault="00AD7E54"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Kada je to moguće, </w:t>
      </w:r>
      <w:r w:rsidR="00B43E3F" w:rsidRPr="004D2D8C">
        <w:rPr>
          <w:rFonts w:ascii="Comic Sans MS" w:hAnsi="Comic Sans MS"/>
          <w:sz w:val="20"/>
          <w:szCs w:val="20"/>
        </w:rPr>
        <w:t xml:space="preserve">EIB </w:t>
      </w:r>
      <w:r w:rsidRPr="004D2D8C">
        <w:rPr>
          <w:rFonts w:ascii="Comic Sans MS" w:hAnsi="Comic Sans MS"/>
          <w:sz w:val="20"/>
          <w:szCs w:val="20"/>
        </w:rPr>
        <w:t xml:space="preserve">surađuje s promotorima na području dizajniranja projekata te </w:t>
      </w:r>
      <w:r w:rsidR="007B5F94" w:rsidRPr="004D2D8C">
        <w:rPr>
          <w:rFonts w:ascii="Comic Sans MS" w:hAnsi="Comic Sans MS"/>
          <w:sz w:val="20"/>
          <w:szCs w:val="20"/>
        </w:rPr>
        <w:t xml:space="preserve">po potrebi na području </w:t>
      </w:r>
      <w:r w:rsidRPr="004D2D8C">
        <w:rPr>
          <w:rFonts w:ascii="Comic Sans MS" w:hAnsi="Comic Sans MS"/>
          <w:sz w:val="20"/>
          <w:szCs w:val="20"/>
        </w:rPr>
        <w:t xml:space="preserve">identificiranja i vođenja </w:t>
      </w:r>
      <w:r w:rsidR="007B5F94" w:rsidRPr="004D2D8C">
        <w:rPr>
          <w:rFonts w:ascii="Comic Sans MS" w:hAnsi="Comic Sans MS"/>
          <w:sz w:val="20"/>
          <w:szCs w:val="20"/>
        </w:rPr>
        <w:t>okolišnih i socijalnih prilika. Kada je potrebno, B</w:t>
      </w:r>
      <w:r w:rsidR="00B43E3F" w:rsidRPr="004D2D8C">
        <w:rPr>
          <w:rFonts w:ascii="Comic Sans MS" w:hAnsi="Comic Sans MS"/>
          <w:sz w:val="20"/>
          <w:szCs w:val="20"/>
        </w:rPr>
        <w:t>ank</w:t>
      </w:r>
      <w:r w:rsidR="007B5F94" w:rsidRPr="004D2D8C">
        <w:rPr>
          <w:rFonts w:ascii="Comic Sans MS" w:hAnsi="Comic Sans MS"/>
          <w:sz w:val="20"/>
          <w:szCs w:val="20"/>
        </w:rPr>
        <w:t>a pomaže kod razvijanja odgovarajućih institucionalnih kapaciteta radi podrške projekt</w:t>
      </w:r>
      <w:r w:rsidR="004977B2" w:rsidRPr="004D2D8C">
        <w:rPr>
          <w:rFonts w:ascii="Comic Sans MS" w:hAnsi="Comic Sans MS"/>
          <w:sz w:val="20"/>
          <w:szCs w:val="20"/>
        </w:rPr>
        <w:t>ima</w:t>
      </w:r>
      <w:r w:rsidR="007B5F94" w:rsidRPr="004D2D8C">
        <w:rPr>
          <w:rFonts w:ascii="Comic Sans MS" w:hAnsi="Comic Sans MS"/>
          <w:sz w:val="20"/>
          <w:szCs w:val="20"/>
        </w:rPr>
        <w:t xml:space="preserve"> tijekom razdoblje provedbe i vođenja te </w:t>
      </w:r>
      <w:r w:rsidR="00FA3FDA" w:rsidRPr="004D2D8C">
        <w:rPr>
          <w:rFonts w:ascii="Comic Sans MS" w:hAnsi="Comic Sans MS"/>
          <w:sz w:val="20"/>
          <w:szCs w:val="20"/>
        </w:rPr>
        <w:t xml:space="preserve">surađuje </w:t>
      </w:r>
      <w:r w:rsidR="007B5F94" w:rsidRPr="004D2D8C">
        <w:rPr>
          <w:rFonts w:ascii="Comic Sans MS" w:hAnsi="Comic Sans MS"/>
          <w:sz w:val="20"/>
          <w:szCs w:val="20"/>
        </w:rPr>
        <w:t>s trećim stranama, uključujući organe vlasti države domaćina,</w:t>
      </w:r>
      <w:r w:rsidR="00FA3FDA" w:rsidRPr="004D2D8C">
        <w:rPr>
          <w:rFonts w:ascii="Comic Sans MS" w:hAnsi="Comic Sans MS"/>
          <w:sz w:val="20"/>
          <w:szCs w:val="20"/>
        </w:rPr>
        <w:t xml:space="preserve"> </w:t>
      </w:r>
      <w:r w:rsidR="007B5F94" w:rsidRPr="004D2D8C">
        <w:rPr>
          <w:rFonts w:ascii="Comic Sans MS" w:hAnsi="Comic Sans MS"/>
          <w:sz w:val="20"/>
          <w:szCs w:val="20"/>
        </w:rPr>
        <w:t>drug</w:t>
      </w:r>
      <w:r w:rsidR="00FA3FDA" w:rsidRPr="004D2D8C">
        <w:rPr>
          <w:rFonts w:ascii="Comic Sans MS" w:hAnsi="Comic Sans MS"/>
          <w:sz w:val="20"/>
          <w:szCs w:val="20"/>
        </w:rPr>
        <w:t>e financijere, druge institucije EU-a</w:t>
      </w:r>
      <w:r w:rsidR="00B43E3F" w:rsidRPr="004D2D8C">
        <w:rPr>
          <w:rFonts w:ascii="Comic Sans MS" w:hAnsi="Comic Sans MS"/>
          <w:sz w:val="20"/>
          <w:szCs w:val="20"/>
        </w:rPr>
        <w:t xml:space="preserve">, </w:t>
      </w:r>
      <w:r w:rsidR="00FA3FDA" w:rsidRPr="004D2D8C">
        <w:rPr>
          <w:rFonts w:ascii="Comic Sans MS" w:hAnsi="Comic Sans MS"/>
          <w:sz w:val="20"/>
          <w:szCs w:val="20"/>
        </w:rPr>
        <w:t>predstavnike civilnog društva te razna druga tijela s ciljem osiguranja uspješne provedbe i vođenja projekta te ostvarenja projektnih ciljeva</w:t>
      </w:r>
      <w:r w:rsidR="00B43E3F" w:rsidRPr="004D2D8C">
        <w:rPr>
          <w:rFonts w:ascii="Comic Sans MS" w:hAnsi="Comic Sans MS"/>
          <w:sz w:val="20"/>
          <w:szCs w:val="20"/>
        </w:rPr>
        <w:t xml:space="preserve">. </w:t>
      </w:r>
    </w:p>
    <w:p w:rsidR="00573434" w:rsidRPr="004D2D8C" w:rsidRDefault="00573434" w:rsidP="00573434">
      <w:pPr>
        <w:pStyle w:val="ListParagraph"/>
        <w:rPr>
          <w:rFonts w:ascii="Comic Sans MS" w:hAnsi="Comic Sans MS"/>
          <w:sz w:val="20"/>
          <w:szCs w:val="20"/>
        </w:rPr>
      </w:pPr>
    </w:p>
    <w:p w:rsidR="00573434" w:rsidRPr="004D2D8C" w:rsidRDefault="00B43E3F"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EIB </w:t>
      </w:r>
      <w:r w:rsidR="00AA789C" w:rsidRPr="004D2D8C">
        <w:rPr>
          <w:rFonts w:ascii="Comic Sans MS" w:hAnsi="Comic Sans MS"/>
          <w:sz w:val="20"/>
          <w:szCs w:val="20"/>
        </w:rPr>
        <w:t>potiče promotore</w:t>
      </w:r>
      <w:r w:rsidR="00FA3FDA" w:rsidRPr="004D2D8C">
        <w:rPr>
          <w:rFonts w:ascii="Comic Sans MS" w:hAnsi="Comic Sans MS"/>
          <w:sz w:val="20"/>
          <w:szCs w:val="20"/>
        </w:rPr>
        <w:t xml:space="preserve"> da iskoriste poslovne prilike koje nastaj</w:t>
      </w:r>
      <w:r w:rsidR="00274396" w:rsidRPr="004D2D8C">
        <w:rPr>
          <w:rFonts w:ascii="Comic Sans MS" w:hAnsi="Comic Sans MS"/>
          <w:sz w:val="20"/>
          <w:szCs w:val="20"/>
        </w:rPr>
        <w:t xml:space="preserve">u iz </w:t>
      </w:r>
      <w:r w:rsidR="00FA3FDA" w:rsidRPr="004D2D8C">
        <w:rPr>
          <w:rFonts w:ascii="Comic Sans MS" w:hAnsi="Comic Sans MS"/>
          <w:sz w:val="20"/>
          <w:szCs w:val="20"/>
        </w:rPr>
        <w:t>okolišn</w:t>
      </w:r>
      <w:r w:rsidR="00274396" w:rsidRPr="004D2D8C">
        <w:rPr>
          <w:rFonts w:ascii="Comic Sans MS" w:hAnsi="Comic Sans MS"/>
          <w:sz w:val="20"/>
          <w:szCs w:val="20"/>
        </w:rPr>
        <w:t>og</w:t>
      </w:r>
      <w:r w:rsidR="00FA3FDA" w:rsidRPr="004D2D8C">
        <w:rPr>
          <w:rFonts w:ascii="Comic Sans MS" w:hAnsi="Comic Sans MS"/>
          <w:sz w:val="20"/>
          <w:szCs w:val="20"/>
        </w:rPr>
        <w:t xml:space="preserve"> i socijaln</w:t>
      </w:r>
      <w:r w:rsidR="00274396" w:rsidRPr="004D2D8C">
        <w:rPr>
          <w:rFonts w:ascii="Comic Sans MS" w:hAnsi="Comic Sans MS"/>
          <w:sz w:val="20"/>
          <w:szCs w:val="20"/>
        </w:rPr>
        <w:t>og</w:t>
      </w:r>
      <w:r w:rsidR="00FA3FDA" w:rsidRPr="004D2D8C">
        <w:rPr>
          <w:rFonts w:ascii="Comic Sans MS" w:hAnsi="Comic Sans MS"/>
          <w:sz w:val="20"/>
          <w:szCs w:val="20"/>
        </w:rPr>
        <w:t xml:space="preserve"> kontekst</w:t>
      </w:r>
      <w:r w:rsidR="00274396" w:rsidRPr="004D2D8C">
        <w:rPr>
          <w:rFonts w:ascii="Comic Sans MS" w:hAnsi="Comic Sans MS"/>
          <w:sz w:val="20"/>
          <w:szCs w:val="20"/>
        </w:rPr>
        <w:t>a u vezi sa samim projektom</w:t>
      </w:r>
      <w:r w:rsidRPr="004D2D8C">
        <w:rPr>
          <w:rFonts w:ascii="Comic Sans MS" w:hAnsi="Comic Sans MS"/>
          <w:sz w:val="20"/>
          <w:szCs w:val="20"/>
        </w:rPr>
        <w:t xml:space="preserve">. </w:t>
      </w:r>
      <w:r w:rsidR="00274396" w:rsidRPr="004D2D8C">
        <w:rPr>
          <w:rFonts w:ascii="Comic Sans MS" w:hAnsi="Comic Sans MS"/>
          <w:sz w:val="20"/>
          <w:szCs w:val="20"/>
        </w:rPr>
        <w:t xml:space="preserve">U slučajevima kada bi poslovni rizici povezani s okolišnim i socijalnim pitanjima mogli ozbiljno ugroziti uspješno provođenje projekta, </w:t>
      </w:r>
      <w:r w:rsidRPr="004D2D8C">
        <w:rPr>
          <w:rFonts w:ascii="Comic Sans MS" w:hAnsi="Comic Sans MS"/>
          <w:sz w:val="20"/>
          <w:szCs w:val="20"/>
        </w:rPr>
        <w:t>Bank</w:t>
      </w:r>
      <w:r w:rsidR="00274396" w:rsidRPr="004D2D8C">
        <w:rPr>
          <w:rFonts w:ascii="Comic Sans MS" w:hAnsi="Comic Sans MS"/>
          <w:sz w:val="20"/>
          <w:szCs w:val="20"/>
        </w:rPr>
        <w:t>a pruža potporu predloženom projektu samo ako je promotor temeljem EIB-ovih relevantnih zahtjeva javnog konzultiranja razvio i dogovorio odgovarajuće mjere ublažavanja kao i ostale potrebne mjere prikladnog upravljanje rizicima</w:t>
      </w:r>
      <w:r w:rsidRPr="004D2D8C">
        <w:rPr>
          <w:rFonts w:ascii="Comic Sans MS" w:hAnsi="Comic Sans MS"/>
          <w:sz w:val="20"/>
          <w:szCs w:val="20"/>
        </w:rPr>
        <w:t xml:space="preserve">. </w:t>
      </w:r>
    </w:p>
    <w:p w:rsidR="00573434" w:rsidRPr="004D2D8C" w:rsidRDefault="00573434" w:rsidP="00573434">
      <w:pPr>
        <w:pStyle w:val="ListParagraph"/>
        <w:rPr>
          <w:rFonts w:ascii="Comic Sans MS" w:hAnsi="Comic Sans MS"/>
          <w:sz w:val="20"/>
          <w:szCs w:val="20"/>
        </w:rPr>
      </w:pPr>
    </w:p>
    <w:p w:rsidR="00573434" w:rsidRPr="004D2D8C" w:rsidRDefault="00AA789C"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Cilj </w:t>
      </w:r>
      <w:r w:rsidR="005B4DA1" w:rsidRPr="004D2D8C">
        <w:rPr>
          <w:rFonts w:ascii="Comic Sans MS" w:hAnsi="Comic Sans MS"/>
          <w:sz w:val="20"/>
          <w:szCs w:val="20"/>
        </w:rPr>
        <w:t xml:space="preserve">je </w:t>
      </w:r>
      <w:r w:rsidRPr="004D2D8C">
        <w:rPr>
          <w:rFonts w:ascii="Comic Sans MS" w:hAnsi="Comic Sans MS"/>
          <w:sz w:val="20"/>
          <w:szCs w:val="20"/>
        </w:rPr>
        <w:t>EIB-a za sve projekte</w:t>
      </w:r>
      <w:r w:rsidR="00274396" w:rsidRPr="004D2D8C">
        <w:rPr>
          <w:rFonts w:ascii="Comic Sans MS" w:hAnsi="Comic Sans MS"/>
          <w:sz w:val="20"/>
          <w:szCs w:val="20"/>
        </w:rPr>
        <w:t xml:space="preserve"> povećati okolišne i socijalne</w:t>
      </w:r>
      <w:r w:rsidR="00927CBA" w:rsidRPr="004D2D8C">
        <w:rPr>
          <w:rFonts w:ascii="Comic Sans MS" w:hAnsi="Comic Sans MS"/>
          <w:sz w:val="20"/>
          <w:szCs w:val="20"/>
        </w:rPr>
        <w:t xml:space="preserve"> pogodnosti</w:t>
      </w:r>
      <w:r w:rsidR="00443136" w:rsidRPr="004D2D8C">
        <w:rPr>
          <w:rFonts w:ascii="Comic Sans MS" w:hAnsi="Comic Sans MS"/>
          <w:sz w:val="20"/>
          <w:szCs w:val="20"/>
        </w:rPr>
        <w:t xml:space="preserve"> </w:t>
      </w:r>
      <w:r w:rsidR="005B4DA1" w:rsidRPr="004D2D8C">
        <w:rPr>
          <w:rFonts w:ascii="Comic Sans MS" w:hAnsi="Comic Sans MS"/>
          <w:sz w:val="20"/>
          <w:szCs w:val="20"/>
        </w:rPr>
        <w:t>te umanjiti okolišne i socijalne troškove povezane s projektima koje financira kada je to moguće ostvariti na troškovno učinkovit način u socio-ekonomskom smislu</w:t>
      </w:r>
      <w:r w:rsidR="00B43E3F" w:rsidRPr="004D2D8C">
        <w:rPr>
          <w:rFonts w:ascii="Comic Sans MS" w:hAnsi="Comic Sans MS"/>
          <w:sz w:val="20"/>
          <w:szCs w:val="20"/>
        </w:rPr>
        <w:t xml:space="preserve">. </w:t>
      </w:r>
    </w:p>
    <w:p w:rsidR="00573434" w:rsidRPr="004D2D8C" w:rsidRDefault="00573434" w:rsidP="00573434">
      <w:pPr>
        <w:pStyle w:val="ListParagraph"/>
        <w:rPr>
          <w:rFonts w:ascii="Comic Sans MS" w:hAnsi="Comic Sans MS"/>
          <w:sz w:val="20"/>
          <w:szCs w:val="20"/>
        </w:rPr>
      </w:pPr>
    </w:p>
    <w:p w:rsidR="00573434" w:rsidRPr="004D2D8C" w:rsidRDefault="00B43E3F"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EIB</w:t>
      </w:r>
      <w:r w:rsidR="001D1E5B" w:rsidRPr="004D2D8C">
        <w:rPr>
          <w:rFonts w:ascii="Comic Sans MS" w:hAnsi="Comic Sans MS"/>
          <w:sz w:val="20"/>
          <w:szCs w:val="20"/>
        </w:rPr>
        <w:t xml:space="preserve"> ne financira </w:t>
      </w:r>
      <w:r w:rsidR="005B4DA1" w:rsidRPr="004D2D8C">
        <w:rPr>
          <w:rFonts w:ascii="Comic Sans MS" w:hAnsi="Comic Sans MS"/>
          <w:sz w:val="20"/>
          <w:szCs w:val="20"/>
        </w:rPr>
        <w:t>projekte koji ne ispunjavaju njegove okolišne i socijalne zahtjeve sadržane u ovoj Izjavi</w:t>
      </w:r>
      <w:r w:rsidRPr="004D2D8C">
        <w:rPr>
          <w:rFonts w:ascii="Comic Sans MS" w:hAnsi="Comic Sans MS"/>
          <w:sz w:val="20"/>
          <w:szCs w:val="20"/>
        </w:rPr>
        <w:t xml:space="preserve">. </w:t>
      </w:r>
      <w:r w:rsidR="0074113E" w:rsidRPr="004D2D8C">
        <w:rPr>
          <w:rFonts w:ascii="Comic Sans MS" w:hAnsi="Comic Sans MS"/>
          <w:sz w:val="20"/>
          <w:szCs w:val="20"/>
        </w:rPr>
        <w:t xml:space="preserve">To obuhvaća projekte koji nisu usklađeni s odgovarajućom važećom okolišnom i socijalnom legislativom na nacionalnoj razini i na razini </w:t>
      </w:r>
      <w:r w:rsidRPr="004D2D8C">
        <w:rPr>
          <w:rFonts w:ascii="Comic Sans MS" w:hAnsi="Comic Sans MS"/>
          <w:sz w:val="20"/>
          <w:szCs w:val="20"/>
        </w:rPr>
        <w:t>EU</w:t>
      </w:r>
      <w:r w:rsidR="0074113E" w:rsidRPr="004D2D8C">
        <w:rPr>
          <w:rFonts w:ascii="Comic Sans MS" w:hAnsi="Comic Sans MS"/>
          <w:sz w:val="20"/>
          <w:szCs w:val="20"/>
        </w:rPr>
        <w:t>-a</w:t>
      </w:r>
      <w:r w:rsidRPr="004D2D8C">
        <w:rPr>
          <w:rFonts w:ascii="Comic Sans MS" w:hAnsi="Comic Sans MS"/>
          <w:sz w:val="20"/>
          <w:szCs w:val="20"/>
        </w:rPr>
        <w:t xml:space="preserve">. </w:t>
      </w:r>
      <w:r w:rsidR="0074113E" w:rsidRPr="004D2D8C">
        <w:rPr>
          <w:rFonts w:ascii="Comic Sans MS" w:hAnsi="Comic Sans MS"/>
          <w:sz w:val="20"/>
          <w:szCs w:val="20"/>
        </w:rPr>
        <w:t xml:space="preserve">Zahtjevi </w:t>
      </w:r>
      <w:r w:rsidRPr="004D2D8C">
        <w:rPr>
          <w:rFonts w:ascii="Comic Sans MS" w:hAnsi="Comic Sans MS"/>
          <w:sz w:val="20"/>
          <w:szCs w:val="20"/>
        </w:rPr>
        <w:t>Bank</w:t>
      </w:r>
      <w:r w:rsidR="0074113E" w:rsidRPr="004D2D8C">
        <w:rPr>
          <w:rFonts w:ascii="Comic Sans MS" w:hAnsi="Comic Sans MS"/>
          <w:sz w:val="20"/>
          <w:szCs w:val="20"/>
        </w:rPr>
        <w:t xml:space="preserve">e mogu i nadilaziti </w:t>
      </w:r>
      <w:r w:rsidR="00B977FF" w:rsidRPr="004D2D8C">
        <w:rPr>
          <w:rFonts w:ascii="Comic Sans MS" w:hAnsi="Comic Sans MS"/>
          <w:sz w:val="20"/>
          <w:szCs w:val="20"/>
        </w:rPr>
        <w:t xml:space="preserve">zahtjeve utvrđene </w:t>
      </w:r>
      <w:r w:rsidR="0074113E" w:rsidRPr="004D2D8C">
        <w:rPr>
          <w:rFonts w:ascii="Comic Sans MS" w:hAnsi="Comic Sans MS"/>
          <w:sz w:val="20"/>
          <w:szCs w:val="20"/>
        </w:rPr>
        <w:t xml:space="preserve">legislativom. </w:t>
      </w:r>
      <w:r w:rsidRPr="004D2D8C">
        <w:rPr>
          <w:rFonts w:ascii="Comic Sans MS" w:hAnsi="Comic Sans MS"/>
          <w:sz w:val="20"/>
          <w:szCs w:val="20"/>
        </w:rPr>
        <w:t>Bank</w:t>
      </w:r>
      <w:r w:rsidR="0074113E" w:rsidRPr="004D2D8C">
        <w:rPr>
          <w:rFonts w:ascii="Comic Sans MS" w:hAnsi="Comic Sans MS"/>
          <w:sz w:val="20"/>
          <w:szCs w:val="20"/>
        </w:rPr>
        <w:t>a ne financira p</w:t>
      </w:r>
      <w:r w:rsidRPr="004D2D8C">
        <w:rPr>
          <w:rFonts w:ascii="Comic Sans MS" w:hAnsi="Comic Sans MS"/>
          <w:sz w:val="20"/>
          <w:szCs w:val="20"/>
        </w:rPr>
        <w:t>roje</w:t>
      </w:r>
      <w:r w:rsidR="0074113E" w:rsidRPr="004D2D8C">
        <w:rPr>
          <w:rFonts w:ascii="Comic Sans MS" w:hAnsi="Comic Sans MS"/>
          <w:sz w:val="20"/>
          <w:szCs w:val="20"/>
        </w:rPr>
        <w:t>k</w:t>
      </w:r>
      <w:r w:rsidRPr="004D2D8C">
        <w:rPr>
          <w:rFonts w:ascii="Comic Sans MS" w:hAnsi="Comic Sans MS"/>
          <w:sz w:val="20"/>
          <w:szCs w:val="20"/>
        </w:rPr>
        <w:t>t</w:t>
      </w:r>
      <w:r w:rsidR="0074113E" w:rsidRPr="004D2D8C">
        <w:rPr>
          <w:rFonts w:ascii="Comic Sans MS" w:hAnsi="Comic Sans MS"/>
          <w:sz w:val="20"/>
          <w:szCs w:val="20"/>
        </w:rPr>
        <w:t xml:space="preserve">e koji </w:t>
      </w:r>
      <w:r w:rsidR="00B54FD3" w:rsidRPr="004D2D8C">
        <w:rPr>
          <w:rFonts w:ascii="Comic Sans MS" w:hAnsi="Comic Sans MS"/>
          <w:sz w:val="20"/>
          <w:szCs w:val="20"/>
        </w:rPr>
        <w:t xml:space="preserve">rezultiraju </w:t>
      </w:r>
      <w:r w:rsidR="0074113E" w:rsidRPr="004D2D8C">
        <w:rPr>
          <w:rFonts w:ascii="Comic Sans MS" w:hAnsi="Comic Sans MS"/>
          <w:sz w:val="20"/>
          <w:szCs w:val="20"/>
        </w:rPr>
        <w:t>kršenj</w:t>
      </w:r>
      <w:r w:rsidR="00B54FD3" w:rsidRPr="004D2D8C">
        <w:rPr>
          <w:rFonts w:ascii="Comic Sans MS" w:hAnsi="Comic Sans MS"/>
          <w:sz w:val="20"/>
          <w:szCs w:val="20"/>
        </w:rPr>
        <w:t>em</w:t>
      </w:r>
      <w:r w:rsidR="0074113E" w:rsidRPr="004D2D8C">
        <w:rPr>
          <w:rFonts w:ascii="Comic Sans MS" w:hAnsi="Comic Sans MS"/>
          <w:sz w:val="20"/>
          <w:szCs w:val="20"/>
        </w:rPr>
        <w:t xml:space="preserve"> ljudskih prava</w:t>
      </w:r>
      <w:r w:rsidRPr="004D2D8C">
        <w:rPr>
          <w:rFonts w:ascii="Comic Sans MS" w:hAnsi="Comic Sans MS"/>
          <w:sz w:val="20"/>
          <w:szCs w:val="20"/>
        </w:rPr>
        <w:t>.</w:t>
      </w:r>
    </w:p>
    <w:p w:rsidR="00573434" w:rsidRPr="004D2D8C" w:rsidRDefault="00573434" w:rsidP="00573434">
      <w:pPr>
        <w:pStyle w:val="ListParagraph"/>
        <w:rPr>
          <w:rFonts w:ascii="Comic Sans MS" w:hAnsi="Comic Sans MS"/>
          <w:sz w:val="20"/>
          <w:szCs w:val="20"/>
        </w:rPr>
      </w:pPr>
    </w:p>
    <w:p w:rsidR="00573434" w:rsidRPr="004D2D8C" w:rsidRDefault="0074113E"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Obveze promotora u vezi projekata odobrenih za EIB-ovo financiranje koje proizlaze iz okolišnih i socijalnih zahtjeva </w:t>
      </w:r>
      <w:r w:rsidR="00B43E3F" w:rsidRPr="004D2D8C">
        <w:rPr>
          <w:rFonts w:ascii="Comic Sans MS" w:hAnsi="Comic Sans MS"/>
          <w:sz w:val="20"/>
          <w:szCs w:val="20"/>
        </w:rPr>
        <w:t>Bank</w:t>
      </w:r>
      <w:r w:rsidRPr="004D2D8C">
        <w:rPr>
          <w:rFonts w:ascii="Comic Sans MS" w:hAnsi="Comic Sans MS"/>
          <w:sz w:val="20"/>
          <w:szCs w:val="20"/>
        </w:rPr>
        <w:t xml:space="preserve">e opisane su u Ugovoru o financiranju </w:t>
      </w:r>
      <w:r w:rsidR="00EF0B7F" w:rsidRPr="004D2D8C">
        <w:rPr>
          <w:rFonts w:ascii="Comic Sans MS" w:hAnsi="Comic Sans MS"/>
          <w:sz w:val="20"/>
          <w:szCs w:val="20"/>
        </w:rPr>
        <w:t xml:space="preserve">što se potpisuju između </w:t>
      </w:r>
      <w:r w:rsidR="00B43E3F" w:rsidRPr="004D2D8C">
        <w:rPr>
          <w:rFonts w:ascii="Comic Sans MS" w:hAnsi="Comic Sans MS"/>
          <w:sz w:val="20"/>
          <w:szCs w:val="20"/>
        </w:rPr>
        <w:t>EIB</w:t>
      </w:r>
      <w:r w:rsidR="00EF0B7F" w:rsidRPr="004D2D8C">
        <w:rPr>
          <w:rFonts w:ascii="Comic Sans MS" w:hAnsi="Comic Sans MS"/>
          <w:sz w:val="20"/>
          <w:szCs w:val="20"/>
        </w:rPr>
        <w:t>-a i korisnika</w:t>
      </w:r>
      <w:r w:rsidR="00B43E3F" w:rsidRPr="004D2D8C">
        <w:rPr>
          <w:rFonts w:ascii="Comic Sans MS" w:hAnsi="Comic Sans MS"/>
          <w:sz w:val="20"/>
          <w:szCs w:val="20"/>
        </w:rPr>
        <w:t>.</w:t>
      </w:r>
    </w:p>
    <w:p w:rsidR="00573434" w:rsidRPr="004D2D8C" w:rsidRDefault="00573434" w:rsidP="00573434">
      <w:pPr>
        <w:pStyle w:val="ListParagraph"/>
        <w:rPr>
          <w:rFonts w:ascii="Comic Sans MS" w:hAnsi="Comic Sans MS"/>
          <w:sz w:val="20"/>
          <w:szCs w:val="20"/>
        </w:rPr>
      </w:pPr>
    </w:p>
    <w:p w:rsidR="005A7AA6" w:rsidRPr="004D2D8C" w:rsidRDefault="00B43E3F"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EIB</w:t>
      </w:r>
      <w:r w:rsidR="005A7AA6" w:rsidRPr="004D2D8C">
        <w:rPr>
          <w:rFonts w:ascii="Comic Sans MS" w:hAnsi="Comic Sans MS"/>
          <w:sz w:val="20"/>
          <w:szCs w:val="20"/>
        </w:rPr>
        <w:t xml:space="preserve"> prati okolišnu i socijalnu uspješnost projekata</w:t>
      </w:r>
      <w:r w:rsidR="007E53D4" w:rsidRPr="004D2D8C">
        <w:rPr>
          <w:rFonts w:ascii="Comic Sans MS" w:hAnsi="Comic Sans MS"/>
          <w:sz w:val="20"/>
          <w:szCs w:val="20"/>
        </w:rPr>
        <w:t xml:space="preserve"> koje financira, poglavito ispunjenje svih specifičnih obveza iz Ugovora o financiranju</w:t>
      </w:r>
      <w:r w:rsidRPr="004D2D8C">
        <w:rPr>
          <w:rFonts w:ascii="Comic Sans MS" w:hAnsi="Comic Sans MS"/>
          <w:sz w:val="20"/>
          <w:szCs w:val="20"/>
        </w:rPr>
        <w:t>.</w:t>
      </w:r>
      <w:r w:rsidR="007E53D4" w:rsidRPr="004D2D8C">
        <w:rPr>
          <w:rFonts w:ascii="Comic Sans MS" w:hAnsi="Comic Sans MS"/>
          <w:sz w:val="20"/>
          <w:szCs w:val="20"/>
        </w:rPr>
        <w:t xml:space="preserve"> Opseg praćenja </w:t>
      </w:r>
      <w:r w:rsidR="005074BD" w:rsidRPr="004D2D8C">
        <w:rPr>
          <w:rFonts w:ascii="Comic Sans MS" w:hAnsi="Comic Sans MS"/>
          <w:sz w:val="20"/>
          <w:szCs w:val="20"/>
        </w:rPr>
        <w:t xml:space="preserve">predstavlja </w:t>
      </w:r>
      <w:r w:rsidR="007E53D4" w:rsidRPr="004D2D8C">
        <w:rPr>
          <w:rFonts w:ascii="Comic Sans MS" w:hAnsi="Comic Sans MS"/>
          <w:sz w:val="20"/>
          <w:szCs w:val="20"/>
        </w:rPr>
        <w:t>funkcij</w:t>
      </w:r>
      <w:r w:rsidR="005074BD" w:rsidRPr="004D2D8C">
        <w:rPr>
          <w:rFonts w:ascii="Comic Sans MS" w:hAnsi="Comic Sans MS"/>
          <w:sz w:val="20"/>
          <w:szCs w:val="20"/>
        </w:rPr>
        <w:t>u</w:t>
      </w:r>
      <w:r w:rsidR="007E53D4" w:rsidRPr="004D2D8C">
        <w:rPr>
          <w:rFonts w:ascii="Comic Sans MS" w:hAnsi="Comic Sans MS"/>
          <w:sz w:val="20"/>
          <w:szCs w:val="20"/>
        </w:rPr>
        <w:t xml:space="preserve"> obilježja projekta, kapaciteta promotora i konteksta zemlje</w:t>
      </w:r>
      <w:r w:rsidRPr="004D2D8C">
        <w:rPr>
          <w:rFonts w:ascii="Comic Sans MS" w:hAnsi="Comic Sans MS"/>
          <w:sz w:val="20"/>
          <w:szCs w:val="20"/>
        </w:rPr>
        <w:t>.</w:t>
      </w:r>
      <w:r w:rsidR="007E53D4" w:rsidRPr="004D2D8C">
        <w:rPr>
          <w:rFonts w:ascii="Comic Sans MS" w:hAnsi="Comic Sans MS"/>
          <w:sz w:val="20"/>
          <w:szCs w:val="20"/>
        </w:rPr>
        <w:t xml:space="preserve"> Praćenje koje provodi Banka temelji se na izvještajima koja dostavlja </w:t>
      </w:r>
      <w:r w:rsidRPr="004D2D8C">
        <w:rPr>
          <w:rFonts w:ascii="Comic Sans MS" w:hAnsi="Comic Sans MS"/>
          <w:sz w:val="20"/>
          <w:szCs w:val="20"/>
        </w:rPr>
        <w:t>promot</w:t>
      </w:r>
      <w:r w:rsidR="007E53D4" w:rsidRPr="004D2D8C">
        <w:rPr>
          <w:rFonts w:ascii="Comic Sans MS" w:hAnsi="Comic Sans MS"/>
          <w:sz w:val="20"/>
          <w:szCs w:val="20"/>
        </w:rPr>
        <w:t>o</w:t>
      </w:r>
      <w:r w:rsidRPr="004D2D8C">
        <w:rPr>
          <w:rFonts w:ascii="Comic Sans MS" w:hAnsi="Comic Sans MS"/>
          <w:sz w:val="20"/>
          <w:szCs w:val="20"/>
        </w:rPr>
        <w:t xml:space="preserve">r. </w:t>
      </w:r>
      <w:r w:rsidR="009F1AF4" w:rsidRPr="004D2D8C">
        <w:rPr>
          <w:rFonts w:ascii="Comic Sans MS" w:hAnsi="Comic Sans MS"/>
          <w:sz w:val="20"/>
          <w:szCs w:val="20"/>
        </w:rPr>
        <w:t>Praćenje se m</w:t>
      </w:r>
      <w:r w:rsidR="007E53D4" w:rsidRPr="004D2D8C">
        <w:rPr>
          <w:rFonts w:ascii="Comic Sans MS" w:hAnsi="Comic Sans MS"/>
          <w:sz w:val="20"/>
          <w:szCs w:val="20"/>
        </w:rPr>
        <w:t>ože nadopun</w:t>
      </w:r>
      <w:r w:rsidR="009F1AF4" w:rsidRPr="004D2D8C">
        <w:rPr>
          <w:rFonts w:ascii="Comic Sans MS" w:hAnsi="Comic Sans MS"/>
          <w:sz w:val="20"/>
          <w:szCs w:val="20"/>
        </w:rPr>
        <w:t xml:space="preserve">iti </w:t>
      </w:r>
      <w:r w:rsidR="007E53D4" w:rsidRPr="004D2D8C">
        <w:rPr>
          <w:rFonts w:ascii="Comic Sans MS" w:hAnsi="Comic Sans MS"/>
          <w:sz w:val="20"/>
          <w:szCs w:val="20"/>
        </w:rPr>
        <w:t>posjetima Banke te drugim izvorima informacija uključujući i informacije od uključenih zajednica</w:t>
      </w:r>
      <w:r w:rsidRPr="004D2D8C">
        <w:rPr>
          <w:rFonts w:ascii="Comic Sans MS" w:hAnsi="Comic Sans MS"/>
          <w:sz w:val="20"/>
          <w:szCs w:val="20"/>
        </w:rPr>
        <w:t xml:space="preserve">. </w:t>
      </w:r>
    </w:p>
    <w:p w:rsidR="005A7AA6" w:rsidRPr="004D2D8C" w:rsidRDefault="005A7AA6" w:rsidP="005A7AA6">
      <w:pPr>
        <w:pStyle w:val="ListParagraph"/>
        <w:rPr>
          <w:rFonts w:ascii="Comic Sans MS" w:hAnsi="Comic Sans MS"/>
          <w:sz w:val="20"/>
          <w:szCs w:val="20"/>
        </w:rPr>
      </w:pPr>
    </w:p>
    <w:p w:rsidR="005A7AA6" w:rsidRPr="004D2D8C" w:rsidRDefault="007E53D4"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Nepoštivanje ugovora i</w:t>
      </w:r>
      <w:r w:rsidR="00B43E3F" w:rsidRPr="004D2D8C">
        <w:rPr>
          <w:rFonts w:ascii="Comic Sans MS" w:hAnsi="Comic Sans MS"/>
          <w:sz w:val="20"/>
          <w:szCs w:val="20"/>
        </w:rPr>
        <w:t>/</w:t>
      </w:r>
      <w:r w:rsidRPr="004D2D8C">
        <w:rPr>
          <w:rFonts w:ascii="Comic Sans MS" w:hAnsi="Comic Sans MS"/>
          <w:sz w:val="20"/>
          <w:szCs w:val="20"/>
        </w:rPr>
        <w:t>ili loša provedba projekta u drugim pogledima zahtijeva promotorove korektivne aktivnosti u dogovoru s</w:t>
      </w:r>
      <w:r w:rsidR="00B43E3F" w:rsidRPr="004D2D8C">
        <w:rPr>
          <w:rFonts w:ascii="Comic Sans MS" w:hAnsi="Comic Sans MS"/>
          <w:sz w:val="20"/>
          <w:szCs w:val="20"/>
        </w:rPr>
        <w:t xml:space="preserve"> Bank</w:t>
      </w:r>
      <w:r w:rsidRPr="004D2D8C">
        <w:rPr>
          <w:rFonts w:ascii="Comic Sans MS" w:hAnsi="Comic Sans MS"/>
          <w:sz w:val="20"/>
          <w:szCs w:val="20"/>
        </w:rPr>
        <w:t>om</w:t>
      </w:r>
      <w:r w:rsidR="00B43E3F" w:rsidRPr="004D2D8C">
        <w:rPr>
          <w:rFonts w:ascii="Comic Sans MS" w:hAnsi="Comic Sans MS"/>
          <w:sz w:val="20"/>
          <w:szCs w:val="20"/>
        </w:rPr>
        <w:t xml:space="preserve">. </w:t>
      </w:r>
      <w:r w:rsidRPr="004D2D8C">
        <w:rPr>
          <w:rFonts w:ascii="Comic Sans MS" w:hAnsi="Comic Sans MS"/>
          <w:sz w:val="20"/>
          <w:szCs w:val="20"/>
        </w:rPr>
        <w:t>Ukoliko promoto</w:t>
      </w:r>
      <w:r w:rsidR="00B43E3F" w:rsidRPr="004D2D8C">
        <w:rPr>
          <w:rFonts w:ascii="Comic Sans MS" w:hAnsi="Comic Sans MS"/>
          <w:sz w:val="20"/>
          <w:szCs w:val="20"/>
        </w:rPr>
        <w:t>r</w:t>
      </w:r>
      <w:r w:rsidRPr="004D2D8C">
        <w:rPr>
          <w:rFonts w:ascii="Comic Sans MS" w:hAnsi="Comic Sans MS"/>
          <w:sz w:val="20"/>
          <w:szCs w:val="20"/>
        </w:rPr>
        <w:t xml:space="preserve"> s Bankom ne dogovori takve aktivnosti i ne poduzme odgovarajuće mjere</w:t>
      </w:r>
      <w:r w:rsidR="009F1AF4" w:rsidRPr="004D2D8C">
        <w:rPr>
          <w:rFonts w:ascii="Comic Sans MS" w:hAnsi="Comic Sans MS"/>
          <w:sz w:val="20"/>
          <w:szCs w:val="20"/>
        </w:rPr>
        <w:t xml:space="preserve">, to </w:t>
      </w:r>
      <w:r w:rsidRPr="004D2D8C">
        <w:rPr>
          <w:rFonts w:ascii="Comic Sans MS" w:hAnsi="Comic Sans MS"/>
          <w:sz w:val="20"/>
          <w:szCs w:val="20"/>
        </w:rPr>
        <w:t xml:space="preserve">može dovesti do financijskih i pravnih posljedica </w:t>
      </w:r>
      <w:r w:rsidR="009F1AF4" w:rsidRPr="004D2D8C">
        <w:rPr>
          <w:rFonts w:ascii="Comic Sans MS" w:hAnsi="Comic Sans MS"/>
          <w:sz w:val="20"/>
          <w:szCs w:val="20"/>
        </w:rPr>
        <w:t xml:space="preserve">na strani </w:t>
      </w:r>
      <w:r w:rsidR="00B43E3F" w:rsidRPr="004D2D8C">
        <w:rPr>
          <w:rFonts w:ascii="Comic Sans MS" w:hAnsi="Comic Sans MS"/>
          <w:sz w:val="20"/>
          <w:szCs w:val="20"/>
        </w:rPr>
        <w:t>promot</w:t>
      </w:r>
      <w:r w:rsidRPr="004D2D8C">
        <w:rPr>
          <w:rFonts w:ascii="Comic Sans MS" w:hAnsi="Comic Sans MS"/>
          <w:sz w:val="20"/>
          <w:szCs w:val="20"/>
        </w:rPr>
        <w:t>o</w:t>
      </w:r>
      <w:r w:rsidR="00B43E3F" w:rsidRPr="004D2D8C">
        <w:rPr>
          <w:rFonts w:ascii="Comic Sans MS" w:hAnsi="Comic Sans MS"/>
          <w:sz w:val="20"/>
          <w:szCs w:val="20"/>
        </w:rPr>
        <w:t>r</w:t>
      </w:r>
      <w:r w:rsidRPr="004D2D8C">
        <w:rPr>
          <w:rFonts w:ascii="Comic Sans MS" w:hAnsi="Comic Sans MS"/>
          <w:sz w:val="20"/>
          <w:szCs w:val="20"/>
        </w:rPr>
        <w:t xml:space="preserve">a, </w:t>
      </w:r>
      <w:r w:rsidR="009F1AF4" w:rsidRPr="004D2D8C">
        <w:rPr>
          <w:rFonts w:ascii="Comic Sans MS" w:hAnsi="Comic Sans MS"/>
          <w:sz w:val="20"/>
          <w:szCs w:val="20"/>
        </w:rPr>
        <w:t xml:space="preserve">kao što je, </w:t>
      </w:r>
      <w:r w:rsidRPr="004D2D8C">
        <w:rPr>
          <w:rFonts w:ascii="Comic Sans MS" w:hAnsi="Comic Sans MS"/>
          <w:sz w:val="20"/>
          <w:szCs w:val="20"/>
        </w:rPr>
        <w:t>primjerice</w:t>
      </w:r>
      <w:r w:rsidR="009F1AF4" w:rsidRPr="004D2D8C">
        <w:rPr>
          <w:rFonts w:ascii="Comic Sans MS" w:hAnsi="Comic Sans MS"/>
          <w:sz w:val="20"/>
          <w:szCs w:val="20"/>
        </w:rPr>
        <w:t>,</w:t>
      </w:r>
      <w:r w:rsidRPr="004D2D8C">
        <w:rPr>
          <w:rFonts w:ascii="Comic Sans MS" w:hAnsi="Comic Sans MS"/>
          <w:sz w:val="20"/>
          <w:szCs w:val="20"/>
        </w:rPr>
        <w:t xml:space="preserve"> obustava isplata i</w:t>
      </w:r>
      <w:r w:rsidR="00B43E3F" w:rsidRPr="004D2D8C">
        <w:rPr>
          <w:rFonts w:ascii="Comic Sans MS" w:hAnsi="Comic Sans MS"/>
          <w:sz w:val="20"/>
          <w:szCs w:val="20"/>
        </w:rPr>
        <w:t>/</w:t>
      </w:r>
      <w:r w:rsidRPr="004D2D8C">
        <w:rPr>
          <w:rFonts w:ascii="Comic Sans MS" w:hAnsi="Comic Sans MS"/>
          <w:sz w:val="20"/>
          <w:szCs w:val="20"/>
        </w:rPr>
        <w:t xml:space="preserve">ili povrat neotplaćenih sredstava u slučaju da </w:t>
      </w:r>
      <w:r w:rsidR="00B43E3F" w:rsidRPr="004D2D8C">
        <w:rPr>
          <w:rFonts w:ascii="Comic Sans MS" w:hAnsi="Comic Sans MS"/>
          <w:sz w:val="20"/>
          <w:szCs w:val="20"/>
        </w:rPr>
        <w:t>promot</w:t>
      </w:r>
      <w:r w:rsidRPr="004D2D8C">
        <w:rPr>
          <w:rFonts w:ascii="Comic Sans MS" w:hAnsi="Comic Sans MS"/>
          <w:sz w:val="20"/>
          <w:szCs w:val="20"/>
        </w:rPr>
        <w:t>o</w:t>
      </w:r>
      <w:r w:rsidR="00B43E3F" w:rsidRPr="004D2D8C">
        <w:rPr>
          <w:rFonts w:ascii="Comic Sans MS" w:hAnsi="Comic Sans MS"/>
          <w:sz w:val="20"/>
          <w:szCs w:val="20"/>
        </w:rPr>
        <w:t xml:space="preserve">r </w:t>
      </w:r>
      <w:r w:rsidRPr="004D2D8C">
        <w:rPr>
          <w:rFonts w:ascii="Comic Sans MS" w:hAnsi="Comic Sans MS"/>
          <w:sz w:val="20"/>
          <w:szCs w:val="20"/>
        </w:rPr>
        <w:t xml:space="preserve">u razumnom vremenskom roku ne ispuni zahtjeve </w:t>
      </w:r>
      <w:r w:rsidR="00B43E3F" w:rsidRPr="004D2D8C">
        <w:rPr>
          <w:rFonts w:ascii="Comic Sans MS" w:hAnsi="Comic Sans MS"/>
          <w:sz w:val="20"/>
          <w:szCs w:val="20"/>
        </w:rPr>
        <w:t>Bank</w:t>
      </w:r>
      <w:r w:rsidRPr="004D2D8C">
        <w:rPr>
          <w:rFonts w:ascii="Comic Sans MS" w:hAnsi="Comic Sans MS"/>
          <w:sz w:val="20"/>
          <w:szCs w:val="20"/>
        </w:rPr>
        <w:t>e</w:t>
      </w:r>
      <w:r w:rsidR="00B43E3F" w:rsidRPr="004D2D8C">
        <w:rPr>
          <w:rFonts w:ascii="Comic Sans MS" w:hAnsi="Comic Sans MS"/>
          <w:sz w:val="20"/>
          <w:szCs w:val="20"/>
        </w:rPr>
        <w:t xml:space="preserve">. </w:t>
      </w:r>
    </w:p>
    <w:p w:rsidR="005A7AA6" w:rsidRPr="004D2D8C" w:rsidRDefault="005A7AA6" w:rsidP="005A7AA6">
      <w:pPr>
        <w:pStyle w:val="ListParagraph"/>
        <w:rPr>
          <w:rFonts w:ascii="Comic Sans MS" w:hAnsi="Comic Sans MS"/>
          <w:sz w:val="20"/>
          <w:szCs w:val="20"/>
        </w:rPr>
      </w:pPr>
    </w:p>
    <w:p w:rsidR="005A7AA6" w:rsidRPr="004D2D8C" w:rsidRDefault="00B07798" w:rsidP="005A7AA6">
      <w:pPr>
        <w:pStyle w:val="ListParagraph"/>
        <w:jc w:val="both"/>
        <w:rPr>
          <w:rFonts w:ascii="Comic Sans MS" w:hAnsi="Comic Sans MS"/>
          <w:sz w:val="20"/>
          <w:szCs w:val="20"/>
          <w:u w:val="single"/>
        </w:rPr>
      </w:pPr>
      <w:r w:rsidRPr="004D2D8C">
        <w:rPr>
          <w:rFonts w:ascii="Comic Sans MS" w:hAnsi="Comic Sans MS"/>
          <w:sz w:val="20"/>
          <w:szCs w:val="20"/>
          <w:u w:val="single"/>
        </w:rPr>
        <w:t xml:space="preserve">Jačanje okolišnih i </w:t>
      </w:r>
      <w:r w:rsidR="005A7AA6" w:rsidRPr="004D2D8C">
        <w:rPr>
          <w:rFonts w:ascii="Comic Sans MS" w:hAnsi="Comic Sans MS"/>
          <w:sz w:val="20"/>
          <w:szCs w:val="20"/>
          <w:u w:val="single"/>
        </w:rPr>
        <w:t>socijaln</w:t>
      </w:r>
      <w:r w:rsidRPr="004D2D8C">
        <w:rPr>
          <w:rFonts w:ascii="Comic Sans MS" w:hAnsi="Comic Sans MS"/>
          <w:sz w:val="20"/>
          <w:szCs w:val="20"/>
          <w:u w:val="single"/>
        </w:rPr>
        <w:t xml:space="preserve">ih </w:t>
      </w:r>
      <w:r w:rsidR="005A7AA6" w:rsidRPr="004D2D8C">
        <w:rPr>
          <w:rFonts w:ascii="Comic Sans MS" w:hAnsi="Comic Sans MS"/>
          <w:sz w:val="20"/>
          <w:szCs w:val="20"/>
          <w:u w:val="single"/>
        </w:rPr>
        <w:t>pogodnosti</w:t>
      </w:r>
    </w:p>
    <w:p w:rsidR="005A7AA6" w:rsidRPr="004D2D8C" w:rsidRDefault="005A7AA6" w:rsidP="005A7AA6">
      <w:pPr>
        <w:pStyle w:val="ListParagraph"/>
        <w:rPr>
          <w:rFonts w:ascii="Comic Sans MS" w:hAnsi="Comic Sans MS"/>
          <w:sz w:val="20"/>
          <w:szCs w:val="20"/>
        </w:rPr>
      </w:pPr>
    </w:p>
    <w:p w:rsidR="007E53D4" w:rsidRPr="004D2D8C" w:rsidRDefault="00B43E3F"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EIB</w:t>
      </w:r>
      <w:r w:rsidR="00C325D8" w:rsidRPr="004D2D8C">
        <w:rPr>
          <w:rFonts w:ascii="Comic Sans MS" w:hAnsi="Comic Sans MS"/>
          <w:sz w:val="20"/>
          <w:szCs w:val="20"/>
        </w:rPr>
        <w:t xml:space="preserve"> financira projekte u Europskoj uniji kao oblik potpore nizu ciljeva politike EU-a, no </w:t>
      </w:r>
      <w:r w:rsidRPr="004D2D8C">
        <w:rPr>
          <w:rFonts w:ascii="Comic Sans MS" w:hAnsi="Comic Sans MS"/>
          <w:sz w:val="20"/>
          <w:szCs w:val="20"/>
        </w:rPr>
        <w:t>Bank</w:t>
      </w:r>
      <w:r w:rsidR="00C325D8" w:rsidRPr="004D2D8C">
        <w:rPr>
          <w:rFonts w:ascii="Comic Sans MS" w:hAnsi="Comic Sans MS"/>
          <w:sz w:val="20"/>
          <w:szCs w:val="20"/>
        </w:rPr>
        <w:t xml:space="preserve">a također financira i projekte izvan </w:t>
      </w:r>
      <w:r w:rsidRPr="004D2D8C">
        <w:rPr>
          <w:rFonts w:ascii="Comic Sans MS" w:hAnsi="Comic Sans MS"/>
          <w:sz w:val="20"/>
          <w:szCs w:val="20"/>
        </w:rPr>
        <w:t>EU</w:t>
      </w:r>
      <w:r w:rsidR="00C325D8" w:rsidRPr="004D2D8C">
        <w:rPr>
          <w:rFonts w:ascii="Comic Sans MS" w:hAnsi="Comic Sans MS"/>
          <w:sz w:val="20"/>
          <w:szCs w:val="20"/>
        </w:rPr>
        <w:t>-a</w:t>
      </w:r>
      <w:r w:rsidRPr="004D2D8C">
        <w:rPr>
          <w:rFonts w:ascii="Comic Sans MS" w:hAnsi="Comic Sans MS"/>
          <w:sz w:val="20"/>
          <w:szCs w:val="20"/>
        </w:rPr>
        <w:t xml:space="preserve">, </w:t>
      </w:r>
      <w:r w:rsidR="00C325D8" w:rsidRPr="004D2D8C">
        <w:rPr>
          <w:rFonts w:ascii="Comic Sans MS" w:hAnsi="Comic Sans MS"/>
          <w:sz w:val="20"/>
          <w:szCs w:val="20"/>
        </w:rPr>
        <w:t xml:space="preserve">uključujući i projekte kojima se promiču milenijski </w:t>
      </w:r>
      <w:r w:rsidR="00BF4491" w:rsidRPr="004D2D8C">
        <w:rPr>
          <w:rFonts w:ascii="Comic Sans MS" w:hAnsi="Comic Sans MS"/>
          <w:sz w:val="20"/>
          <w:szCs w:val="20"/>
        </w:rPr>
        <w:t xml:space="preserve">razvojni </w:t>
      </w:r>
      <w:r w:rsidR="00C325D8" w:rsidRPr="004D2D8C">
        <w:rPr>
          <w:rFonts w:ascii="Comic Sans MS" w:hAnsi="Comic Sans MS"/>
          <w:sz w:val="20"/>
          <w:szCs w:val="20"/>
        </w:rPr>
        <w:t>ciljevi</w:t>
      </w:r>
      <w:r w:rsidR="00BF4491" w:rsidRPr="004D2D8C">
        <w:rPr>
          <w:rFonts w:ascii="Comic Sans MS" w:hAnsi="Comic Sans MS"/>
          <w:sz w:val="20"/>
          <w:szCs w:val="20"/>
        </w:rPr>
        <w:t>.</w:t>
      </w:r>
      <w:r w:rsidR="00C325D8" w:rsidRPr="004D2D8C">
        <w:rPr>
          <w:rFonts w:ascii="Comic Sans MS" w:hAnsi="Comic Sans MS"/>
          <w:sz w:val="20"/>
          <w:szCs w:val="20"/>
        </w:rPr>
        <w:t xml:space="preserve"> Iako </w:t>
      </w:r>
      <w:r w:rsidRPr="004D2D8C">
        <w:rPr>
          <w:rFonts w:ascii="Comic Sans MS" w:hAnsi="Comic Sans MS"/>
          <w:sz w:val="20"/>
          <w:szCs w:val="20"/>
        </w:rPr>
        <w:t>Bank</w:t>
      </w:r>
      <w:r w:rsidR="00C325D8" w:rsidRPr="004D2D8C">
        <w:rPr>
          <w:rFonts w:ascii="Comic Sans MS" w:hAnsi="Comic Sans MS"/>
          <w:sz w:val="20"/>
          <w:szCs w:val="20"/>
        </w:rPr>
        <w:t xml:space="preserve">a procjenjuje sve projekte koje financira u smislu njihove </w:t>
      </w:r>
      <w:r w:rsidR="005A7AA6" w:rsidRPr="004D2D8C">
        <w:rPr>
          <w:rFonts w:ascii="Comic Sans MS" w:hAnsi="Comic Sans MS"/>
          <w:sz w:val="20"/>
          <w:szCs w:val="20"/>
        </w:rPr>
        <w:t>okolišn</w:t>
      </w:r>
      <w:r w:rsidR="00C325D8" w:rsidRPr="004D2D8C">
        <w:rPr>
          <w:rFonts w:ascii="Comic Sans MS" w:hAnsi="Comic Sans MS"/>
          <w:sz w:val="20"/>
          <w:szCs w:val="20"/>
        </w:rPr>
        <w:t>e</w:t>
      </w:r>
      <w:r w:rsidR="005A7AA6" w:rsidRPr="004D2D8C">
        <w:rPr>
          <w:rFonts w:ascii="Comic Sans MS" w:hAnsi="Comic Sans MS"/>
          <w:sz w:val="20"/>
          <w:szCs w:val="20"/>
        </w:rPr>
        <w:t xml:space="preserve"> i socijaln</w:t>
      </w:r>
      <w:r w:rsidR="00C325D8" w:rsidRPr="004D2D8C">
        <w:rPr>
          <w:rFonts w:ascii="Comic Sans MS" w:hAnsi="Comic Sans MS"/>
          <w:sz w:val="20"/>
          <w:szCs w:val="20"/>
        </w:rPr>
        <w:t>e prihvatljivosti, Banka također financira i projekte sa specifičnim ciljem zaštite i jačanja prirodnog okoliša i promoviranja održivih zajednica</w:t>
      </w:r>
      <w:r w:rsidRPr="004D2D8C">
        <w:rPr>
          <w:rFonts w:ascii="Comic Sans MS" w:hAnsi="Comic Sans MS"/>
          <w:sz w:val="20"/>
          <w:szCs w:val="20"/>
        </w:rPr>
        <w:t xml:space="preserve">. </w:t>
      </w:r>
      <w:r w:rsidR="00C325D8" w:rsidRPr="004D2D8C">
        <w:rPr>
          <w:rFonts w:ascii="Comic Sans MS" w:hAnsi="Comic Sans MS"/>
          <w:sz w:val="20"/>
          <w:szCs w:val="20"/>
        </w:rPr>
        <w:t xml:space="preserve">EIB-ov cilj okolišno </w:t>
      </w:r>
      <w:r w:rsidR="00BF4491" w:rsidRPr="004D2D8C">
        <w:rPr>
          <w:rFonts w:ascii="Comic Sans MS" w:hAnsi="Comic Sans MS"/>
          <w:sz w:val="20"/>
          <w:szCs w:val="20"/>
        </w:rPr>
        <w:t xml:space="preserve">je </w:t>
      </w:r>
      <w:r w:rsidR="00C325D8" w:rsidRPr="004D2D8C">
        <w:rPr>
          <w:rFonts w:ascii="Comic Sans MS" w:hAnsi="Comic Sans MS"/>
          <w:sz w:val="20"/>
          <w:szCs w:val="20"/>
        </w:rPr>
        <w:t>kreditiranje</w:t>
      </w:r>
      <w:r w:rsidR="00BF4491" w:rsidRPr="004D2D8C">
        <w:rPr>
          <w:rFonts w:ascii="Comic Sans MS" w:hAnsi="Comic Sans MS"/>
          <w:sz w:val="20"/>
          <w:szCs w:val="20"/>
        </w:rPr>
        <w:t>, št</w:t>
      </w:r>
      <w:r w:rsidR="00C325D8" w:rsidRPr="004D2D8C">
        <w:rPr>
          <w:rFonts w:ascii="Comic Sans MS" w:hAnsi="Comic Sans MS"/>
          <w:sz w:val="20"/>
          <w:szCs w:val="20"/>
        </w:rPr>
        <w:t xml:space="preserve">o je </w:t>
      </w:r>
      <w:r w:rsidR="00BF4491" w:rsidRPr="004D2D8C">
        <w:rPr>
          <w:rFonts w:ascii="Comic Sans MS" w:hAnsi="Comic Sans MS"/>
          <w:sz w:val="20"/>
          <w:szCs w:val="20"/>
        </w:rPr>
        <w:t xml:space="preserve">i </w:t>
      </w:r>
      <w:r w:rsidR="00C325D8" w:rsidRPr="004D2D8C">
        <w:rPr>
          <w:rFonts w:ascii="Comic Sans MS" w:hAnsi="Comic Sans MS"/>
          <w:sz w:val="20"/>
          <w:szCs w:val="20"/>
        </w:rPr>
        <w:t>navedeno u Korporativnom operativnom planu</w:t>
      </w:r>
      <w:r w:rsidRPr="004D2D8C">
        <w:rPr>
          <w:rFonts w:ascii="Comic Sans MS" w:hAnsi="Comic Sans MS"/>
          <w:sz w:val="20"/>
          <w:szCs w:val="20"/>
        </w:rPr>
        <w:t xml:space="preserve"> (COP)</w:t>
      </w:r>
      <w:r w:rsidR="00C325D8" w:rsidRPr="004D2D8C">
        <w:rPr>
          <w:rStyle w:val="EndnoteReference"/>
          <w:rFonts w:ascii="Comic Sans MS" w:hAnsi="Comic Sans MS"/>
          <w:sz w:val="20"/>
          <w:szCs w:val="20"/>
        </w:rPr>
        <w:endnoteReference w:id="23"/>
      </w:r>
      <w:r w:rsidRPr="004D2D8C">
        <w:rPr>
          <w:rFonts w:ascii="Comic Sans MS" w:hAnsi="Comic Sans MS"/>
          <w:sz w:val="20"/>
          <w:szCs w:val="20"/>
        </w:rPr>
        <w:t xml:space="preserve">. </w:t>
      </w:r>
      <w:r w:rsidR="00C325D8" w:rsidRPr="004D2D8C">
        <w:rPr>
          <w:rFonts w:ascii="Comic Sans MS" w:hAnsi="Comic Sans MS"/>
          <w:sz w:val="20"/>
          <w:szCs w:val="20"/>
        </w:rPr>
        <w:t xml:space="preserve">Da bi bio prihvatljiv u odnosu na navedeni cilj, </w:t>
      </w:r>
      <w:r w:rsidR="00BF4491" w:rsidRPr="004D2D8C">
        <w:rPr>
          <w:rFonts w:ascii="Comic Sans MS" w:hAnsi="Comic Sans MS"/>
          <w:sz w:val="20"/>
          <w:szCs w:val="20"/>
        </w:rPr>
        <w:t xml:space="preserve">svaki </w:t>
      </w:r>
      <w:r w:rsidR="00C325D8" w:rsidRPr="004D2D8C">
        <w:rPr>
          <w:rFonts w:ascii="Comic Sans MS" w:hAnsi="Comic Sans MS"/>
          <w:sz w:val="20"/>
          <w:szCs w:val="20"/>
        </w:rPr>
        <w:t xml:space="preserve">projekt mora promicati jedan ili više od sljedećih ciljeva politike </w:t>
      </w:r>
      <w:r w:rsidRPr="004D2D8C">
        <w:rPr>
          <w:rFonts w:ascii="Comic Sans MS" w:hAnsi="Comic Sans MS"/>
          <w:sz w:val="20"/>
          <w:szCs w:val="20"/>
        </w:rPr>
        <w:t>EU</w:t>
      </w:r>
      <w:r w:rsidR="00C325D8" w:rsidRPr="004D2D8C">
        <w:rPr>
          <w:rFonts w:ascii="Comic Sans MS" w:hAnsi="Comic Sans MS"/>
          <w:sz w:val="20"/>
          <w:szCs w:val="20"/>
        </w:rPr>
        <w:t>-a</w:t>
      </w:r>
      <w:r w:rsidRPr="004D2D8C">
        <w:rPr>
          <w:rFonts w:ascii="Comic Sans MS" w:hAnsi="Comic Sans MS"/>
          <w:sz w:val="20"/>
          <w:szCs w:val="20"/>
        </w:rPr>
        <w:t xml:space="preserve">: </w:t>
      </w:r>
    </w:p>
    <w:p w:rsidR="007E53D4" w:rsidRPr="004D2D8C" w:rsidRDefault="007E53D4" w:rsidP="007E53D4">
      <w:pPr>
        <w:pStyle w:val="ListParagraph"/>
        <w:jc w:val="both"/>
        <w:rPr>
          <w:rFonts w:ascii="Comic Sans MS" w:hAnsi="Comic Sans MS"/>
          <w:sz w:val="20"/>
          <w:szCs w:val="20"/>
        </w:rPr>
      </w:pPr>
    </w:p>
    <w:p w:rsidR="007E53D4" w:rsidRPr="004D2D8C" w:rsidRDefault="00B15E03" w:rsidP="002C3A1C">
      <w:pPr>
        <w:pStyle w:val="ListParagraph"/>
        <w:numPr>
          <w:ilvl w:val="0"/>
          <w:numId w:val="123"/>
        </w:numPr>
        <w:jc w:val="both"/>
        <w:rPr>
          <w:rFonts w:ascii="Comic Sans MS" w:hAnsi="Comic Sans MS"/>
          <w:sz w:val="20"/>
          <w:szCs w:val="20"/>
        </w:rPr>
      </w:pPr>
      <w:r w:rsidRPr="004D2D8C">
        <w:rPr>
          <w:rFonts w:ascii="Comic Sans MS" w:hAnsi="Comic Sans MS"/>
          <w:sz w:val="20"/>
          <w:szCs w:val="20"/>
        </w:rPr>
        <w:t>d</w:t>
      </w:r>
      <w:r w:rsidR="00C325D8" w:rsidRPr="004D2D8C">
        <w:rPr>
          <w:rFonts w:ascii="Comic Sans MS" w:hAnsi="Comic Sans MS"/>
          <w:sz w:val="20"/>
          <w:szCs w:val="20"/>
        </w:rPr>
        <w:t>avanje odgovarajućeg odgovora</w:t>
      </w:r>
      <w:r w:rsidR="00150833" w:rsidRPr="004D2D8C">
        <w:rPr>
          <w:rFonts w:ascii="Comic Sans MS" w:hAnsi="Comic Sans MS"/>
          <w:sz w:val="20"/>
          <w:szCs w:val="20"/>
        </w:rPr>
        <w:t xml:space="preserve"> na prijetnju </w:t>
      </w:r>
      <w:r w:rsidR="001C2BA2" w:rsidRPr="004D2D8C">
        <w:rPr>
          <w:rFonts w:ascii="Comic Sans MS" w:hAnsi="Comic Sans MS"/>
          <w:sz w:val="20"/>
          <w:szCs w:val="20"/>
        </w:rPr>
        <w:t xml:space="preserve">klimatskih promjena putem </w:t>
      </w:r>
      <w:r w:rsidR="00D40B5C" w:rsidRPr="004D2D8C">
        <w:rPr>
          <w:rFonts w:ascii="Comic Sans MS" w:hAnsi="Comic Sans MS"/>
          <w:sz w:val="20"/>
          <w:szCs w:val="20"/>
        </w:rPr>
        <w:t xml:space="preserve">ulaganja u ublažavanje </w:t>
      </w:r>
      <w:r w:rsidR="001C2BA2" w:rsidRPr="004D2D8C">
        <w:rPr>
          <w:rFonts w:ascii="Comic Sans MS" w:hAnsi="Comic Sans MS"/>
          <w:sz w:val="20"/>
          <w:szCs w:val="20"/>
        </w:rPr>
        <w:t>klimatskih promjena</w:t>
      </w:r>
      <w:r w:rsidR="00D40B5C" w:rsidRPr="004D2D8C">
        <w:rPr>
          <w:rFonts w:ascii="Comic Sans MS" w:hAnsi="Comic Sans MS"/>
          <w:sz w:val="20"/>
          <w:szCs w:val="20"/>
        </w:rPr>
        <w:t xml:space="preserve"> ili putem ulaganja u prilagodbe</w:t>
      </w:r>
      <w:r w:rsidR="00B43E3F" w:rsidRPr="004D2D8C">
        <w:rPr>
          <w:rFonts w:ascii="Comic Sans MS" w:hAnsi="Comic Sans MS"/>
          <w:sz w:val="20"/>
          <w:szCs w:val="20"/>
        </w:rPr>
        <w:t>,</w:t>
      </w:r>
      <w:r w:rsidR="00D40B5C" w:rsidRPr="004D2D8C">
        <w:rPr>
          <w:rFonts w:ascii="Comic Sans MS" w:hAnsi="Comic Sans MS"/>
          <w:sz w:val="20"/>
          <w:szCs w:val="20"/>
        </w:rPr>
        <w:t xml:space="preserve"> uključujući potpore za projekte na području energetske učinkovitosti, obnovljivih izvora energije, čišćih izvora energije i sekvestracije ugljika, </w:t>
      </w:r>
    </w:p>
    <w:p w:rsidR="007E53D4" w:rsidRPr="004D2D8C" w:rsidRDefault="007E53D4" w:rsidP="007E53D4">
      <w:pPr>
        <w:pStyle w:val="ListParagraph"/>
        <w:ind w:left="1080"/>
        <w:jc w:val="both"/>
        <w:rPr>
          <w:rFonts w:ascii="Comic Sans MS" w:hAnsi="Comic Sans MS"/>
          <w:sz w:val="20"/>
          <w:szCs w:val="20"/>
        </w:rPr>
      </w:pPr>
    </w:p>
    <w:p w:rsidR="007E53D4" w:rsidRPr="004D2D8C" w:rsidRDefault="00EE77D3" w:rsidP="002C3A1C">
      <w:pPr>
        <w:pStyle w:val="ListParagraph"/>
        <w:numPr>
          <w:ilvl w:val="0"/>
          <w:numId w:val="123"/>
        </w:numPr>
        <w:jc w:val="both"/>
        <w:rPr>
          <w:rFonts w:ascii="Comic Sans MS" w:hAnsi="Comic Sans MS"/>
          <w:sz w:val="20"/>
          <w:szCs w:val="20"/>
        </w:rPr>
      </w:pPr>
      <w:r w:rsidRPr="004D2D8C">
        <w:rPr>
          <w:rFonts w:ascii="Comic Sans MS" w:hAnsi="Comic Sans MS"/>
          <w:sz w:val="20"/>
          <w:szCs w:val="20"/>
        </w:rPr>
        <w:t>doprinos</w:t>
      </w:r>
      <w:r w:rsidR="00D40B5C" w:rsidRPr="004D2D8C">
        <w:rPr>
          <w:rFonts w:ascii="Comic Sans MS" w:hAnsi="Comic Sans MS"/>
          <w:sz w:val="20"/>
          <w:szCs w:val="20"/>
        </w:rPr>
        <w:t xml:space="preserve"> održivom upravljanju prirodnim resursima</w:t>
      </w:r>
      <w:r w:rsidR="00B43E3F" w:rsidRPr="004D2D8C">
        <w:rPr>
          <w:rFonts w:ascii="Comic Sans MS" w:hAnsi="Comic Sans MS"/>
          <w:sz w:val="20"/>
          <w:szCs w:val="20"/>
        </w:rPr>
        <w:t>,</w:t>
      </w:r>
      <w:r w:rsidR="00D40B5C" w:rsidRPr="004D2D8C">
        <w:rPr>
          <w:rFonts w:ascii="Comic Sans MS" w:hAnsi="Comic Sans MS"/>
          <w:sz w:val="20"/>
          <w:szCs w:val="20"/>
        </w:rPr>
        <w:t xml:space="preserve"> uključujući zaštitu i unapređenje voda, zraka i tla, gospodarenje otpadom te zaštitu i jačanje bioraznolikosti i ekosustava, </w:t>
      </w:r>
    </w:p>
    <w:p w:rsidR="007E53D4" w:rsidRPr="004D2D8C" w:rsidRDefault="007E53D4" w:rsidP="007E53D4">
      <w:pPr>
        <w:pStyle w:val="ListParagraph"/>
        <w:rPr>
          <w:rFonts w:ascii="Comic Sans MS" w:hAnsi="Comic Sans MS"/>
          <w:sz w:val="20"/>
          <w:szCs w:val="20"/>
        </w:rPr>
      </w:pPr>
    </w:p>
    <w:p w:rsidR="007E53D4" w:rsidRPr="004D2D8C" w:rsidRDefault="00EE77D3" w:rsidP="002C3A1C">
      <w:pPr>
        <w:pStyle w:val="ListParagraph"/>
        <w:numPr>
          <w:ilvl w:val="0"/>
          <w:numId w:val="123"/>
        </w:numPr>
        <w:jc w:val="both"/>
        <w:rPr>
          <w:rFonts w:ascii="Comic Sans MS" w:hAnsi="Comic Sans MS"/>
          <w:sz w:val="20"/>
          <w:szCs w:val="20"/>
        </w:rPr>
      </w:pPr>
      <w:r w:rsidRPr="004D2D8C">
        <w:rPr>
          <w:rFonts w:ascii="Comic Sans MS" w:hAnsi="Comic Sans MS"/>
          <w:sz w:val="20"/>
          <w:szCs w:val="20"/>
        </w:rPr>
        <w:t>povećanje kvalitete urbanog života</w:t>
      </w:r>
      <w:r w:rsidR="00D40B5C" w:rsidRPr="004D2D8C">
        <w:rPr>
          <w:rFonts w:ascii="Comic Sans MS" w:hAnsi="Comic Sans MS"/>
          <w:sz w:val="20"/>
          <w:szCs w:val="20"/>
        </w:rPr>
        <w:t xml:space="preserve">, uključujući promociju održivih zajednica, </w:t>
      </w:r>
    </w:p>
    <w:p w:rsidR="007E53D4" w:rsidRPr="004D2D8C" w:rsidRDefault="007E53D4" w:rsidP="007E53D4">
      <w:pPr>
        <w:pStyle w:val="ListParagraph"/>
        <w:rPr>
          <w:rFonts w:ascii="Comic Sans MS" w:hAnsi="Comic Sans MS"/>
          <w:sz w:val="20"/>
          <w:szCs w:val="20"/>
        </w:rPr>
      </w:pPr>
    </w:p>
    <w:p w:rsidR="007E53D4" w:rsidRPr="004D2D8C" w:rsidRDefault="00EE77D3" w:rsidP="002C3A1C">
      <w:pPr>
        <w:pStyle w:val="ListParagraph"/>
        <w:numPr>
          <w:ilvl w:val="0"/>
          <w:numId w:val="123"/>
        </w:numPr>
        <w:jc w:val="both"/>
        <w:rPr>
          <w:rFonts w:ascii="Comic Sans MS" w:hAnsi="Comic Sans MS"/>
          <w:sz w:val="20"/>
          <w:szCs w:val="20"/>
        </w:rPr>
      </w:pPr>
      <w:r w:rsidRPr="004D2D8C">
        <w:rPr>
          <w:rFonts w:ascii="Comic Sans MS" w:hAnsi="Comic Sans MS"/>
          <w:sz w:val="20"/>
          <w:szCs w:val="20"/>
        </w:rPr>
        <w:t>čuvanje</w:t>
      </w:r>
      <w:r w:rsidR="00D40B5C" w:rsidRPr="004D2D8C">
        <w:rPr>
          <w:rFonts w:ascii="Comic Sans MS" w:hAnsi="Comic Sans MS"/>
          <w:sz w:val="20"/>
          <w:szCs w:val="20"/>
        </w:rPr>
        <w:t xml:space="preserve"> ljudskog zdravlja putem jačanja prirodnog i izgrađenog okoliša</w:t>
      </w:r>
      <w:r w:rsidR="00B43E3F" w:rsidRPr="004D2D8C">
        <w:rPr>
          <w:rFonts w:ascii="Comic Sans MS" w:hAnsi="Comic Sans MS"/>
          <w:sz w:val="20"/>
          <w:szCs w:val="20"/>
        </w:rPr>
        <w:t xml:space="preserve">. </w:t>
      </w:r>
    </w:p>
    <w:p w:rsidR="007E53D4" w:rsidRPr="004D2D8C" w:rsidRDefault="007E53D4" w:rsidP="007E53D4">
      <w:pPr>
        <w:pStyle w:val="ListParagraph"/>
        <w:rPr>
          <w:rFonts w:ascii="Comic Sans MS" w:hAnsi="Comic Sans MS"/>
          <w:sz w:val="20"/>
          <w:szCs w:val="20"/>
        </w:rPr>
      </w:pPr>
    </w:p>
    <w:p w:rsidR="007E53D4" w:rsidRPr="004D2D8C" w:rsidRDefault="00B43E3F"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EIB proa</w:t>
      </w:r>
      <w:r w:rsidR="008456A3" w:rsidRPr="004D2D8C">
        <w:rPr>
          <w:rFonts w:ascii="Comic Sans MS" w:hAnsi="Comic Sans MS"/>
          <w:sz w:val="20"/>
          <w:szCs w:val="20"/>
        </w:rPr>
        <w:t>ktivno</w:t>
      </w:r>
      <w:r w:rsidR="00B15E03" w:rsidRPr="004D2D8C">
        <w:rPr>
          <w:rFonts w:ascii="Comic Sans MS" w:hAnsi="Comic Sans MS"/>
          <w:sz w:val="20"/>
          <w:szCs w:val="20"/>
        </w:rPr>
        <w:t xml:space="preserve"> nastoji identificirati i financirati projekte</w:t>
      </w:r>
      <w:r w:rsidR="00D40B5C" w:rsidRPr="004D2D8C">
        <w:rPr>
          <w:rFonts w:ascii="Comic Sans MS" w:hAnsi="Comic Sans MS"/>
          <w:sz w:val="20"/>
          <w:szCs w:val="20"/>
        </w:rPr>
        <w:t xml:space="preserve"> koji stvaraju dodanu vrijednost kroz zaštitu i jačanje prirodnog okoliša</w:t>
      </w:r>
      <w:r w:rsidR="00407A65" w:rsidRPr="004D2D8C">
        <w:rPr>
          <w:rFonts w:ascii="Comic Sans MS" w:hAnsi="Comic Sans MS"/>
          <w:sz w:val="20"/>
          <w:szCs w:val="20"/>
        </w:rPr>
        <w:t xml:space="preserve"> i promociju održivih zajednica u svim sektorima, a poglavito u sektoru transporta, e</w:t>
      </w:r>
      <w:r w:rsidRPr="004D2D8C">
        <w:rPr>
          <w:rFonts w:ascii="Comic Sans MS" w:hAnsi="Comic Sans MS"/>
          <w:sz w:val="20"/>
          <w:szCs w:val="20"/>
        </w:rPr>
        <w:t>nerg</w:t>
      </w:r>
      <w:r w:rsidR="00407A65" w:rsidRPr="004D2D8C">
        <w:rPr>
          <w:rFonts w:ascii="Comic Sans MS" w:hAnsi="Comic Sans MS"/>
          <w:sz w:val="20"/>
          <w:szCs w:val="20"/>
        </w:rPr>
        <w:t>ije, ostale infrastrukture, u sektoru prirodnih resursa, industrije i usluga, urbanog razvoja te istraživanja i razvoja na području okolišne tehnologije</w:t>
      </w:r>
      <w:r w:rsidRPr="004D2D8C">
        <w:rPr>
          <w:rFonts w:ascii="Comic Sans MS" w:hAnsi="Comic Sans MS"/>
          <w:sz w:val="20"/>
          <w:szCs w:val="20"/>
        </w:rPr>
        <w:t xml:space="preserve">. </w:t>
      </w:r>
      <w:r w:rsidR="00407A65" w:rsidRPr="004D2D8C">
        <w:rPr>
          <w:rFonts w:ascii="Comic Sans MS" w:hAnsi="Comic Sans MS"/>
          <w:sz w:val="20"/>
          <w:szCs w:val="20"/>
        </w:rPr>
        <w:t xml:space="preserve">Osiguravanjem financijskih sredstava uz poticanje transparentnosti, sudjelovanja, konzultiranja, socijalnog uključivanja, integriranog planiranja i pravednijeg pristupa robama i uslugama, </w:t>
      </w:r>
      <w:r w:rsidRPr="004D2D8C">
        <w:rPr>
          <w:rFonts w:ascii="Comic Sans MS" w:hAnsi="Comic Sans MS"/>
          <w:sz w:val="20"/>
          <w:szCs w:val="20"/>
        </w:rPr>
        <w:t>Bank</w:t>
      </w:r>
      <w:r w:rsidR="00B41D02" w:rsidRPr="004D2D8C">
        <w:rPr>
          <w:rFonts w:ascii="Comic Sans MS" w:hAnsi="Comic Sans MS"/>
          <w:sz w:val="20"/>
          <w:szCs w:val="20"/>
        </w:rPr>
        <w:t>a</w:t>
      </w:r>
      <w:r w:rsidRPr="004D2D8C">
        <w:rPr>
          <w:rFonts w:ascii="Comic Sans MS" w:hAnsi="Comic Sans MS"/>
          <w:sz w:val="20"/>
          <w:szCs w:val="20"/>
        </w:rPr>
        <w:t xml:space="preserve"> </w:t>
      </w:r>
      <w:r w:rsidR="00407A65" w:rsidRPr="004D2D8C">
        <w:rPr>
          <w:rFonts w:ascii="Comic Sans MS" w:hAnsi="Comic Sans MS"/>
          <w:sz w:val="20"/>
          <w:szCs w:val="20"/>
        </w:rPr>
        <w:t>želi promovirati veće socijalno blagostanje</w:t>
      </w:r>
      <w:r w:rsidRPr="004D2D8C">
        <w:rPr>
          <w:rFonts w:ascii="Comic Sans MS" w:hAnsi="Comic Sans MS"/>
          <w:sz w:val="20"/>
          <w:szCs w:val="20"/>
        </w:rPr>
        <w:t xml:space="preserve">. </w:t>
      </w:r>
    </w:p>
    <w:p w:rsidR="007E53D4" w:rsidRPr="004D2D8C" w:rsidRDefault="007E53D4" w:rsidP="007E53D4">
      <w:pPr>
        <w:pStyle w:val="ListParagraph"/>
        <w:jc w:val="both"/>
        <w:rPr>
          <w:rFonts w:ascii="Comic Sans MS" w:hAnsi="Comic Sans MS"/>
          <w:sz w:val="20"/>
          <w:szCs w:val="20"/>
        </w:rPr>
      </w:pPr>
    </w:p>
    <w:p w:rsidR="007E53D4" w:rsidRPr="004D2D8C" w:rsidRDefault="00B43E3F" w:rsidP="00407A65">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EIB </w:t>
      </w:r>
      <w:r w:rsidR="008456A3" w:rsidRPr="004D2D8C">
        <w:rPr>
          <w:rFonts w:ascii="Comic Sans MS" w:hAnsi="Comic Sans MS"/>
          <w:sz w:val="20"/>
          <w:szCs w:val="20"/>
        </w:rPr>
        <w:t>pruža potporu</w:t>
      </w:r>
      <w:r w:rsidR="00407A65" w:rsidRPr="004D2D8C">
        <w:rPr>
          <w:rFonts w:ascii="Comic Sans MS" w:hAnsi="Comic Sans MS"/>
          <w:sz w:val="20"/>
          <w:szCs w:val="20"/>
        </w:rPr>
        <w:t xml:space="preserve"> razvoju i primjeni inovativnih financijskih tržišno</w:t>
      </w:r>
      <w:r w:rsidR="00BF6D0F" w:rsidRPr="004D2D8C">
        <w:rPr>
          <w:rFonts w:ascii="Comic Sans MS" w:hAnsi="Comic Sans MS"/>
          <w:sz w:val="20"/>
          <w:szCs w:val="20"/>
        </w:rPr>
        <w:t>-</w:t>
      </w:r>
      <w:r w:rsidR="00407A65" w:rsidRPr="004D2D8C">
        <w:rPr>
          <w:rFonts w:ascii="Comic Sans MS" w:hAnsi="Comic Sans MS"/>
          <w:sz w:val="20"/>
          <w:szCs w:val="20"/>
        </w:rPr>
        <w:t xml:space="preserve">utemeljenih </w:t>
      </w:r>
      <w:r w:rsidRPr="004D2D8C">
        <w:rPr>
          <w:rFonts w:ascii="Comic Sans MS" w:hAnsi="Comic Sans MS"/>
          <w:sz w:val="20"/>
          <w:szCs w:val="20"/>
        </w:rPr>
        <w:t>instrumen</w:t>
      </w:r>
      <w:r w:rsidR="00407A65" w:rsidRPr="004D2D8C">
        <w:rPr>
          <w:rFonts w:ascii="Comic Sans MS" w:hAnsi="Comic Sans MS"/>
          <w:sz w:val="20"/>
          <w:szCs w:val="20"/>
        </w:rPr>
        <w:t>a</w:t>
      </w:r>
      <w:r w:rsidRPr="004D2D8C">
        <w:rPr>
          <w:rFonts w:ascii="Comic Sans MS" w:hAnsi="Comic Sans MS"/>
          <w:sz w:val="20"/>
          <w:szCs w:val="20"/>
        </w:rPr>
        <w:t>t</w:t>
      </w:r>
      <w:r w:rsidR="00407A65" w:rsidRPr="004D2D8C">
        <w:rPr>
          <w:rFonts w:ascii="Comic Sans MS" w:hAnsi="Comic Sans MS"/>
          <w:sz w:val="20"/>
          <w:szCs w:val="20"/>
        </w:rPr>
        <w:t xml:space="preserve">a radi povećanja vrijednosti </w:t>
      </w:r>
      <w:r w:rsidR="005A7AA6" w:rsidRPr="004D2D8C">
        <w:rPr>
          <w:rFonts w:ascii="Comic Sans MS" w:hAnsi="Comic Sans MS"/>
          <w:sz w:val="20"/>
          <w:szCs w:val="20"/>
        </w:rPr>
        <w:t>okolišn</w:t>
      </w:r>
      <w:r w:rsidR="00407A65" w:rsidRPr="004D2D8C">
        <w:rPr>
          <w:rFonts w:ascii="Comic Sans MS" w:hAnsi="Comic Sans MS"/>
          <w:sz w:val="20"/>
          <w:szCs w:val="20"/>
        </w:rPr>
        <w:t>ih</w:t>
      </w:r>
      <w:r w:rsidR="005A7AA6" w:rsidRPr="004D2D8C">
        <w:rPr>
          <w:rFonts w:ascii="Comic Sans MS" w:hAnsi="Comic Sans MS"/>
          <w:sz w:val="20"/>
          <w:szCs w:val="20"/>
        </w:rPr>
        <w:t xml:space="preserve"> i socijaln</w:t>
      </w:r>
      <w:r w:rsidR="00407A65" w:rsidRPr="004D2D8C">
        <w:rPr>
          <w:rFonts w:ascii="Comic Sans MS" w:hAnsi="Comic Sans MS"/>
          <w:sz w:val="20"/>
          <w:szCs w:val="20"/>
        </w:rPr>
        <w:t>ih roba i usluga te promoviranja održive proizvodnje i potrošnje</w:t>
      </w:r>
      <w:r w:rsidRPr="004D2D8C">
        <w:rPr>
          <w:rFonts w:ascii="Comic Sans MS" w:hAnsi="Comic Sans MS"/>
          <w:sz w:val="20"/>
          <w:szCs w:val="20"/>
        </w:rPr>
        <w:t>.</w:t>
      </w:r>
      <w:r w:rsidR="00407A65" w:rsidRPr="004D2D8C">
        <w:rPr>
          <w:rFonts w:ascii="Comic Sans MS" w:hAnsi="Comic Sans MS"/>
          <w:sz w:val="20"/>
          <w:szCs w:val="20"/>
        </w:rPr>
        <w:t xml:space="preserve"> Svi projekti trebaju</w:t>
      </w:r>
      <w:r w:rsidR="00D71DF8" w:rsidRPr="004D2D8C">
        <w:rPr>
          <w:rFonts w:ascii="Comic Sans MS" w:hAnsi="Comic Sans MS"/>
          <w:sz w:val="20"/>
          <w:szCs w:val="20"/>
        </w:rPr>
        <w:t xml:space="preserve"> </w:t>
      </w:r>
      <w:r w:rsidR="005C0EDB" w:rsidRPr="004D2D8C">
        <w:rPr>
          <w:rFonts w:ascii="Comic Sans MS" w:hAnsi="Comic Sans MS"/>
          <w:sz w:val="20"/>
          <w:szCs w:val="20"/>
        </w:rPr>
        <w:t xml:space="preserve">zadovoljiti i kriterije </w:t>
      </w:r>
      <w:r w:rsidRPr="004D2D8C">
        <w:rPr>
          <w:rFonts w:ascii="Comic Sans MS" w:hAnsi="Comic Sans MS"/>
          <w:sz w:val="20"/>
          <w:szCs w:val="20"/>
        </w:rPr>
        <w:t>Bank</w:t>
      </w:r>
      <w:r w:rsidR="005C0EDB" w:rsidRPr="004D2D8C">
        <w:rPr>
          <w:rFonts w:ascii="Comic Sans MS" w:hAnsi="Comic Sans MS"/>
          <w:sz w:val="20"/>
          <w:szCs w:val="20"/>
        </w:rPr>
        <w:t>e u vezi s financijskom, tehničkom i socio-ekonomskom provedivosti</w:t>
      </w:r>
      <w:r w:rsidRPr="004D2D8C">
        <w:rPr>
          <w:rFonts w:ascii="Comic Sans MS" w:hAnsi="Comic Sans MS"/>
          <w:sz w:val="20"/>
          <w:szCs w:val="20"/>
        </w:rPr>
        <w:t xml:space="preserve">. </w:t>
      </w:r>
    </w:p>
    <w:p w:rsidR="007E53D4" w:rsidRPr="004D2D8C" w:rsidRDefault="007E53D4" w:rsidP="007E53D4">
      <w:pPr>
        <w:pStyle w:val="ListParagraph"/>
        <w:rPr>
          <w:rFonts w:ascii="Comic Sans MS" w:hAnsi="Comic Sans MS"/>
          <w:sz w:val="20"/>
          <w:szCs w:val="20"/>
        </w:rPr>
      </w:pPr>
    </w:p>
    <w:p w:rsidR="00FC6EC2" w:rsidRPr="004D2D8C" w:rsidRDefault="008456A3" w:rsidP="005C0EDB">
      <w:pPr>
        <w:pStyle w:val="ListParagraph"/>
        <w:numPr>
          <w:ilvl w:val="0"/>
          <w:numId w:val="124"/>
        </w:numPr>
        <w:jc w:val="both"/>
        <w:rPr>
          <w:rFonts w:ascii="Comic Sans MS" w:hAnsi="Comic Sans MS"/>
          <w:sz w:val="20"/>
          <w:szCs w:val="20"/>
        </w:rPr>
      </w:pPr>
      <w:r w:rsidRPr="004D2D8C">
        <w:rPr>
          <w:rFonts w:ascii="Comic Sans MS" w:hAnsi="Comic Sans MS"/>
          <w:sz w:val="20"/>
          <w:szCs w:val="20"/>
        </w:rPr>
        <w:t>Cilj E</w:t>
      </w:r>
      <w:r w:rsidR="00B43E3F" w:rsidRPr="004D2D8C">
        <w:rPr>
          <w:rFonts w:ascii="Comic Sans MS" w:hAnsi="Comic Sans MS"/>
          <w:sz w:val="20"/>
          <w:szCs w:val="20"/>
        </w:rPr>
        <w:t>IB</w:t>
      </w:r>
      <w:r w:rsidRPr="004D2D8C">
        <w:rPr>
          <w:rFonts w:ascii="Comic Sans MS" w:hAnsi="Comic Sans MS"/>
          <w:sz w:val="20"/>
          <w:szCs w:val="20"/>
        </w:rPr>
        <w:t>-a identificirati je,</w:t>
      </w:r>
      <w:r w:rsidR="005C0EDB" w:rsidRPr="004D2D8C">
        <w:rPr>
          <w:rFonts w:ascii="Comic Sans MS" w:hAnsi="Comic Sans MS"/>
          <w:sz w:val="20"/>
          <w:szCs w:val="20"/>
        </w:rPr>
        <w:t xml:space="preserve"> kvantificirati i ocijeniti</w:t>
      </w:r>
      <w:r w:rsidR="00F41F4E" w:rsidRPr="004D2D8C">
        <w:rPr>
          <w:rFonts w:ascii="Comic Sans MS" w:hAnsi="Comic Sans MS"/>
          <w:sz w:val="20"/>
          <w:szCs w:val="20"/>
        </w:rPr>
        <w:t xml:space="preserve"> izravne i neizravne </w:t>
      </w:r>
      <w:r w:rsidR="005A7AA6" w:rsidRPr="004D2D8C">
        <w:rPr>
          <w:rFonts w:ascii="Comic Sans MS" w:hAnsi="Comic Sans MS"/>
          <w:sz w:val="20"/>
          <w:szCs w:val="20"/>
        </w:rPr>
        <w:t>okolišn</w:t>
      </w:r>
      <w:r w:rsidR="00F41F4E" w:rsidRPr="004D2D8C">
        <w:rPr>
          <w:rFonts w:ascii="Comic Sans MS" w:hAnsi="Comic Sans MS"/>
          <w:sz w:val="20"/>
          <w:szCs w:val="20"/>
        </w:rPr>
        <w:t>e</w:t>
      </w:r>
      <w:r w:rsidR="005A7AA6" w:rsidRPr="004D2D8C">
        <w:rPr>
          <w:rFonts w:ascii="Comic Sans MS" w:hAnsi="Comic Sans MS"/>
          <w:sz w:val="20"/>
          <w:szCs w:val="20"/>
        </w:rPr>
        <w:t xml:space="preserve"> i socijaln</w:t>
      </w:r>
      <w:r w:rsidR="00F41F4E" w:rsidRPr="004D2D8C">
        <w:rPr>
          <w:rFonts w:ascii="Comic Sans MS" w:hAnsi="Comic Sans MS"/>
          <w:sz w:val="20"/>
          <w:szCs w:val="20"/>
        </w:rPr>
        <w:t xml:space="preserve">e vanjske čimbenike kada se očekuje njihov znatan utjecaj na socio-ekonomsku provedivost projekta te promovirati mjere internalizacije takvih utjecaja </w:t>
      </w:r>
      <w:r w:rsidR="00B43E3F" w:rsidRPr="004D2D8C">
        <w:rPr>
          <w:rFonts w:ascii="Comic Sans MS" w:hAnsi="Comic Sans MS"/>
          <w:sz w:val="20"/>
          <w:szCs w:val="20"/>
        </w:rPr>
        <w:t>(</w:t>
      </w:r>
      <w:r w:rsidR="00F41F4E" w:rsidRPr="004D2D8C">
        <w:rPr>
          <w:rFonts w:ascii="Comic Sans MS" w:hAnsi="Comic Sans MS"/>
          <w:sz w:val="20"/>
          <w:szCs w:val="20"/>
        </w:rPr>
        <w:t>npr. naknade kojima se ostvaruje potpun povrat troškova</w:t>
      </w:r>
      <w:r w:rsidR="00B43E3F" w:rsidRPr="004D2D8C">
        <w:rPr>
          <w:rFonts w:ascii="Comic Sans MS" w:hAnsi="Comic Sans MS"/>
          <w:sz w:val="20"/>
          <w:szCs w:val="20"/>
        </w:rPr>
        <w:t>).</w:t>
      </w:r>
      <w:r w:rsidR="00F41F4E" w:rsidRPr="004D2D8C">
        <w:rPr>
          <w:rFonts w:ascii="Comic Sans MS" w:hAnsi="Comic Sans MS"/>
          <w:sz w:val="20"/>
          <w:szCs w:val="20"/>
        </w:rPr>
        <w:t xml:space="preserve"> Takvim tehnikama potiču se projekti od kojih se očekuje značajan pozitivan vanjski utjecaj kao, primjerice, smanjenje emisije stakleničkih plinova te poboljšanje javnog zdravlja</w:t>
      </w:r>
      <w:r w:rsidR="00B43E3F" w:rsidRPr="004D2D8C">
        <w:rPr>
          <w:rFonts w:ascii="Comic Sans MS" w:hAnsi="Comic Sans MS"/>
          <w:sz w:val="20"/>
          <w:szCs w:val="20"/>
        </w:rPr>
        <w:t>.</w:t>
      </w:r>
      <w:r w:rsidR="00477118" w:rsidRPr="004D2D8C">
        <w:rPr>
          <w:rFonts w:ascii="Comic Sans MS" w:hAnsi="Comic Sans MS"/>
          <w:sz w:val="20"/>
          <w:szCs w:val="20"/>
        </w:rPr>
        <w:t xml:space="preserve"> Njima se obeshrabruju projekti koji imaju značajan negativan vanjski utjecaj kao, primjerice, povećanje zagađenja zraka ili vode</w:t>
      </w:r>
      <w:r w:rsidR="00B43E3F" w:rsidRPr="004D2D8C">
        <w:rPr>
          <w:rFonts w:ascii="Comic Sans MS" w:hAnsi="Comic Sans MS"/>
          <w:sz w:val="20"/>
          <w:szCs w:val="20"/>
        </w:rPr>
        <w:t>.</w:t>
      </w:r>
      <w:r w:rsidR="00477118" w:rsidRPr="004D2D8C">
        <w:rPr>
          <w:rFonts w:ascii="Comic Sans MS" w:hAnsi="Comic Sans MS"/>
          <w:sz w:val="20"/>
          <w:szCs w:val="20"/>
        </w:rPr>
        <w:t xml:space="preserve"> U pravilu, </w:t>
      </w:r>
      <w:r w:rsidR="00B43E3F" w:rsidRPr="004D2D8C">
        <w:rPr>
          <w:rFonts w:ascii="Comic Sans MS" w:hAnsi="Comic Sans MS"/>
          <w:sz w:val="20"/>
          <w:szCs w:val="20"/>
        </w:rPr>
        <w:t>Bank</w:t>
      </w:r>
      <w:r w:rsidR="00B30F93" w:rsidRPr="004D2D8C">
        <w:rPr>
          <w:rFonts w:ascii="Comic Sans MS" w:hAnsi="Comic Sans MS"/>
          <w:sz w:val="20"/>
          <w:szCs w:val="20"/>
        </w:rPr>
        <w:t>a se zalaže za projekte kod kojih se poduzimaju odgovarajuće korektivne mjere usmjerene na smanjenje vanjskih troškova bile putem internalizacije, regulacije ili putem drugih mjera</w:t>
      </w:r>
      <w:r w:rsidR="00B43E3F" w:rsidRPr="004D2D8C">
        <w:rPr>
          <w:rFonts w:ascii="Comic Sans MS" w:hAnsi="Comic Sans MS"/>
          <w:sz w:val="20"/>
          <w:szCs w:val="20"/>
        </w:rPr>
        <w:t xml:space="preserve">. </w:t>
      </w:r>
    </w:p>
    <w:p w:rsidR="00FC6EC2" w:rsidRPr="004D2D8C" w:rsidRDefault="00FC6EC2" w:rsidP="00FC6EC2">
      <w:pPr>
        <w:pStyle w:val="ListParagraph"/>
        <w:rPr>
          <w:rFonts w:ascii="Comic Sans MS" w:hAnsi="Comic Sans MS"/>
          <w:sz w:val="20"/>
          <w:szCs w:val="20"/>
        </w:rPr>
      </w:pPr>
    </w:p>
    <w:p w:rsidR="00CD66F5" w:rsidRPr="004D2D8C" w:rsidRDefault="00B43E3F" w:rsidP="0040337E">
      <w:pPr>
        <w:pStyle w:val="ListParagraph"/>
        <w:numPr>
          <w:ilvl w:val="0"/>
          <w:numId w:val="124"/>
        </w:numPr>
        <w:jc w:val="both"/>
        <w:rPr>
          <w:rFonts w:ascii="Comic Sans MS" w:hAnsi="Comic Sans MS"/>
          <w:sz w:val="20"/>
          <w:szCs w:val="20"/>
        </w:rPr>
      </w:pPr>
      <w:r w:rsidRPr="004D2D8C">
        <w:rPr>
          <w:rFonts w:ascii="Comic Sans MS" w:hAnsi="Comic Sans MS"/>
          <w:sz w:val="20"/>
          <w:szCs w:val="20"/>
        </w:rPr>
        <w:t>EIB</w:t>
      </w:r>
      <w:r w:rsidR="005C0EDB" w:rsidRPr="004D2D8C">
        <w:rPr>
          <w:rFonts w:ascii="Comic Sans MS" w:hAnsi="Comic Sans MS"/>
          <w:sz w:val="20"/>
          <w:szCs w:val="20"/>
        </w:rPr>
        <w:t xml:space="preserve"> promovira tržišta okolišnih roba i usluga koja služe</w:t>
      </w:r>
      <w:r w:rsidR="007B09C3" w:rsidRPr="004D2D8C">
        <w:rPr>
          <w:rFonts w:ascii="Comic Sans MS" w:hAnsi="Comic Sans MS"/>
          <w:sz w:val="20"/>
          <w:szCs w:val="20"/>
        </w:rPr>
        <w:t xml:space="preserve"> </w:t>
      </w:r>
      <w:r w:rsidR="0040337E" w:rsidRPr="004D2D8C">
        <w:rPr>
          <w:rFonts w:ascii="Comic Sans MS" w:hAnsi="Comic Sans MS"/>
          <w:sz w:val="20"/>
          <w:szCs w:val="20"/>
        </w:rPr>
        <w:t>kao korektiv za nedostat</w:t>
      </w:r>
      <w:r w:rsidR="00F51985" w:rsidRPr="004D2D8C">
        <w:rPr>
          <w:rFonts w:ascii="Comic Sans MS" w:hAnsi="Comic Sans MS"/>
          <w:sz w:val="20"/>
          <w:szCs w:val="20"/>
        </w:rPr>
        <w:t>n</w:t>
      </w:r>
      <w:r w:rsidR="0040337E" w:rsidRPr="004D2D8C">
        <w:rPr>
          <w:rFonts w:ascii="Comic Sans MS" w:hAnsi="Comic Sans MS"/>
          <w:sz w:val="20"/>
          <w:szCs w:val="20"/>
        </w:rPr>
        <w:t>a ulaganja</w:t>
      </w:r>
      <w:r w:rsidRPr="004D2D8C">
        <w:rPr>
          <w:rFonts w:ascii="Comic Sans MS" w:hAnsi="Comic Sans MS"/>
          <w:sz w:val="20"/>
          <w:szCs w:val="20"/>
        </w:rPr>
        <w:t xml:space="preserve"> (</w:t>
      </w:r>
      <w:r w:rsidR="0040337E" w:rsidRPr="004D2D8C">
        <w:rPr>
          <w:rFonts w:ascii="Comic Sans MS" w:hAnsi="Comic Sans MS"/>
          <w:sz w:val="20"/>
          <w:szCs w:val="20"/>
        </w:rPr>
        <w:t>npr. tržište ugljika u slučaju nisko-ugljičnih tehnologija</w:t>
      </w:r>
      <w:r w:rsidRPr="004D2D8C">
        <w:rPr>
          <w:rFonts w:ascii="Comic Sans MS" w:hAnsi="Comic Sans MS"/>
          <w:sz w:val="20"/>
          <w:szCs w:val="20"/>
        </w:rPr>
        <w:t xml:space="preserve">, </w:t>
      </w:r>
      <w:r w:rsidR="004918DF" w:rsidRPr="004D2D8C">
        <w:rPr>
          <w:rFonts w:ascii="Comic Sans MS" w:hAnsi="Comic Sans MS"/>
          <w:sz w:val="20"/>
          <w:szCs w:val="20"/>
        </w:rPr>
        <w:t>tržište u nastajanju kod usluga ekosustava</w:t>
      </w:r>
      <w:r w:rsidRPr="004D2D8C">
        <w:rPr>
          <w:rFonts w:ascii="Comic Sans MS" w:hAnsi="Comic Sans MS"/>
          <w:sz w:val="20"/>
          <w:szCs w:val="20"/>
        </w:rPr>
        <w:t>). Bank</w:t>
      </w:r>
      <w:r w:rsidR="008461CF" w:rsidRPr="004D2D8C">
        <w:rPr>
          <w:rFonts w:ascii="Comic Sans MS" w:hAnsi="Comic Sans MS"/>
          <w:sz w:val="20"/>
          <w:szCs w:val="20"/>
        </w:rPr>
        <w:t>a</w:t>
      </w:r>
      <w:r w:rsidR="004918DF" w:rsidRPr="004D2D8C">
        <w:rPr>
          <w:rFonts w:ascii="Comic Sans MS" w:hAnsi="Comic Sans MS"/>
          <w:sz w:val="20"/>
          <w:szCs w:val="20"/>
        </w:rPr>
        <w:t xml:space="preserve"> može ponuditi različite vrste pomoći okolišnim projektima kada procijeni da se u suprotnom ne bi nastavila provedba vrijednih projekata</w:t>
      </w:r>
      <w:r w:rsidR="00037764" w:rsidRPr="004D2D8C">
        <w:rPr>
          <w:rFonts w:ascii="Comic Sans MS" w:hAnsi="Comic Sans MS"/>
          <w:sz w:val="20"/>
          <w:szCs w:val="20"/>
        </w:rPr>
        <w:t>. Takva potpora može biti u obliku povoljnih uvjeta financiranja</w:t>
      </w:r>
      <w:r w:rsidRPr="004D2D8C">
        <w:rPr>
          <w:rFonts w:ascii="Comic Sans MS" w:hAnsi="Comic Sans MS"/>
          <w:sz w:val="20"/>
          <w:szCs w:val="20"/>
        </w:rPr>
        <w:t xml:space="preserve">, </w:t>
      </w:r>
      <w:r w:rsidR="00037764" w:rsidRPr="004D2D8C">
        <w:rPr>
          <w:rFonts w:ascii="Comic Sans MS" w:hAnsi="Comic Sans MS"/>
          <w:sz w:val="20"/>
          <w:szCs w:val="20"/>
        </w:rPr>
        <w:t>no također</w:t>
      </w:r>
      <w:r w:rsidR="00A70D27" w:rsidRPr="004D2D8C">
        <w:rPr>
          <w:rFonts w:ascii="Comic Sans MS" w:hAnsi="Comic Sans MS"/>
          <w:sz w:val="20"/>
          <w:szCs w:val="20"/>
        </w:rPr>
        <w:t xml:space="preserve"> </w:t>
      </w:r>
      <w:r w:rsidR="00037764" w:rsidRPr="004D2D8C">
        <w:rPr>
          <w:rFonts w:ascii="Comic Sans MS" w:hAnsi="Comic Sans MS"/>
          <w:sz w:val="20"/>
          <w:szCs w:val="20"/>
        </w:rPr>
        <w:t>može</w:t>
      </w:r>
      <w:r w:rsidR="007F27E2" w:rsidRPr="004D2D8C">
        <w:rPr>
          <w:rFonts w:ascii="Comic Sans MS" w:hAnsi="Comic Sans MS"/>
          <w:sz w:val="20"/>
          <w:szCs w:val="20"/>
        </w:rPr>
        <w:t xml:space="preserve"> proizlaziti i iz</w:t>
      </w:r>
      <w:r w:rsidR="00A70D27" w:rsidRPr="004D2D8C">
        <w:rPr>
          <w:rFonts w:ascii="Comic Sans MS" w:hAnsi="Comic Sans MS"/>
          <w:sz w:val="20"/>
          <w:szCs w:val="20"/>
        </w:rPr>
        <w:t xml:space="preserve"> iskust</w:t>
      </w:r>
      <w:r w:rsidR="007F27E2" w:rsidRPr="004D2D8C">
        <w:rPr>
          <w:rFonts w:ascii="Comic Sans MS" w:hAnsi="Comic Sans MS"/>
          <w:sz w:val="20"/>
          <w:szCs w:val="20"/>
        </w:rPr>
        <w:t>a</w:t>
      </w:r>
      <w:r w:rsidR="00A70D27" w:rsidRPr="004D2D8C">
        <w:rPr>
          <w:rFonts w:ascii="Comic Sans MS" w:hAnsi="Comic Sans MS"/>
          <w:sz w:val="20"/>
          <w:szCs w:val="20"/>
        </w:rPr>
        <w:t xml:space="preserve">va </w:t>
      </w:r>
      <w:r w:rsidRPr="004D2D8C">
        <w:rPr>
          <w:rFonts w:ascii="Comic Sans MS" w:hAnsi="Comic Sans MS"/>
          <w:sz w:val="20"/>
          <w:szCs w:val="20"/>
        </w:rPr>
        <w:t>Bank</w:t>
      </w:r>
      <w:r w:rsidR="00A70D27" w:rsidRPr="004D2D8C">
        <w:rPr>
          <w:rFonts w:ascii="Comic Sans MS" w:hAnsi="Comic Sans MS"/>
          <w:sz w:val="20"/>
          <w:szCs w:val="20"/>
        </w:rPr>
        <w:t xml:space="preserve">e </w:t>
      </w:r>
      <w:r w:rsidR="007F27E2" w:rsidRPr="004D2D8C">
        <w:rPr>
          <w:rFonts w:ascii="Comic Sans MS" w:hAnsi="Comic Sans MS"/>
          <w:sz w:val="20"/>
          <w:szCs w:val="20"/>
        </w:rPr>
        <w:t>te</w:t>
      </w:r>
      <w:r w:rsidR="00A70D27" w:rsidRPr="004D2D8C">
        <w:rPr>
          <w:rFonts w:ascii="Comic Sans MS" w:hAnsi="Comic Sans MS"/>
          <w:sz w:val="20"/>
          <w:szCs w:val="20"/>
        </w:rPr>
        <w:t xml:space="preserve"> drug</w:t>
      </w:r>
      <w:r w:rsidR="007F27E2" w:rsidRPr="004D2D8C">
        <w:rPr>
          <w:rFonts w:ascii="Comic Sans MS" w:hAnsi="Comic Sans MS"/>
          <w:sz w:val="20"/>
          <w:szCs w:val="20"/>
        </w:rPr>
        <w:t xml:space="preserve">ih </w:t>
      </w:r>
      <w:r w:rsidR="00A70D27" w:rsidRPr="004D2D8C">
        <w:rPr>
          <w:rFonts w:ascii="Comic Sans MS" w:hAnsi="Comic Sans MS"/>
          <w:sz w:val="20"/>
          <w:szCs w:val="20"/>
        </w:rPr>
        <w:t>oblik</w:t>
      </w:r>
      <w:r w:rsidR="007F27E2" w:rsidRPr="004D2D8C">
        <w:rPr>
          <w:rFonts w:ascii="Comic Sans MS" w:hAnsi="Comic Sans MS"/>
          <w:sz w:val="20"/>
          <w:szCs w:val="20"/>
        </w:rPr>
        <w:t>a tehničke pomoći, uključujući pomoć kod financijskog strukturiranja i upravljanja rizicima</w:t>
      </w:r>
      <w:r w:rsidRPr="004D2D8C">
        <w:rPr>
          <w:rFonts w:ascii="Comic Sans MS" w:hAnsi="Comic Sans MS"/>
          <w:sz w:val="20"/>
          <w:szCs w:val="20"/>
        </w:rPr>
        <w:t>. Bank</w:t>
      </w:r>
      <w:r w:rsidR="007F27E2" w:rsidRPr="004D2D8C">
        <w:rPr>
          <w:rFonts w:ascii="Comic Sans MS" w:hAnsi="Comic Sans MS"/>
          <w:sz w:val="20"/>
          <w:szCs w:val="20"/>
        </w:rPr>
        <w:t>a</w:t>
      </w:r>
      <w:r w:rsidRPr="004D2D8C">
        <w:rPr>
          <w:rFonts w:ascii="Comic Sans MS" w:hAnsi="Comic Sans MS"/>
          <w:sz w:val="20"/>
          <w:szCs w:val="20"/>
        </w:rPr>
        <w:t xml:space="preserve"> promo</w:t>
      </w:r>
      <w:r w:rsidR="007F27E2" w:rsidRPr="004D2D8C">
        <w:rPr>
          <w:rFonts w:ascii="Comic Sans MS" w:hAnsi="Comic Sans MS"/>
          <w:sz w:val="20"/>
          <w:szCs w:val="20"/>
        </w:rPr>
        <w:t>vira primjenu načel</w:t>
      </w:r>
      <w:r w:rsidR="00BF6D0F" w:rsidRPr="004D2D8C">
        <w:rPr>
          <w:rFonts w:ascii="Comic Sans MS" w:hAnsi="Comic Sans MS"/>
          <w:sz w:val="20"/>
          <w:szCs w:val="20"/>
        </w:rPr>
        <w:t>a</w:t>
      </w:r>
      <w:r w:rsidR="007F27E2" w:rsidRPr="004D2D8C">
        <w:rPr>
          <w:rFonts w:ascii="Comic Sans MS" w:hAnsi="Comic Sans MS"/>
          <w:sz w:val="20"/>
          <w:szCs w:val="20"/>
        </w:rPr>
        <w:t xml:space="preserve"> „zagađivač plaća“</w:t>
      </w:r>
      <w:r w:rsidRPr="004D2D8C">
        <w:rPr>
          <w:rFonts w:ascii="Comic Sans MS" w:hAnsi="Comic Sans MS"/>
          <w:sz w:val="20"/>
          <w:szCs w:val="20"/>
        </w:rPr>
        <w:t xml:space="preserve">. </w:t>
      </w:r>
    </w:p>
    <w:p w:rsidR="00CD66F5" w:rsidRPr="004D2D8C" w:rsidRDefault="00CD66F5" w:rsidP="00CD66F5">
      <w:pPr>
        <w:pStyle w:val="ListParagraph"/>
        <w:rPr>
          <w:rFonts w:ascii="Comic Sans MS" w:hAnsi="Comic Sans MS"/>
          <w:sz w:val="20"/>
          <w:szCs w:val="20"/>
        </w:rPr>
      </w:pPr>
    </w:p>
    <w:p w:rsidR="00CD66F5" w:rsidRPr="004D2D8C" w:rsidRDefault="00B43E3F"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EIB </w:t>
      </w:r>
      <w:r w:rsidR="007B09C3" w:rsidRPr="004D2D8C">
        <w:rPr>
          <w:rFonts w:ascii="Comic Sans MS" w:hAnsi="Comic Sans MS"/>
          <w:sz w:val="20"/>
          <w:szCs w:val="20"/>
        </w:rPr>
        <w:t xml:space="preserve">pruža </w:t>
      </w:r>
      <w:r w:rsidRPr="004D2D8C">
        <w:rPr>
          <w:rFonts w:ascii="Comic Sans MS" w:hAnsi="Comic Sans MS"/>
          <w:sz w:val="20"/>
          <w:szCs w:val="20"/>
        </w:rPr>
        <w:t>tehni</w:t>
      </w:r>
      <w:r w:rsidR="007F27E2" w:rsidRPr="004D2D8C">
        <w:rPr>
          <w:rFonts w:ascii="Comic Sans MS" w:hAnsi="Comic Sans MS"/>
          <w:sz w:val="20"/>
          <w:szCs w:val="20"/>
        </w:rPr>
        <w:t xml:space="preserve">čku pomoć različitih oblika na područjima svog poslovanja kako bi unaprijedio svoje </w:t>
      </w:r>
      <w:r w:rsidR="005A7AA6" w:rsidRPr="004D2D8C">
        <w:rPr>
          <w:rFonts w:ascii="Comic Sans MS" w:hAnsi="Comic Sans MS"/>
          <w:sz w:val="20"/>
          <w:szCs w:val="20"/>
        </w:rPr>
        <w:t>okolišn</w:t>
      </w:r>
      <w:r w:rsidR="007F27E2" w:rsidRPr="004D2D8C">
        <w:rPr>
          <w:rFonts w:ascii="Comic Sans MS" w:hAnsi="Comic Sans MS"/>
          <w:sz w:val="20"/>
          <w:szCs w:val="20"/>
        </w:rPr>
        <w:t>e</w:t>
      </w:r>
      <w:r w:rsidR="005A7AA6" w:rsidRPr="004D2D8C">
        <w:rPr>
          <w:rFonts w:ascii="Comic Sans MS" w:hAnsi="Comic Sans MS"/>
          <w:sz w:val="20"/>
          <w:szCs w:val="20"/>
        </w:rPr>
        <w:t xml:space="preserve"> i socijaln</w:t>
      </w:r>
      <w:r w:rsidR="007F27E2" w:rsidRPr="004D2D8C">
        <w:rPr>
          <w:rFonts w:ascii="Comic Sans MS" w:hAnsi="Comic Sans MS"/>
          <w:sz w:val="20"/>
          <w:szCs w:val="20"/>
        </w:rPr>
        <w:t>e prakse</w:t>
      </w:r>
      <w:r w:rsidRPr="004D2D8C">
        <w:rPr>
          <w:rFonts w:ascii="Comic Sans MS" w:hAnsi="Comic Sans MS"/>
          <w:sz w:val="20"/>
          <w:szCs w:val="20"/>
        </w:rPr>
        <w:t xml:space="preserve">. </w:t>
      </w:r>
      <w:r w:rsidR="007F27E2" w:rsidRPr="004D2D8C">
        <w:rPr>
          <w:rFonts w:ascii="Comic Sans MS" w:hAnsi="Comic Sans MS"/>
          <w:sz w:val="20"/>
          <w:szCs w:val="20"/>
        </w:rPr>
        <w:t xml:space="preserve">Osim što na raspolaganje stavlja svoju vlastitu internu ekspertizu, </w:t>
      </w:r>
      <w:r w:rsidRPr="004D2D8C">
        <w:rPr>
          <w:rFonts w:ascii="Comic Sans MS" w:hAnsi="Comic Sans MS"/>
          <w:sz w:val="20"/>
          <w:szCs w:val="20"/>
        </w:rPr>
        <w:t>Bank</w:t>
      </w:r>
      <w:r w:rsidR="007F27E2" w:rsidRPr="004D2D8C">
        <w:rPr>
          <w:rFonts w:ascii="Comic Sans MS" w:hAnsi="Comic Sans MS"/>
          <w:sz w:val="20"/>
          <w:szCs w:val="20"/>
        </w:rPr>
        <w:t xml:space="preserve">a može financirati konzultante za izradu sektorskih, tržišnih i ostalih generičkih studija ili za pružanje pomoći promotoru kod obavljanja projektno-specifičnih zadataka kao, primjerice, zadataka povezanih s formalnom </w:t>
      </w:r>
      <w:r w:rsidR="00097E35" w:rsidRPr="004D2D8C">
        <w:rPr>
          <w:rFonts w:ascii="Comic Sans MS" w:hAnsi="Comic Sans MS"/>
          <w:sz w:val="20"/>
          <w:szCs w:val="20"/>
        </w:rPr>
        <w:t>Procjen</w:t>
      </w:r>
      <w:r w:rsidR="007F27E2" w:rsidRPr="004D2D8C">
        <w:rPr>
          <w:rFonts w:ascii="Comic Sans MS" w:hAnsi="Comic Sans MS"/>
          <w:sz w:val="20"/>
          <w:szCs w:val="20"/>
        </w:rPr>
        <w:t>om utjecaja na okoliš (EIA)</w:t>
      </w:r>
      <w:r w:rsidRPr="004D2D8C">
        <w:rPr>
          <w:rFonts w:ascii="Comic Sans MS" w:hAnsi="Comic Sans MS"/>
          <w:sz w:val="20"/>
          <w:szCs w:val="20"/>
        </w:rPr>
        <w:t>,</w:t>
      </w:r>
      <w:r w:rsidR="007F27E2" w:rsidRPr="004D2D8C">
        <w:rPr>
          <w:rFonts w:ascii="Comic Sans MS" w:hAnsi="Comic Sans MS"/>
          <w:sz w:val="20"/>
          <w:szCs w:val="20"/>
        </w:rPr>
        <w:t xml:space="preserve"> </w:t>
      </w:r>
      <w:r w:rsidR="005245AF" w:rsidRPr="004D2D8C">
        <w:rPr>
          <w:rFonts w:ascii="Comic Sans MS" w:hAnsi="Comic Sans MS"/>
          <w:sz w:val="20"/>
          <w:szCs w:val="20"/>
        </w:rPr>
        <w:t xml:space="preserve">kao i </w:t>
      </w:r>
      <w:r w:rsidR="007F27E2" w:rsidRPr="004D2D8C">
        <w:rPr>
          <w:rFonts w:ascii="Comic Sans MS" w:hAnsi="Comic Sans MS"/>
          <w:sz w:val="20"/>
          <w:szCs w:val="20"/>
        </w:rPr>
        <w:t xml:space="preserve">za jačanje </w:t>
      </w:r>
      <w:r w:rsidR="0081544E" w:rsidRPr="004D2D8C">
        <w:rPr>
          <w:rFonts w:ascii="Comic Sans MS" w:hAnsi="Comic Sans MS"/>
          <w:sz w:val="20"/>
          <w:szCs w:val="20"/>
        </w:rPr>
        <w:t xml:space="preserve">kapaciteta za okolišno upravljanje te za rješavanje određenih okolišnih pitanja </w:t>
      </w:r>
      <w:r w:rsidRPr="004D2D8C">
        <w:rPr>
          <w:rFonts w:ascii="Comic Sans MS" w:hAnsi="Comic Sans MS"/>
          <w:sz w:val="20"/>
          <w:szCs w:val="20"/>
        </w:rPr>
        <w:t>(</w:t>
      </w:r>
      <w:r w:rsidR="0081544E" w:rsidRPr="004D2D8C">
        <w:rPr>
          <w:rFonts w:ascii="Comic Sans MS" w:hAnsi="Comic Sans MS"/>
          <w:sz w:val="20"/>
          <w:szCs w:val="20"/>
        </w:rPr>
        <w:t>npr. energetska revizija radi jačanja energetske učinkovitosti te razvijanja potencijala ugljičnih kredita</w:t>
      </w:r>
      <w:r w:rsidRPr="004D2D8C">
        <w:rPr>
          <w:rFonts w:ascii="Comic Sans MS" w:hAnsi="Comic Sans MS"/>
          <w:sz w:val="20"/>
          <w:szCs w:val="20"/>
        </w:rPr>
        <w:t xml:space="preserve">). </w:t>
      </w:r>
    </w:p>
    <w:p w:rsidR="00CD66F5" w:rsidRPr="004D2D8C" w:rsidRDefault="00CD66F5" w:rsidP="00CD66F5">
      <w:pPr>
        <w:pStyle w:val="ListParagraph"/>
        <w:rPr>
          <w:rFonts w:ascii="Comic Sans MS" w:hAnsi="Comic Sans MS"/>
          <w:sz w:val="20"/>
          <w:szCs w:val="20"/>
        </w:rPr>
      </w:pPr>
    </w:p>
    <w:p w:rsidR="00CD66F5" w:rsidRPr="004D2D8C" w:rsidRDefault="00C325D8" w:rsidP="00CD66F5">
      <w:pPr>
        <w:pStyle w:val="ListParagraph"/>
        <w:jc w:val="both"/>
        <w:rPr>
          <w:rFonts w:ascii="Comic Sans MS" w:hAnsi="Comic Sans MS"/>
          <w:sz w:val="20"/>
          <w:szCs w:val="20"/>
          <w:u w:val="single"/>
        </w:rPr>
      </w:pPr>
      <w:r w:rsidRPr="004D2D8C">
        <w:rPr>
          <w:rFonts w:ascii="Comic Sans MS" w:hAnsi="Comic Sans MS"/>
          <w:sz w:val="20"/>
          <w:szCs w:val="20"/>
          <w:u w:val="single"/>
        </w:rPr>
        <w:t>Smanjenje</w:t>
      </w:r>
      <w:r w:rsidR="00A70D27" w:rsidRPr="004D2D8C">
        <w:rPr>
          <w:rFonts w:ascii="Comic Sans MS" w:hAnsi="Comic Sans MS"/>
          <w:sz w:val="20"/>
          <w:szCs w:val="20"/>
          <w:u w:val="single"/>
        </w:rPr>
        <w:t xml:space="preserve"> o</w:t>
      </w:r>
      <w:r w:rsidR="005A7AA6" w:rsidRPr="004D2D8C">
        <w:rPr>
          <w:rFonts w:ascii="Comic Sans MS" w:hAnsi="Comic Sans MS"/>
          <w:sz w:val="20"/>
          <w:szCs w:val="20"/>
          <w:u w:val="single"/>
        </w:rPr>
        <w:t>kolišn</w:t>
      </w:r>
      <w:r w:rsidR="00A70D27" w:rsidRPr="004D2D8C">
        <w:rPr>
          <w:rFonts w:ascii="Comic Sans MS" w:hAnsi="Comic Sans MS"/>
          <w:sz w:val="20"/>
          <w:szCs w:val="20"/>
          <w:u w:val="single"/>
        </w:rPr>
        <w:t>ih</w:t>
      </w:r>
      <w:r w:rsidR="005A7AA6" w:rsidRPr="004D2D8C">
        <w:rPr>
          <w:rFonts w:ascii="Comic Sans MS" w:hAnsi="Comic Sans MS"/>
          <w:sz w:val="20"/>
          <w:szCs w:val="20"/>
          <w:u w:val="single"/>
        </w:rPr>
        <w:t xml:space="preserve"> i socijaln</w:t>
      </w:r>
      <w:r w:rsidR="00A70D27" w:rsidRPr="004D2D8C">
        <w:rPr>
          <w:rFonts w:ascii="Comic Sans MS" w:hAnsi="Comic Sans MS"/>
          <w:sz w:val="20"/>
          <w:szCs w:val="20"/>
          <w:u w:val="single"/>
        </w:rPr>
        <w:t>ih</w:t>
      </w:r>
      <w:r w:rsidR="005A7AA6" w:rsidRPr="004D2D8C">
        <w:rPr>
          <w:rFonts w:ascii="Comic Sans MS" w:hAnsi="Comic Sans MS"/>
          <w:sz w:val="20"/>
          <w:szCs w:val="20"/>
          <w:u w:val="single"/>
        </w:rPr>
        <w:t xml:space="preserve"> </w:t>
      </w:r>
      <w:r w:rsidRPr="004D2D8C">
        <w:rPr>
          <w:rFonts w:ascii="Comic Sans MS" w:hAnsi="Comic Sans MS"/>
          <w:sz w:val="20"/>
          <w:szCs w:val="20"/>
          <w:u w:val="single"/>
        </w:rPr>
        <w:t xml:space="preserve">troškova </w:t>
      </w:r>
      <w:r w:rsidR="00B43E3F" w:rsidRPr="004D2D8C">
        <w:rPr>
          <w:rFonts w:ascii="Comic Sans MS" w:hAnsi="Comic Sans MS"/>
          <w:sz w:val="20"/>
          <w:szCs w:val="20"/>
          <w:u w:val="single"/>
        </w:rPr>
        <w:t xml:space="preserve"> </w:t>
      </w:r>
    </w:p>
    <w:p w:rsidR="00CD66F5" w:rsidRPr="004D2D8C" w:rsidRDefault="00CD66F5" w:rsidP="00CD66F5">
      <w:pPr>
        <w:pStyle w:val="ListParagraph"/>
        <w:rPr>
          <w:rFonts w:ascii="Comic Sans MS" w:hAnsi="Comic Sans MS"/>
          <w:sz w:val="20"/>
          <w:szCs w:val="20"/>
        </w:rPr>
      </w:pPr>
    </w:p>
    <w:p w:rsidR="002D39F5" w:rsidRPr="004D2D8C" w:rsidRDefault="00B43E3F"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EIB </w:t>
      </w:r>
      <w:r w:rsidR="003B08EC" w:rsidRPr="004D2D8C">
        <w:rPr>
          <w:rFonts w:ascii="Comic Sans MS" w:hAnsi="Comic Sans MS"/>
          <w:sz w:val="20"/>
          <w:szCs w:val="20"/>
        </w:rPr>
        <w:t xml:space="preserve">projekte </w:t>
      </w:r>
      <w:r w:rsidR="004D3910" w:rsidRPr="004D2D8C">
        <w:rPr>
          <w:rFonts w:ascii="Comic Sans MS" w:hAnsi="Comic Sans MS"/>
          <w:sz w:val="20"/>
          <w:szCs w:val="20"/>
        </w:rPr>
        <w:t>financira</w:t>
      </w:r>
      <w:r w:rsidR="005609BE" w:rsidRPr="004D2D8C">
        <w:rPr>
          <w:rFonts w:ascii="Comic Sans MS" w:hAnsi="Comic Sans MS"/>
          <w:sz w:val="20"/>
          <w:szCs w:val="20"/>
        </w:rPr>
        <w:t xml:space="preserve"> </w:t>
      </w:r>
      <w:r w:rsidR="003B08EC" w:rsidRPr="004D2D8C">
        <w:rPr>
          <w:rFonts w:ascii="Comic Sans MS" w:hAnsi="Comic Sans MS"/>
          <w:sz w:val="20"/>
          <w:szCs w:val="20"/>
        </w:rPr>
        <w:t>r</w:t>
      </w:r>
      <w:r w:rsidR="005609BE" w:rsidRPr="004D2D8C">
        <w:rPr>
          <w:rFonts w:ascii="Comic Sans MS" w:hAnsi="Comic Sans MS"/>
          <w:sz w:val="20"/>
          <w:szCs w:val="20"/>
        </w:rPr>
        <w:t xml:space="preserve">adi ostvarenja niza </w:t>
      </w:r>
      <w:r w:rsidR="003B08EC" w:rsidRPr="004D2D8C">
        <w:rPr>
          <w:rFonts w:ascii="Comic Sans MS" w:hAnsi="Comic Sans MS"/>
          <w:sz w:val="20"/>
          <w:szCs w:val="20"/>
        </w:rPr>
        <w:t xml:space="preserve">prioritetnih ciljeva politike </w:t>
      </w:r>
      <w:r w:rsidRPr="004D2D8C">
        <w:rPr>
          <w:rFonts w:ascii="Comic Sans MS" w:hAnsi="Comic Sans MS"/>
          <w:sz w:val="20"/>
          <w:szCs w:val="20"/>
        </w:rPr>
        <w:t>EU</w:t>
      </w:r>
      <w:r w:rsidR="003B08EC" w:rsidRPr="004D2D8C">
        <w:rPr>
          <w:rFonts w:ascii="Comic Sans MS" w:hAnsi="Comic Sans MS"/>
          <w:sz w:val="20"/>
          <w:szCs w:val="20"/>
        </w:rPr>
        <w:t>-a, i to ne samo</w:t>
      </w:r>
      <w:r w:rsidR="00870D58" w:rsidRPr="004D2D8C">
        <w:rPr>
          <w:rFonts w:ascii="Comic Sans MS" w:hAnsi="Comic Sans MS"/>
          <w:sz w:val="20"/>
          <w:szCs w:val="20"/>
        </w:rPr>
        <w:t xml:space="preserve"> </w:t>
      </w:r>
      <w:r w:rsidR="000835B4" w:rsidRPr="004D2D8C">
        <w:rPr>
          <w:rFonts w:ascii="Comic Sans MS" w:hAnsi="Comic Sans MS"/>
          <w:sz w:val="20"/>
          <w:szCs w:val="20"/>
        </w:rPr>
        <w:t>ciljeva</w:t>
      </w:r>
      <w:r w:rsidR="00870D58" w:rsidRPr="004D2D8C">
        <w:rPr>
          <w:rFonts w:ascii="Comic Sans MS" w:hAnsi="Comic Sans MS"/>
          <w:sz w:val="20"/>
          <w:szCs w:val="20"/>
        </w:rPr>
        <w:t xml:space="preserve"> okolišne i/ili socijalne prirode</w:t>
      </w:r>
      <w:r w:rsidRPr="004D2D8C">
        <w:rPr>
          <w:rFonts w:ascii="Comic Sans MS" w:hAnsi="Comic Sans MS"/>
          <w:sz w:val="20"/>
          <w:szCs w:val="20"/>
        </w:rPr>
        <w:t xml:space="preserve">. </w:t>
      </w:r>
      <w:r w:rsidR="005F432F" w:rsidRPr="004D2D8C">
        <w:rPr>
          <w:rFonts w:ascii="Comic Sans MS" w:hAnsi="Comic Sans MS"/>
          <w:sz w:val="20"/>
          <w:szCs w:val="20"/>
        </w:rPr>
        <w:t>Ukoliko neki projekt</w:t>
      </w:r>
      <w:r w:rsidR="005C2B55" w:rsidRPr="004D2D8C">
        <w:rPr>
          <w:rFonts w:ascii="Comic Sans MS" w:hAnsi="Comic Sans MS"/>
          <w:sz w:val="20"/>
          <w:szCs w:val="20"/>
        </w:rPr>
        <w:t xml:space="preserve"> ima značajne negativne okolišne i/ili socijalne učinke zbog svoje veličine, prirode ili lokacije</w:t>
      </w:r>
      <w:r w:rsidRPr="004D2D8C">
        <w:rPr>
          <w:rFonts w:ascii="Comic Sans MS" w:hAnsi="Comic Sans MS"/>
          <w:sz w:val="20"/>
          <w:szCs w:val="20"/>
        </w:rPr>
        <w:t xml:space="preserve">, </w:t>
      </w:r>
      <w:r w:rsidR="00E91C54" w:rsidRPr="004D2D8C">
        <w:rPr>
          <w:rFonts w:ascii="Comic Sans MS" w:hAnsi="Comic Sans MS"/>
          <w:sz w:val="20"/>
          <w:szCs w:val="20"/>
        </w:rPr>
        <w:t>potrebno je razmotriti alternativna rješenja te utvrditi odgovarajuće mjere ublažavanja i</w:t>
      </w:r>
      <w:r w:rsidRPr="004D2D8C">
        <w:rPr>
          <w:rFonts w:ascii="Comic Sans MS" w:hAnsi="Comic Sans MS"/>
          <w:sz w:val="20"/>
          <w:szCs w:val="20"/>
        </w:rPr>
        <w:t>/</w:t>
      </w:r>
      <w:r w:rsidR="00E91C54" w:rsidRPr="004D2D8C">
        <w:rPr>
          <w:rFonts w:ascii="Comic Sans MS" w:hAnsi="Comic Sans MS"/>
          <w:sz w:val="20"/>
          <w:szCs w:val="20"/>
        </w:rPr>
        <w:t>ili kompenziranja</w:t>
      </w:r>
      <w:r w:rsidRPr="004D2D8C">
        <w:rPr>
          <w:rFonts w:ascii="Comic Sans MS" w:hAnsi="Comic Sans MS"/>
          <w:sz w:val="20"/>
          <w:szCs w:val="20"/>
        </w:rPr>
        <w:t xml:space="preserve">. </w:t>
      </w:r>
    </w:p>
    <w:p w:rsidR="002D39F5" w:rsidRPr="004D2D8C" w:rsidRDefault="002D39F5" w:rsidP="002D39F5">
      <w:pPr>
        <w:pStyle w:val="ListParagraph"/>
        <w:jc w:val="both"/>
        <w:rPr>
          <w:rFonts w:ascii="Comic Sans MS" w:hAnsi="Comic Sans MS"/>
          <w:sz w:val="20"/>
          <w:szCs w:val="20"/>
        </w:rPr>
      </w:pPr>
    </w:p>
    <w:p w:rsidR="000938CA" w:rsidRPr="004D2D8C" w:rsidRDefault="00152032" w:rsidP="00D44A65">
      <w:pPr>
        <w:pStyle w:val="ListParagraph"/>
        <w:numPr>
          <w:ilvl w:val="0"/>
          <w:numId w:val="124"/>
        </w:numPr>
        <w:jc w:val="both"/>
        <w:rPr>
          <w:rFonts w:ascii="Comic Sans MS" w:hAnsi="Comic Sans MS"/>
          <w:sz w:val="20"/>
          <w:szCs w:val="20"/>
        </w:rPr>
      </w:pPr>
      <w:r w:rsidRPr="004D2D8C">
        <w:rPr>
          <w:rFonts w:ascii="Comic Sans MS" w:hAnsi="Comic Sans MS"/>
          <w:sz w:val="20"/>
          <w:szCs w:val="20"/>
        </w:rPr>
        <w:t>Svi projekti koje EIB financira</w:t>
      </w:r>
      <w:r w:rsidR="00E91C54" w:rsidRPr="004D2D8C">
        <w:rPr>
          <w:rFonts w:ascii="Comic Sans MS" w:hAnsi="Comic Sans MS"/>
          <w:sz w:val="20"/>
          <w:szCs w:val="20"/>
        </w:rPr>
        <w:t xml:space="preserve"> moraju proći</w:t>
      </w:r>
      <w:r w:rsidR="00A650EF" w:rsidRPr="004D2D8C">
        <w:rPr>
          <w:rFonts w:ascii="Comic Sans MS" w:hAnsi="Comic Sans MS"/>
          <w:sz w:val="20"/>
          <w:szCs w:val="20"/>
        </w:rPr>
        <w:t xml:space="preserve"> odgovarajući</w:t>
      </w:r>
      <w:r w:rsidR="00E91C54" w:rsidRPr="004D2D8C">
        <w:rPr>
          <w:rFonts w:ascii="Comic Sans MS" w:hAnsi="Comic Sans MS"/>
          <w:sz w:val="20"/>
          <w:szCs w:val="20"/>
        </w:rPr>
        <w:t xml:space="preserve"> EIB-ov postupak okolišne procjene </w:t>
      </w:r>
      <w:r w:rsidR="00B43E3F" w:rsidRPr="004D2D8C">
        <w:rPr>
          <w:rFonts w:ascii="Comic Sans MS" w:hAnsi="Comic Sans MS"/>
          <w:sz w:val="20"/>
          <w:szCs w:val="20"/>
        </w:rPr>
        <w:t>(</w:t>
      </w:r>
      <w:r w:rsidR="00E91C54" w:rsidRPr="004D2D8C">
        <w:rPr>
          <w:rFonts w:ascii="Comic Sans MS" w:hAnsi="Comic Sans MS"/>
          <w:sz w:val="20"/>
          <w:szCs w:val="20"/>
        </w:rPr>
        <w:t>environmental assessment</w:t>
      </w:r>
      <w:r w:rsidR="005245AF" w:rsidRPr="004D2D8C">
        <w:rPr>
          <w:rFonts w:ascii="Comic Sans MS" w:hAnsi="Comic Sans MS"/>
          <w:sz w:val="20"/>
          <w:szCs w:val="20"/>
        </w:rPr>
        <w:t xml:space="preserve"> -</w:t>
      </w:r>
      <w:r w:rsidR="00E91C54" w:rsidRPr="004D2D8C">
        <w:rPr>
          <w:rFonts w:ascii="Comic Sans MS" w:hAnsi="Comic Sans MS"/>
          <w:sz w:val="20"/>
          <w:szCs w:val="20"/>
        </w:rPr>
        <w:t xml:space="preserve"> </w:t>
      </w:r>
      <w:r w:rsidR="00B43E3F" w:rsidRPr="004D2D8C">
        <w:rPr>
          <w:rFonts w:ascii="Comic Sans MS" w:hAnsi="Comic Sans MS"/>
          <w:sz w:val="20"/>
          <w:szCs w:val="20"/>
        </w:rPr>
        <w:t>EA)</w:t>
      </w:r>
      <w:r w:rsidR="00E91C54" w:rsidRPr="004D2D8C">
        <w:rPr>
          <w:rFonts w:ascii="Comic Sans MS" w:hAnsi="Comic Sans MS"/>
          <w:sz w:val="20"/>
          <w:szCs w:val="20"/>
        </w:rPr>
        <w:t xml:space="preserve"> na temelju informacija koje dostavljaju promotor i ostali dionici kako je </w:t>
      </w:r>
      <w:r w:rsidR="00A650EF" w:rsidRPr="004D2D8C">
        <w:rPr>
          <w:rFonts w:ascii="Comic Sans MS" w:hAnsi="Comic Sans MS"/>
          <w:sz w:val="20"/>
          <w:szCs w:val="20"/>
        </w:rPr>
        <w:t xml:space="preserve">to </w:t>
      </w:r>
      <w:r w:rsidR="00E91C54" w:rsidRPr="004D2D8C">
        <w:rPr>
          <w:rFonts w:ascii="Comic Sans MS" w:hAnsi="Comic Sans MS"/>
          <w:sz w:val="20"/>
          <w:szCs w:val="20"/>
        </w:rPr>
        <w:t xml:space="preserve">detaljno opisano u </w:t>
      </w:r>
      <w:r w:rsidR="002C717F" w:rsidRPr="004D2D8C">
        <w:rPr>
          <w:rFonts w:ascii="Comic Sans MS" w:hAnsi="Comic Sans MS"/>
          <w:sz w:val="20"/>
          <w:szCs w:val="20"/>
        </w:rPr>
        <w:t>Priručnik</w:t>
      </w:r>
      <w:r w:rsidR="00E91C54" w:rsidRPr="004D2D8C">
        <w:rPr>
          <w:rFonts w:ascii="Comic Sans MS" w:hAnsi="Comic Sans MS"/>
          <w:sz w:val="20"/>
          <w:szCs w:val="20"/>
        </w:rPr>
        <w:t>u</w:t>
      </w:r>
      <w:r w:rsidR="00B43E3F" w:rsidRPr="004D2D8C">
        <w:rPr>
          <w:rFonts w:ascii="Comic Sans MS" w:hAnsi="Comic Sans MS"/>
          <w:sz w:val="20"/>
          <w:szCs w:val="20"/>
        </w:rPr>
        <w:t xml:space="preserve">. </w:t>
      </w:r>
      <w:r w:rsidR="00E91C54" w:rsidRPr="004D2D8C">
        <w:rPr>
          <w:rFonts w:ascii="Comic Sans MS" w:hAnsi="Comic Sans MS"/>
          <w:sz w:val="20"/>
          <w:szCs w:val="20"/>
        </w:rPr>
        <w:t xml:space="preserve">Bez obzira na potrebu </w:t>
      </w:r>
      <w:r w:rsidR="00A650EF" w:rsidRPr="004D2D8C">
        <w:rPr>
          <w:rFonts w:ascii="Comic Sans MS" w:hAnsi="Comic Sans MS"/>
          <w:sz w:val="20"/>
          <w:szCs w:val="20"/>
        </w:rPr>
        <w:t>z</w:t>
      </w:r>
      <w:r w:rsidR="00E91C54" w:rsidRPr="004D2D8C">
        <w:rPr>
          <w:rFonts w:ascii="Comic Sans MS" w:hAnsi="Comic Sans MS"/>
          <w:sz w:val="20"/>
          <w:szCs w:val="20"/>
        </w:rPr>
        <w:t>a</w:t>
      </w:r>
      <w:r w:rsidR="00A650EF" w:rsidRPr="004D2D8C">
        <w:rPr>
          <w:rFonts w:ascii="Comic Sans MS" w:hAnsi="Comic Sans MS"/>
          <w:sz w:val="20"/>
          <w:szCs w:val="20"/>
        </w:rPr>
        <w:t xml:space="preserve"> </w:t>
      </w:r>
      <w:r w:rsidR="00E91C54" w:rsidRPr="004D2D8C">
        <w:rPr>
          <w:rFonts w:ascii="Comic Sans MS" w:hAnsi="Comic Sans MS"/>
          <w:sz w:val="20"/>
          <w:szCs w:val="20"/>
        </w:rPr>
        <w:t>izrad</w:t>
      </w:r>
      <w:r w:rsidR="00A650EF" w:rsidRPr="004D2D8C">
        <w:rPr>
          <w:rFonts w:ascii="Comic Sans MS" w:hAnsi="Comic Sans MS"/>
          <w:sz w:val="20"/>
          <w:szCs w:val="20"/>
        </w:rPr>
        <w:t>om</w:t>
      </w:r>
      <w:r w:rsidR="00E91C54" w:rsidRPr="004D2D8C">
        <w:rPr>
          <w:rFonts w:ascii="Comic Sans MS" w:hAnsi="Comic Sans MS"/>
          <w:sz w:val="20"/>
          <w:szCs w:val="20"/>
        </w:rPr>
        <w:t xml:space="preserve"> formaln</w:t>
      </w:r>
      <w:r w:rsidR="00A650EF" w:rsidRPr="004D2D8C">
        <w:rPr>
          <w:rFonts w:ascii="Comic Sans MS" w:hAnsi="Comic Sans MS"/>
          <w:sz w:val="20"/>
          <w:szCs w:val="20"/>
        </w:rPr>
        <w:t>e</w:t>
      </w:r>
      <w:r w:rsidR="00E91C54" w:rsidRPr="004D2D8C">
        <w:rPr>
          <w:rFonts w:ascii="Comic Sans MS" w:hAnsi="Comic Sans MS"/>
          <w:sz w:val="20"/>
          <w:szCs w:val="20"/>
        </w:rPr>
        <w:t xml:space="preserve"> </w:t>
      </w:r>
      <w:r w:rsidR="00097E35" w:rsidRPr="004D2D8C">
        <w:rPr>
          <w:rFonts w:ascii="Comic Sans MS" w:hAnsi="Comic Sans MS"/>
          <w:sz w:val="20"/>
          <w:szCs w:val="20"/>
        </w:rPr>
        <w:t>Procjene</w:t>
      </w:r>
      <w:r w:rsidR="00E91C54" w:rsidRPr="004D2D8C">
        <w:rPr>
          <w:rFonts w:ascii="Comic Sans MS" w:hAnsi="Comic Sans MS"/>
          <w:sz w:val="20"/>
          <w:szCs w:val="20"/>
        </w:rPr>
        <w:t xml:space="preserve"> utjecaja na okoliš</w:t>
      </w:r>
      <w:r w:rsidR="00B43E3F" w:rsidRPr="004D2D8C">
        <w:rPr>
          <w:rFonts w:ascii="Comic Sans MS" w:hAnsi="Comic Sans MS"/>
          <w:sz w:val="20"/>
          <w:szCs w:val="20"/>
        </w:rPr>
        <w:t xml:space="preserve"> </w:t>
      </w:r>
      <w:r w:rsidR="00E91C54" w:rsidRPr="004D2D8C">
        <w:rPr>
          <w:rFonts w:ascii="Comic Sans MS" w:hAnsi="Comic Sans MS"/>
          <w:sz w:val="20"/>
          <w:szCs w:val="20"/>
        </w:rPr>
        <w:t>(</w:t>
      </w:r>
      <w:r w:rsidR="00B43E3F" w:rsidRPr="004D2D8C">
        <w:rPr>
          <w:rFonts w:ascii="Comic Sans MS" w:hAnsi="Comic Sans MS"/>
          <w:sz w:val="20"/>
          <w:szCs w:val="20"/>
        </w:rPr>
        <w:t>EIA</w:t>
      </w:r>
      <w:r w:rsidR="00E91C54" w:rsidRPr="004D2D8C">
        <w:rPr>
          <w:rFonts w:ascii="Comic Sans MS" w:hAnsi="Comic Sans MS"/>
          <w:sz w:val="20"/>
          <w:szCs w:val="20"/>
        </w:rPr>
        <w:t>)</w:t>
      </w:r>
      <w:r w:rsidR="00B43E3F" w:rsidRPr="004D2D8C">
        <w:rPr>
          <w:rFonts w:ascii="Comic Sans MS" w:hAnsi="Comic Sans MS"/>
          <w:sz w:val="20"/>
          <w:szCs w:val="20"/>
        </w:rPr>
        <w:t>,</w:t>
      </w:r>
      <w:r w:rsidR="00E91C54" w:rsidRPr="004D2D8C">
        <w:rPr>
          <w:rFonts w:ascii="Comic Sans MS" w:hAnsi="Comic Sans MS"/>
          <w:sz w:val="20"/>
          <w:szCs w:val="20"/>
        </w:rPr>
        <w:t xml:space="preserve"> o</w:t>
      </w:r>
      <w:r w:rsidR="003E30E9" w:rsidRPr="004D2D8C">
        <w:rPr>
          <w:rFonts w:ascii="Comic Sans MS" w:hAnsi="Comic Sans MS"/>
          <w:sz w:val="20"/>
          <w:szCs w:val="20"/>
        </w:rPr>
        <w:t>kolišnu</w:t>
      </w:r>
      <w:r w:rsidR="00E91C54" w:rsidRPr="004D2D8C">
        <w:rPr>
          <w:rFonts w:ascii="Comic Sans MS" w:hAnsi="Comic Sans MS"/>
          <w:sz w:val="20"/>
          <w:szCs w:val="20"/>
        </w:rPr>
        <w:t xml:space="preserve"> procjen</w:t>
      </w:r>
      <w:r w:rsidR="00A650EF" w:rsidRPr="004D2D8C">
        <w:rPr>
          <w:rFonts w:ascii="Comic Sans MS" w:hAnsi="Comic Sans MS"/>
          <w:sz w:val="20"/>
          <w:szCs w:val="20"/>
        </w:rPr>
        <w:t xml:space="preserve">u provodi sama </w:t>
      </w:r>
      <w:r w:rsidR="00B43E3F" w:rsidRPr="004D2D8C">
        <w:rPr>
          <w:rFonts w:ascii="Comic Sans MS" w:hAnsi="Comic Sans MS"/>
          <w:sz w:val="20"/>
          <w:szCs w:val="20"/>
        </w:rPr>
        <w:t>Bank</w:t>
      </w:r>
      <w:r w:rsidR="00A650EF" w:rsidRPr="004D2D8C">
        <w:rPr>
          <w:rFonts w:ascii="Comic Sans MS" w:hAnsi="Comic Sans MS"/>
          <w:sz w:val="20"/>
          <w:szCs w:val="20"/>
        </w:rPr>
        <w:t xml:space="preserve">a ili </w:t>
      </w:r>
      <w:r w:rsidR="003E30E9" w:rsidRPr="004D2D8C">
        <w:rPr>
          <w:rFonts w:ascii="Comic Sans MS" w:hAnsi="Comic Sans MS"/>
          <w:sz w:val="20"/>
          <w:szCs w:val="20"/>
        </w:rPr>
        <w:t xml:space="preserve">takvu procjenu </w:t>
      </w:r>
      <w:r w:rsidR="00A650EF" w:rsidRPr="004D2D8C">
        <w:rPr>
          <w:rFonts w:ascii="Comic Sans MS" w:hAnsi="Comic Sans MS"/>
          <w:sz w:val="20"/>
          <w:szCs w:val="20"/>
        </w:rPr>
        <w:t xml:space="preserve">provodi posrednik u skladu sa zahtjevima </w:t>
      </w:r>
      <w:r w:rsidR="00B43E3F" w:rsidRPr="004D2D8C">
        <w:rPr>
          <w:rFonts w:ascii="Comic Sans MS" w:hAnsi="Comic Sans MS"/>
          <w:sz w:val="20"/>
          <w:szCs w:val="20"/>
        </w:rPr>
        <w:t>Bank</w:t>
      </w:r>
      <w:r w:rsidR="00A650EF" w:rsidRPr="004D2D8C">
        <w:rPr>
          <w:rFonts w:ascii="Comic Sans MS" w:hAnsi="Comic Sans MS"/>
          <w:sz w:val="20"/>
          <w:szCs w:val="20"/>
        </w:rPr>
        <w:t>e</w:t>
      </w:r>
      <w:r w:rsidR="00B43E3F" w:rsidRPr="004D2D8C">
        <w:rPr>
          <w:rFonts w:ascii="Comic Sans MS" w:hAnsi="Comic Sans MS"/>
          <w:sz w:val="20"/>
          <w:szCs w:val="20"/>
        </w:rPr>
        <w:t>. Proje</w:t>
      </w:r>
      <w:r w:rsidR="00A650EF" w:rsidRPr="004D2D8C">
        <w:rPr>
          <w:rFonts w:ascii="Comic Sans MS" w:hAnsi="Comic Sans MS"/>
          <w:sz w:val="20"/>
          <w:szCs w:val="20"/>
        </w:rPr>
        <w:t>k</w:t>
      </w:r>
      <w:r w:rsidR="00B43E3F" w:rsidRPr="004D2D8C">
        <w:rPr>
          <w:rFonts w:ascii="Comic Sans MS" w:hAnsi="Comic Sans MS"/>
          <w:sz w:val="20"/>
          <w:szCs w:val="20"/>
        </w:rPr>
        <w:t>t</w:t>
      </w:r>
      <w:r w:rsidR="00A650EF" w:rsidRPr="004D2D8C">
        <w:rPr>
          <w:rFonts w:ascii="Comic Sans MS" w:hAnsi="Comic Sans MS"/>
          <w:sz w:val="20"/>
          <w:szCs w:val="20"/>
        </w:rPr>
        <w:t xml:space="preserve">i trebaju biti tako </w:t>
      </w:r>
      <w:r w:rsidR="00B7597F" w:rsidRPr="004D2D8C">
        <w:rPr>
          <w:rFonts w:ascii="Comic Sans MS" w:hAnsi="Comic Sans MS"/>
          <w:sz w:val="20"/>
          <w:szCs w:val="20"/>
        </w:rPr>
        <w:t xml:space="preserve">osmišljeni da se izbjegnu, ili ukoliko to nije moguće, smanje svi značajni negativni utjecaji, a mogu biti opravdane i daljnje promjene projekta ukoliko su socio-ekonomske pogodnosti </w:t>
      </w:r>
      <w:r w:rsidR="003E30E9" w:rsidRPr="004D2D8C">
        <w:rPr>
          <w:rFonts w:ascii="Comic Sans MS" w:hAnsi="Comic Sans MS"/>
          <w:sz w:val="20"/>
          <w:szCs w:val="20"/>
        </w:rPr>
        <w:t xml:space="preserve">takve </w:t>
      </w:r>
      <w:r w:rsidR="00B7597F" w:rsidRPr="004D2D8C">
        <w:rPr>
          <w:rFonts w:ascii="Comic Sans MS" w:hAnsi="Comic Sans MS"/>
          <w:sz w:val="20"/>
          <w:szCs w:val="20"/>
        </w:rPr>
        <w:t>promjene veće od troškova, nadalje</w:t>
      </w:r>
      <w:r w:rsidR="000938CA" w:rsidRPr="004D2D8C">
        <w:rPr>
          <w:rFonts w:ascii="Comic Sans MS" w:hAnsi="Comic Sans MS"/>
          <w:sz w:val="20"/>
          <w:szCs w:val="20"/>
        </w:rPr>
        <w:t xml:space="preserve"> sve značajne preostale negativne učinke </w:t>
      </w:r>
      <w:r w:rsidR="00B7597F" w:rsidRPr="004D2D8C">
        <w:rPr>
          <w:rFonts w:ascii="Comic Sans MS" w:hAnsi="Comic Sans MS"/>
          <w:sz w:val="20"/>
          <w:szCs w:val="20"/>
        </w:rPr>
        <w:t>potrebno je</w:t>
      </w:r>
      <w:r w:rsidR="000938CA" w:rsidRPr="004D2D8C">
        <w:rPr>
          <w:rFonts w:ascii="Comic Sans MS" w:hAnsi="Comic Sans MS"/>
          <w:sz w:val="20"/>
          <w:szCs w:val="20"/>
        </w:rPr>
        <w:t>, po redoslijedu prioriteta, umanjiti, kompenzirati ili neutralizirati</w:t>
      </w:r>
      <w:r w:rsidR="00B43E3F" w:rsidRPr="004D2D8C">
        <w:rPr>
          <w:rFonts w:ascii="Comic Sans MS" w:hAnsi="Comic Sans MS"/>
          <w:sz w:val="20"/>
          <w:szCs w:val="20"/>
        </w:rPr>
        <w:t>.</w:t>
      </w:r>
    </w:p>
    <w:p w:rsidR="000938CA" w:rsidRPr="004D2D8C" w:rsidRDefault="000938CA" w:rsidP="000938CA">
      <w:pPr>
        <w:pStyle w:val="ListParagraph"/>
        <w:rPr>
          <w:rFonts w:ascii="Comic Sans MS" w:hAnsi="Comic Sans MS"/>
          <w:sz w:val="20"/>
          <w:szCs w:val="20"/>
        </w:rPr>
      </w:pPr>
    </w:p>
    <w:p w:rsidR="00934AFC" w:rsidRPr="004D2D8C" w:rsidRDefault="009907EA"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U nekim slučajevima, EIB-ov</w:t>
      </w:r>
      <w:r w:rsidR="00D05573" w:rsidRPr="004D2D8C">
        <w:rPr>
          <w:rFonts w:ascii="Comic Sans MS" w:hAnsi="Comic Sans MS"/>
          <w:sz w:val="20"/>
          <w:szCs w:val="20"/>
        </w:rPr>
        <w:t>a okolišna procjena (</w:t>
      </w:r>
      <w:r w:rsidR="00B43E3F" w:rsidRPr="004D2D8C">
        <w:rPr>
          <w:rFonts w:ascii="Comic Sans MS" w:hAnsi="Comic Sans MS"/>
          <w:sz w:val="20"/>
          <w:szCs w:val="20"/>
        </w:rPr>
        <w:t>EA</w:t>
      </w:r>
      <w:r w:rsidR="00D05573" w:rsidRPr="004D2D8C">
        <w:rPr>
          <w:rFonts w:ascii="Comic Sans MS" w:hAnsi="Comic Sans MS"/>
          <w:sz w:val="20"/>
          <w:szCs w:val="20"/>
        </w:rPr>
        <w:t>)</w:t>
      </w:r>
      <w:r w:rsidR="00D44A65" w:rsidRPr="004D2D8C">
        <w:rPr>
          <w:rFonts w:ascii="Comic Sans MS" w:hAnsi="Comic Sans MS"/>
          <w:sz w:val="20"/>
          <w:szCs w:val="20"/>
        </w:rPr>
        <w:t xml:space="preserve"> temelji se na formalno</w:t>
      </w:r>
      <w:r w:rsidR="003903FB" w:rsidRPr="004D2D8C">
        <w:rPr>
          <w:rFonts w:ascii="Comic Sans MS" w:hAnsi="Comic Sans MS"/>
          <w:sz w:val="20"/>
          <w:szCs w:val="20"/>
        </w:rPr>
        <w:t xml:space="preserve">j </w:t>
      </w:r>
      <w:r w:rsidR="00097E35" w:rsidRPr="004D2D8C">
        <w:rPr>
          <w:rFonts w:ascii="Comic Sans MS" w:hAnsi="Comic Sans MS"/>
          <w:sz w:val="20"/>
          <w:szCs w:val="20"/>
        </w:rPr>
        <w:t xml:space="preserve">procjeni </w:t>
      </w:r>
      <w:r w:rsidR="003903FB" w:rsidRPr="004D2D8C">
        <w:rPr>
          <w:rFonts w:ascii="Comic Sans MS" w:hAnsi="Comic Sans MS"/>
          <w:sz w:val="20"/>
          <w:szCs w:val="20"/>
        </w:rPr>
        <w:t>utjecaja na okoliš (</w:t>
      </w:r>
      <w:r w:rsidR="00B43E3F" w:rsidRPr="004D2D8C">
        <w:rPr>
          <w:rFonts w:ascii="Comic Sans MS" w:hAnsi="Comic Sans MS"/>
          <w:sz w:val="20"/>
          <w:szCs w:val="20"/>
        </w:rPr>
        <w:t>EIA</w:t>
      </w:r>
      <w:r w:rsidR="003903FB" w:rsidRPr="004D2D8C">
        <w:rPr>
          <w:rFonts w:ascii="Comic Sans MS" w:hAnsi="Comic Sans MS"/>
          <w:sz w:val="20"/>
          <w:szCs w:val="20"/>
        </w:rPr>
        <w:t>)</w:t>
      </w:r>
      <w:r w:rsidR="000016C8" w:rsidRPr="004D2D8C">
        <w:rPr>
          <w:rFonts w:ascii="Comic Sans MS" w:hAnsi="Comic Sans MS"/>
          <w:sz w:val="20"/>
          <w:szCs w:val="20"/>
        </w:rPr>
        <w:t xml:space="preserve"> sukladno definiciji sadržanoj u Direktivi EU-a o procjeni učinaka na okoliš</w:t>
      </w:r>
      <w:r w:rsidR="000016C8" w:rsidRPr="004D2D8C">
        <w:rPr>
          <w:rStyle w:val="EndnoteReference"/>
          <w:rFonts w:ascii="Comic Sans MS" w:hAnsi="Comic Sans MS"/>
          <w:sz w:val="20"/>
          <w:szCs w:val="20"/>
        </w:rPr>
        <w:endnoteReference w:id="24"/>
      </w:r>
      <w:r w:rsidR="00B43E3F" w:rsidRPr="004D2D8C">
        <w:rPr>
          <w:rFonts w:ascii="Comic Sans MS" w:hAnsi="Comic Sans MS"/>
          <w:sz w:val="20"/>
          <w:szCs w:val="20"/>
        </w:rPr>
        <w:t xml:space="preserve">. </w:t>
      </w:r>
      <w:r w:rsidR="003903FB" w:rsidRPr="004D2D8C">
        <w:rPr>
          <w:rFonts w:ascii="Comic Sans MS" w:hAnsi="Comic Sans MS"/>
          <w:sz w:val="20"/>
          <w:szCs w:val="20"/>
        </w:rPr>
        <w:t xml:space="preserve">U tom smislu </w:t>
      </w:r>
      <w:r w:rsidR="00B43E3F" w:rsidRPr="004D2D8C">
        <w:rPr>
          <w:rFonts w:ascii="Comic Sans MS" w:hAnsi="Comic Sans MS"/>
          <w:sz w:val="20"/>
          <w:szCs w:val="20"/>
        </w:rPr>
        <w:t xml:space="preserve">EIB </w:t>
      </w:r>
      <w:r w:rsidR="003903FB" w:rsidRPr="004D2D8C">
        <w:rPr>
          <w:rFonts w:ascii="Comic Sans MS" w:hAnsi="Comic Sans MS"/>
          <w:sz w:val="20"/>
          <w:szCs w:val="20"/>
        </w:rPr>
        <w:t xml:space="preserve">ili njegovo ovlašteno tijelo pregledava projekte i </w:t>
      </w:r>
      <w:r w:rsidR="007C324F" w:rsidRPr="004D2D8C">
        <w:rPr>
          <w:rFonts w:ascii="Comic Sans MS" w:hAnsi="Comic Sans MS"/>
          <w:sz w:val="20"/>
          <w:szCs w:val="20"/>
        </w:rPr>
        <w:t>raz</w:t>
      </w:r>
      <w:r w:rsidR="003903FB" w:rsidRPr="004D2D8C">
        <w:rPr>
          <w:rFonts w:ascii="Comic Sans MS" w:hAnsi="Comic Sans MS"/>
          <w:sz w:val="20"/>
          <w:szCs w:val="20"/>
        </w:rPr>
        <w:t>vrstava ih u četiri kategorije. Kategorije „A“ i „B“ obuhvaćaju projekte kod kojih postoji vjerojatnost značajnog utjecaja na okoliš</w:t>
      </w:r>
      <w:r w:rsidR="00B43E3F" w:rsidRPr="004D2D8C">
        <w:rPr>
          <w:rFonts w:ascii="Comic Sans MS" w:hAnsi="Comic Sans MS"/>
          <w:sz w:val="20"/>
          <w:szCs w:val="20"/>
        </w:rPr>
        <w:t xml:space="preserve">. </w:t>
      </w:r>
      <w:r w:rsidR="003903FB" w:rsidRPr="004D2D8C">
        <w:rPr>
          <w:rFonts w:ascii="Comic Sans MS" w:hAnsi="Comic Sans MS"/>
          <w:sz w:val="20"/>
          <w:szCs w:val="20"/>
        </w:rPr>
        <w:t xml:space="preserve">Za te kategorije Banka zahtijeva formalnu </w:t>
      </w:r>
      <w:r w:rsidR="00097E35" w:rsidRPr="004D2D8C">
        <w:rPr>
          <w:rFonts w:ascii="Comic Sans MS" w:hAnsi="Comic Sans MS"/>
          <w:sz w:val="20"/>
          <w:szCs w:val="20"/>
        </w:rPr>
        <w:t xml:space="preserve">procjenu </w:t>
      </w:r>
      <w:r w:rsidR="003903FB" w:rsidRPr="004D2D8C">
        <w:rPr>
          <w:rFonts w:ascii="Comic Sans MS" w:hAnsi="Comic Sans MS"/>
          <w:sz w:val="20"/>
          <w:szCs w:val="20"/>
        </w:rPr>
        <w:t xml:space="preserve">utjecaja na okoliš </w:t>
      </w:r>
      <w:r w:rsidR="007C324F" w:rsidRPr="004D2D8C">
        <w:rPr>
          <w:rFonts w:ascii="Comic Sans MS" w:hAnsi="Comic Sans MS"/>
          <w:sz w:val="20"/>
          <w:szCs w:val="20"/>
        </w:rPr>
        <w:t>(</w:t>
      </w:r>
      <w:r w:rsidR="00B43E3F" w:rsidRPr="004D2D8C">
        <w:rPr>
          <w:rFonts w:ascii="Comic Sans MS" w:hAnsi="Comic Sans MS"/>
          <w:sz w:val="20"/>
          <w:szCs w:val="20"/>
        </w:rPr>
        <w:t>EIA</w:t>
      </w:r>
      <w:r w:rsidR="007C324F" w:rsidRPr="004D2D8C">
        <w:rPr>
          <w:rFonts w:ascii="Comic Sans MS" w:hAnsi="Comic Sans MS"/>
          <w:sz w:val="20"/>
          <w:szCs w:val="20"/>
        </w:rPr>
        <w:t>)</w:t>
      </w:r>
      <w:r w:rsidR="00B43E3F" w:rsidRPr="004D2D8C">
        <w:rPr>
          <w:rFonts w:ascii="Comic Sans MS" w:hAnsi="Comic Sans MS"/>
          <w:sz w:val="20"/>
          <w:szCs w:val="20"/>
        </w:rPr>
        <w:t xml:space="preserve">. EIA </w:t>
      </w:r>
      <w:r w:rsidR="003903FB" w:rsidRPr="004D2D8C">
        <w:rPr>
          <w:rFonts w:ascii="Comic Sans MS" w:hAnsi="Comic Sans MS"/>
          <w:sz w:val="20"/>
          <w:szCs w:val="20"/>
        </w:rPr>
        <w:t xml:space="preserve">treba </w:t>
      </w:r>
      <w:r w:rsidR="008A4CBF" w:rsidRPr="004D2D8C">
        <w:rPr>
          <w:rFonts w:ascii="Comic Sans MS" w:hAnsi="Comic Sans MS"/>
          <w:sz w:val="20"/>
          <w:szCs w:val="20"/>
        </w:rPr>
        <w:t xml:space="preserve">uključiti </w:t>
      </w:r>
      <w:r w:rsidR="003903FB" w:rsidRPr="004D2D8C">
        <w:rPr>
          <w:rFonts w:ascii="Comic Sans MS" w:hAnsi="Comic Sans MS"/>
          <w:sz w:val="20"/>
          <w:szCs w:val="20"/>
        </w:rPr>
        <w:t xml:space="preserve">procjenu </w:t>
      </w:r>
      <w:r w:rsidR="008A4CBF" w:rsidRPr="004D2D8C">
        <w:rPr>
          <w:rFonts w:ascii="Comic Sans MS" w:hAnsi="Comic Sans MS"/>
          <w:sz w:val="20"/>
          <w:szCs w:val="20"/>
        </w:rPr>
        <w:t>projektne alternative i obuhvatiti pravovremeno javno objavljivanje relevantnih informacija zajedno s</w:t>
      </w:r>
      <w:r w:rsidR="002B67D8" w:rsidRPr="004D2D8C">
        <w:rPr>
          <w:rFonts w:ascii="Comic Sans MS" w:hAnsi="Comic Sans MS"/>
          <w:sz w:val="20"/>
          <w:szCs w:val="20"/>
        </w:rPr>
        <w:t>a značajnim konzultacijama u skladu s Direktivom kako bi se ostvarili ciljevi EIB-ove</w:t>
      </w:r>
      <w:r w:rsidR="00934AFC" w:rsidRPr="004D2D8C">
        <w:rPr>
          <w:rFonts w:ascii="Comic Sans MS" w:hAnsi="Comic Sans MS"/>
          <w:sz w:val="20"/>
          <w:szCs w:val="20"/>
        </w:rPr>
        <w:t xml:space="preserve"> Politike javnog objavljivanja </w:t>
      </w:r>
      <w:r w:rsidR="00B43E3F" w:rsidRPr="004D2D8C">
        <w:rPr>
          <w:rFonts w:ascii="Comic Sans MS" w:hAnsi="Comic Sans MS"/>
          <w:sz w:val="20"/>
          <w:szCs w:val="20"/>
        </w:rPr>
        <w:t xml:space="preserve">(PDP). </w:t>
      </w:r>
      <w:r w:rsidR="002B67D8" w:rsidRPr="004D2D8C">
        <w:rPr>
          <w:rFonts w:ascii="Comic Sans MS" w:hAnsi="Comic Sans MS"/>
          <w:sz w:val="20"/>
          <w:szCs w:val="20"/>
        </w:rPr>
        <w:t xml:space="preserve">U slučaju projekta kod kojeg </w:t>
      </w:r>
      <w:r w:rsidR="00934AFC" w:rsidRPr="004D2D8C">
        <w:rPr>
          <w:rFonts w:ascii="Comic Sans MS" w:hAnsi="Comic Sans MS"/>
          <w:sz w:val="20"/>
          <w:szCs w:val="20"/>
        </w:rPr>
        <w:t>s</w:t>
      </w:r>
      <w:r w:rsidR="002B67D8" w:rsidRPr="004D2D8C">
        <w:rPr>
          <w:rFonts w:ascii="Comic Sans MS" w:hAnsi="Comic Sans MS"/>
          <w:sz w:val="20"/>
          <w:szCs w:val="20"/>
        </w:rPr>
        <w:t xml:space="preserve">e </w:t>
      </w:r>
      <w:r w:rsidR="00934AFC" w:rsidRPr="004D2D8C">
        <w:rPr>
          <w:rFonts w:ascii="Comic Sans MS" w:hAnsi="Comic Sans MS"/>
          <w:sz w:val="20"/>
          <w:szCs w:val="20"/>
        </w:rPr>
        <w:t xml:space="preserve">traži </w:t>
      </w:r>
      <w:r w:rsidR="00097E35" w:rsidRPr="004D2D8C">
        <w:rPr>
          <w:rFonts w:ascii="Comic Sans MS" w:hAnsi="Comic Sans MS"/>
          <w:sz w:val="20"/>
          <w:szCs w:val="20"/>
        </w:rPr>
        <w:t>procjena</w:t>
      </w:r>
      <w:r w:rsidR="002B67D8" w:rsidRPr="004D2D8C">
        <w:rPr>
          <w:rFonts w:ascii="Comic Sans MS" w:hAnsi="Comic Sans MS"/>
          <w:sz w:val="20"/>
          <w:szCs w:val="20"/>
        </w:rPr>
        <w:t xml:space="preserve"> utjecaja na okoliš</w:t>
      </w:r>
      <w:r w:rsidR="00B43E3F" w:rsidRPr="004D2D8C">
        <w:rPr>
          <w:rFonts w:ascii="Comic Sans MS" w:hAnsi="Comic Sans MS"/>
          <w:sz w:val="20"/>
          <w:szCs w:val="20"/>
        </w:rPr>
        <w:t>, Bank</w:t>
      </w:r>
      <w:r w:rsidR="002B67D8" w:rsidRPr="004D2D8C">
        <w:rPr>
          <w:rFonts w:ascii="Comic Sans MS" w:hAnsi="Comic Sans MS"/>
          <w:sz w:val="20"/>
          <w:szCs w:val="20"/>
        </w:rPr>
        <w:t xml:space="preserve">a </w:t>
      </w:r>
      <w:r w:rsidR="00934AFC" w:rsidRPr="004D2D8C">
        <w:rPr>
          <w:rFonts w:ascii="Comic Sans MS" w:hAnsi="Comic Sans MS"/>
          <w:sz w:val="20"/>
          <w:szCs w:val="20"/>
        </w:rPr>
        <w:t xml:space="preserve">kao </w:t>
      </w:r>
      <w:r w:rsidR="002B67D8" w:rsidRPr="004D2D8C">
        <w:rPr>
          <w:rFonts w:ascii="Comic Sans MS" w:hAnsi="Comic Sans MS"/>
          <w:sz w:val="20"/>
          <w:szCs w:val="20"/>
        </w:rPr>
        <w:t xml:space="preserve">ni njezino ovlašteno tijelo </w:t>
      </w:r>
      <w:r w:rsidR="007C324F" w:rsidRPr="004D2D8C">
        <w:rPr>
          <w:rFonts w:ascii="Comic Sans MS" w:hAnsi="Comic Sans MS"/>
          <w:sz w:val="20"/>
          <w:szCs w:val="20"/>
        </w:rPr>
        <w:t xml:space="preserve">takav </w:t>
      </w:r>
      <w:r w:rsidR="002B67D8" w:rsidRPr="004D2D8C">
        <w:rPr>
          <w:rFonts w:ascii="Comic Sans MS" w:hAnsi="Comic Sans MS"/>
          <w:sz w:val="20"/>
          <w:szCs w:val="20"/>
        </w:rPr>
        <w:t>proj</w:t>
      </w:r>
      <w:r w:rsidR="00934AFC" w:rsidRPr="004D2D8C">
        <w:rPr>
          <w:rFonts w:ascii="Comic Sans MS" w:hAnsi="Comic Sans MS"/>
          <w:sz w:val="20"/>
          <w:szCs w:val="20"/>
        </w:rPr>
        <w:t xml:space="preserve">ekt neće financirati prije dovršetka </w:t>
      </w:r>
      <w:r w:rsidR="00097E35" w:rsidRPr="004D2D8C">
        <w:rPr>
          <w:rFonts w:ascii="Comic Sans MS" w:hAnsi="Comic Sans MS"/>
          <w:sz w:val="20"/>
          <w:szCs w:val="20"/>
        </w:rPr>
        <w:t xml:space="preserve">procjene </w:t>
      </w:r>
      <w:r w:rsidR="00934AFC" w:rsidRPr="004D2D8C">
        <w:rPr>
          <w:rFonts w:ascii="Comic Sans MS" w:hAnsi="Comic Sans MS"/>
          <w:sz w:val="20"/>
          <w:szCs w:val="20"/>
        </w:rPr>
        <w:t xml:space="preserve">utjecaja na okoliš u skladu sa zahtjevima </w:t>
      </w:r>
      <w:r w:rsidR="00B43E3F" w:rsidRPr="004D2D8C">
        <w:rPr>
          <w:rFonts w:ascii="Comic Sans MS" w:hAnsi="Comic Sans MS"/>
          <w:sz w:val="20"/>
          <w:szCs w:val="20"/>
        </w:rPr>
        <w:t>Bank</w:t>
      </w:r>
      <w:r w:rsidR="00934AFC" w:rsidRPr="004D2D8C">
        <w:rPr>
          <w:rFonts w:ascii="Comic Sans MS" w:hAnsi="Comic Sans MS"/>
          <w:sz w:val="20"/>
          <w:szCs w:val="20"/>
        </w:rPr>
        <w:t>e</w:t>
      </w:r>
      <w:r w:rsidR="00B43E3F" w:rsidRPr="004D2D8C">
        <w:rPr>
          <w:rFonts w:ascii="Comic Sans MS" w:hAnsi="Comic Sans MS"/>
          <w:sz w:val="20"/>
          <w:szCs w:val="20"/>
        </w:rPr>
        <w:t xml:space="preserve">. </w:t>
      </w:r>
      <w:r w:rsidR="00934AFC" w:rsidRPr="004D2D8C">
        <w:rPr>
          <w:rFonts w:ascii="Comic Sans MS" w:hAnsi="Comic Sans MS"/>
          <w:sz w:val="20"/>
          <w:szCs w:val="20"/>
        </w:rPr>
        <w:t>Daljnji detalji mogu se naći u Priručniku</w:t>
      </w:r>
      <w:r w:rsidR="00B43E3F" w:rsidRPr="004D2D8C">
        <w:rPr>
          <w:rFonts w:ascii="Comic Sans MS" w:hAnsi="Comic Sans MS"/>
          <w:sz w:val="20"/>
          <w:szCs w:val="20"/>
        </w:rPr>
        <w:t xml:space="preserve">. </w:t>
      </w:r>
    </w:p>
    <w:p w:rsidR="00934AFC" w:rsidRPr="004D2D8C" w:rsidRDefault="00934AFC" w:rsidP="00934AFC">
      <w:pPr>
        <w:pStyle w:val="ListParagraph"/>
        <w:rPr>
          <w:rFonts w:ascii="Comic Sans MS" w:hAnsi="Comic Sans MS"/>
          <w:sz w:val="20"/>
          <w:szCs w:val="20"/>
        </w:rPr>
      </w:pPr>
    </w:p>
    <w:p w:rsidR="00934AFC" w:rsidRPr="004D2D8C" w:rsidRDefault="00B43E3F"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EA</w:t>
      </w:r>
      <w:r w:rsidR="00CE0646" w:rsidRPr="004D2D8C">
        <w:rPr>
          <w:rFonts w:ascii="Comic Sans MS" w:hAnsi="Comic Sans MS"/>
          <w:sz w:val="20"/>
          <w:szCs w:val="20"/>
        </w:rPr>
        <w:t xml:space="preserve"> koji EIB zahtijeva </w:t>
      </w:r>
      <w:r w:rsidR="00934AFC" w:rsidRPr="004D2D8C">
        <w:rPr>
          <w:rFonts w:ascii="Comic Sans MS" w:hAnsi="Comic Sans MS"/>
          <w:sz w:val="20"/>
          <w:szCs w:val="20"/>
        </w:rPr>
        <w:t>treba se odnositi na cijeli projekt i njegovo područje utjecaja, a ne samo na dio koji Banka financira</w:t>
      </w:r>
      <w:r w:rsidRPr="004D2D8C">
        <w:rPr>
          <w:rFonts w:ascii="Comic Sans MS" w:hAnsi="Comic Sans MS"/>
          <w:sz w:val="20"/>
          <w:szCs w:val="20"/>
        </w:rPr>
        <w:t>.</w:t>
      </w:r>
      <w:r w:rsidR="00934AFC" w:rsidRPr="004D2D8C">
        <w:rPr>
          <w:rFonts w:ascii="Comic Sans MS" w:hAnsi="Comic Sans MS"/>
          <w:sz w:val="20"/>
          <w:szCs w:val="20"/>
        </w:rPr>
        <w:t xml:space="preserve"> Takva procjena treba obuhvatiti kumulativne izravne i neizravne utjecaje projekta</w:t>
      </w:r>
      <w:r w:rsidRPr="004D2D8C">
        <w:rPr>
          <w:rFonts w:ascii="Comic Sans MS" w:hAnsi="Comic Sans MS"/>
          <w:sz w:val="20"/>
          <w:szCs w:val="20"/>
        </w:rPr>
        <w:t>.</w:t>
      </w:r>
      <w:r w:rsidR="00934AFC" w:rsidRPr="004D2D8C">
        <w:rPr>
          <w:rFonts w:ascii="Comic Sans MS" w:hAnsi="Comic Sans MS"/>
          <w:sz w:val="20"/>
          <w:szCs w:val="20"/>
        </w:rPr>
        <w:t xml:space="preserve"> Nadalje, </w:t>
      </w:r>
      <w:r w:rsidRPr="004D2D8C">
        <w:rPr>
          <w:rFonts w:ascii="Comic Sans MS" w:hAnsi="Comic Sans MS"/>
          <w:sz w:val="20"/>
          <w:szCs w:val="20"/>
        </w:rPr>
        <w:t>Bank</w:t>
      </w:r>
      <w:r w:rsidR="00934AFC" w:rsidRPr="004D2D8C">
        <w:rPr>
          <w:rFonts w:ascii="Comic Sans MS" w:hAnsi="Comic Sans MS"/>
          <w:sz w:val="20"/>
          <w:szCs w:val="20"/>
        </w:rPr>
        <w:t xml:space="preserve">a može od promotora zahtijevati izradu i objavu </w:t>
      </w:r>
      <w:r w:rsidR="005A7AA6" w:rsidRPr="004D2D8C">
        <w:rPr>
          <w:rFonts w:ascii="Comic Sans MS" w:hAnsi="Comic Sans MS"/>
          <w:sz w:val="20"/>
          <w:szCs w:val="20"/>
        </w:rPr>
        <w:t>Okolišn</w:t>
      </w:r>
      <w:r w:rsidR="00934AFC" w:rsidRPr="004D2D8C">
        <w:rPr>
          <w:rFonts w:ascii="Comic Sans MS" w:hAnsi="Comic Sans MS"/>
          <w:sz w:val="20"/>
          <w:szCs w:val="20"/>
        </w:rPr>
        <w:t>og</w:t>
      </w:r>
      <w:r w:rsidR="005A7AA6" w:rsidRPr="004D2D8C">
        <w:rPr>
          <w:rFonts w:ascii="Comic Sans MS" w:hAnsi="Comic Sans MS"/>
          <w:sz w:val="20"/>
          <w:szCs w:val="20"/>
        </w:rPr>
        <w:t xml:space="preserve"> i socijaln</w:t>
      </w:r>
      <w:r w:rsidR="00934AFC" w:rsidRPr="004D2D8C">
        <w:rPr>
          <w:rFonts w:ascii="Comic Sans MS" w:hAnsi="Comic Sans MS"/>
          <w:sz w:val="20"/>
          <w:szCs w:val="20"/>
        </w:rPr>
        <w:t xml:space="preserve">og plana upravljanja </w:t>
      </w:r>
      <w:r w:rsidRPr="004D2D8C">
        <w:rPr>
          <w:rFonts w:ascii="Comic Sans MS" w:hAnsi="Comic Sans MS"/>
          <w:sz w:val="20"/>
          <w:szCs w:val="20"/>
        </w:rPr>
        <w:t xml:space="preserve">(ESMP) </w:t>
      </w:r>
      <w:r w:rsidR="00934AFC" w:rsidRPr="004D2D8C">
        <w:rPr>
          <w:rFonts w:ascii="Comic Sans MS" w:hAnsi="Comic Sans MS"/>
          <w:sz w:val="20"/>
          <w:szCs w:val="20"/>
        </w:rPr>
        <w:t>prihvatljivog za</w:t>
      </w:r>
      <w:r w:rsidRPr="004D2D8C">
        <w:rPr>
          <w:rFonts w:ascii="Comic Sans MS" w:hAnsi="Comic Sans MS"/>
          <w:sz w:val="20"/>
          <w:szCs w:val="20"/>
        </w:rPr>
        <w:t xml:space="preserve"> Bank</w:t>
      </w:r>
      <w:r w:rsidR="00934AFC" w:rsidRPr="004D2D8C">
        <w:rPr>
          <w:rFonts w:ascii="Comic Sans MS" w:hAnsi="Comic Sans MS"/>
          <w:sz w:val="20"/>
          <w:szCs w:val="20"/>
        </w:rPr>
        <w:t>u</w:t>
      </w:r>
      <w:r w:rsidRPr="004D2D8C">
        <w:rPr>
          <w:rFonts w:ascii="Comic Sans MS" w:hAnsi="Comic Sans MS"/>
          <w:sz w:val="20"/>
          <w:szCs w:val="20"/>
        </w:rPr>
        <w:t xml:space="preserve">. </w:t>
      </w:r>
    </w:p>
    <w:p w:rsidR="00934AFC" w:rsidRPr="004D2D8C" w:rsidRDefault="00934AFC" w:rsidP="00934AFC">
      <w:pPr>
        <w:pStyle w:val="ListParagraph"/>
        <w:rPr>
          <w:rFonts w:ascii="Comic Sans MS" w:hAnsi="Comic Sans MS"/>
          <w:sz w:val="20"/>
          <w:szCs w:val="20"/>
        </w:rPr>
      </w:pPr>
    </w:p>
    <w:p w:rsidR="00B63B68" w:rsidRPr="004D2D8C" w:rsidRDefault="00934AFC" w:rsidP="008C6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Kada je projekt dio nekog </w:t>
      </w:r>
      <w:r w:rsidR="00B43E3F" w:rsidRPr="004D2D8C">
        <w:rPr>
          <w:rFonts w:ascii="Comic Sans MS" w:hAnsi="Comic Sans MS"/>
          <w:sz w:val="20"/>
          <w:szCs w:val="20"/>
        </w:rPr>
        <w:t>program</w:t>
      </w:r>
      <w:r w:rsidRPr="004D2D8C">
        <w:rPr>
          <w:rFonts w:ascii="Comic Sans MS" w:hAnsi="Comic Sans MS"/>
          <w:sz w:val="20"/>
          <w:szCs w:val="20"/>
        </w:rPr>
        <w:t>a ili</w:t>
      </w:r>
      <w:r w:rsidR="00B43E3F" w:rsidRPr="004D2D8C">
        <w:rPr>
          <w:rFonts w:ascii="Comic Sans MS" w:hAnsi="Comic Sans MS"/>
          <w:sz w:val="20"/>
          <w:szCs w:val="20"/>
        </w:rPr>
        <w:t xml:space="preserve"> plan</w:t>
      </w:r>
      <w:r w:rsidRPr="004D2D8C">
        <w:rPr>
          <w:rFonts w:ascii="Comic Sans MS" w:hAnsi="Comic Sans MS"/>
          <w:sz w:val="20"/>
          <w:szCs w:val="20"/>
        </w:rPr>
        <w:t xml:space="preserve">a, koji je izradio ili usvojio nacionalni, regionalni ili lokalni organ vlasti, unutar </w:t>
      </w:r>
      <w:r w:rsidR="00B43E3F" w:rsidRPr="004D2D8C">
        <w:rPr>
          <w:rFonts w:ascii="Comic Sans MS" w:hAnsi="Comic Sans MS"/>
          <w:sz w:val="20"/>
          <w:szCs w:val="20"/>
        </w:rPr>
        <w:t>EU</w:t>
      </w:r>
      <w:r w:rsidRPr="004D2D8C">
        <w:rPr>
          <w:rFonts w:ascii="Comic Sans MS" w:hAnsi="Comic Sans MS"/>
          <w:sz w:val="20"/>
          <w:szCs w:val="20"/>
        </w:rPr>
        <w:t>-a</w:t>
      </w:r>
      <w:r w:rsidR="00B43E3F" w:rsidRPr="004D2D8C">
        <w:rPr>
          <w:rFonts w:ascii="Comic Sans MS" w:hAnsi="Comic Sans MS"/>
          <w:sz w:val="20"/>
          <w:szCs w:val="20"/>
        </w:rPr>
        <w:t xml:space="preserve"> </w:t>
      </w:r>
      <w:r w:rsidRPr="004D2D8C">
        <w:rPr>
          <w:rFonts w:ascii="Comic Sans MS" w:hAnsi="Comic Sans MS"/>
          <w:sz w:val="20"/>
          <w:szCs w:val="20"/>
        </w:rPr>
        <w:t xml:space="preserve">može se tražiti formalna strateška okolišna procjena </w:t>
      </w:r>
      <w:r w:rsidR="00B43E3F" w:rsidRPr="004D2D8C">
        <w:rPr>
          <w:rFonts w:ascii="Comic Sans MS" w:hAnsi="Comic Sans MS"/>
          <w:sz w:val="20"/>
          <w:szCs w:val="20"/>
        </w:rPr>
        <w:t>(SEA)</w:t>
      </w:r>
      <w:r w:rsidRPr="004D2D8C">
        <w:rPr>
          <w:rFonts w:ascii="Comic Sans MS" w:hAnsi="Comic Sans MS"/>
          <w:sz w:val="20"/>
          <w:szCs w:val="20"/>
        </w:rPr>
        <w:t xml:space="preserve"> kako bi se procijenila okolišna prihvatljivost projekta u skladu sa zahtjevima Direktive </w:t>
      </w:r>
      <w:r w:rsidR="00487657" w:rsidRPr="004D2D8C">
        <w:rPr>
          <w:rFonts w:ascii="Comic Sans MS" w:hAnsi="Comic Sans MS"/>
          <w:sz w:val="20"/>
          <w:szCs w:val="20"/>
        </w:rPr>
        <w:t>o</w:t>
      </w:r>
      <w:r w:rsidRPr="004D2D8C">
        <w:rPr>
          <w:rFonts w:ascii="Comic Sans MS" w:hAnsi="Comic Sans MS"/>
          <w:sz w:val="20"/>
          <w:szCs w:val="20"/>
        </w:rPr>
        <w:t xml:space="preserve"> stratešk</w:t>
      </w:r>
      <w:r w:rsidR="00487657" w:rsidRPr="004D2D8C">
        <w:rPr>
          <w:rFonts w:ascii="Comic Sans MS" w:hAnsi="Comic Sans MS"/>
          <w:sz w:val="20"/>
          <w:szCs w:val="20"/>
        </w:rPr>
        <w:t>oj</w:t>
      </w:r>
      <w:r w:rsidRPr="004D2D8C">
        <w:rPr>
          <w:rFonts w:ascii="Comic Sans MS" w:hAnsi="Comic Sans MS"/>
          <w:sz w:val="20"/>
          <w:szCs w:val="20"/>
        </w:rPr>
        <w:t xml:space="preserve"> okolišn</w:t>
      </w:r>
      <w:r w:rsidR="00487657" w:rsidRPr="004D2D8C">
        <w:rPr>
          <w:rFonts w:ascii="Comic Sans MS" w:hAnsi="Comic Sans MS"/>
          <w:sz w:val="20"/>
          <w:szCs w:val="20"/>
        </w:rPr>
        <w:t>oj</w:t>
      </w:r>
      <w:r w:rsidRPr="004D2D8C">
        <w:rPr>
          <w:rFonts w:ascii="Comic Sans MS" w:hAnsi="Comic Sans MS"/>
          <w:sz w:val="20"/>
          <w:szCs w:val="20"/>
        </w:rPr>
        <w:t xml:space="preserve"> procjen</w:t>
      </w:r>
      <w:r w:rsidR="00487657" w:rsidRPr="004D2D8C">
        <w:rPr>
          <w:rFonts w:ascii="Comic Sans MS" w:hAnsi="Comic Sans MS"/>
          <w:sz w:val="20"/>
          <w:szCs w:val="20"/>
        </w:rPr>
        <w:t>i</w:t>
      </w:r>
      <w:r w:rsidRPr="004D2D8C">
        <w:rPr>
          <w:rStyle w:val="EndnoteReference"/>
          <w:rFonts w:ascii="Comic Sans MS" w:hAnsi="Comic Sans MS"/>
          <w:sz w:val="20"/>
          <w:szCs w:val="20"/>
        </w:rPr>
        <w:endnoteReference w:id="25"/>
      </w:r>
      <w:r w:rsidR="00B43E3F" w:rsidRPr="004D2D8C">
        <w:rPr>
          <w:rFonts w:ascii="Comic Sans MS" w:hAnsi="Comic Sans MS"/>
          <w:sz w:val="20"/>
          <w:szCs w:val="20"/>
        </w:rPr>
        <w:t xml:space="preserve">. </w:t>
      </w:r>
      <w:r w:rsidRPr="004D2D8C">
        <w:rPr>
          <w:rFonts w:ascii="Comic Sans MS" w:hAnsi="Comic Sans MS"/>
          <w:sz w:val="20"/>
          <w:szCs w:val="20"/>
        </w:rPr>
        <w:t xml:space="preserve">Izvan </w:t>
      </w:r>
      <w:r w:rsidR="00B43E3F" w:rsidRPr="004D2D8C">
        <w:rPr>
          <w:rFonts w:ascii="Comic Sans MS" w:hAnsi="Comic Sans MS"/>
          <w:sz w:val="20"/>
          <w:szCs w:val="20"/>
        </w:rPr>
        <w:t>EU</w:t>
      </w:r>
      <w:r w:rsidRPr="004D2D8C">
        <w:rPr>
          <w:rFonts w:ascii="Comic Sans MS" w:hAnsi="Comic Sans MS"/>
          <w:sz w:val="20"/>
          <w:szCs w:val="20"/>
        </w:rPr>
        <w:t>-a</w:t>
      </w:r>
      <w:r w:rsidR="00B43E3F" w:rsidRPr="004D2D8C">
        <w:rPr>
          <w:rFonts w:ascii="Comic Sans MS" w:hAnsi="Comic Sans MS"/>
          <w:sz w:val="20"/>
          <w:szCs w:val="20"/>
        </w:rPr>
        <w:t>,</w:t>
      </w:r>
      <w:r w:rsidR="00487657" w:rsidRPr="004D2D8C">
        <w:rPr>
          <w:rFonts w:ascii="Comic Sans MS" w:hAnsi="Comic Sans MS"/>
          <w:sz w:val="20"/>
          <w:szCs w:val="20"/>
        </w:rPr>
        <w:t xml:space="preserve"> za projekt koji bi podlijegao Direktivi </w:t>
      </w:r>
      <w:r w:rsidR="008C6A1C" w:rsidRPr="004D2D8C">
        <w:rPr>
          <w:rFonts w:ascii="Comic Sans MS" w:hAnsi="Comic Sans MS"/>
          <w:sz w:val="20"/>
          <w:szCs w:val="20"/>
        </w:rPr>
        <w:t>o strateškoj okolišnoj procjeni</w:t>
      </w:r>
      <w:r w:rsidR="00B43E3F" w:rsidRPr="004D2D8C">
        <w:rPr>
          <w:rFonts w:ascii="Comic Sans MS" w:hAnsi="Comic Sans MS"/>
          <w:sz w:val="20"/>
          <w:szCs w:val="20"/>
        </w:rPr>
        <w:t xml:space="preserve"> </w:t>
      </w:r>
      <w:r w:rsidR="008C6A1C" w:rsidRPr="004D2D8C">
        <w:rPr>
          <w:rFonts w:ascii="Comic Sans MS" w:hAnsi="Comic Sans MS"/>
          <w:sz w:val="20"/>
          <w:szCs w:val="20"/>
        </w:rPr>
        <w:t>unutar</w:t>
      </w:r>
      <w:r w:rsidR="00B43E3F" w:rsidRPr="004D2D8C">
        <w:rPr>
          <w:rFonts w:ascii="Comic Sans MS" w:hAnsi="Comic Sans MS"/>
          <w:sz w:val="20"/>
          <w:szCs w:val="20"/>
        </w:rPr>
        <w:t xml:space="preserve"> EU</w:t>
      </w:r>
      <w:r w:rsidR="008C6A1C" w:rsidRPr="004D2D8C">
        <w:rPr>
          <w:rFonts w:ascii="Comic Sans MS" w:hAnsi="Comic Sans MS"/>
          <w:sz w:val="20"/>
          <w:szCs w:val="20"/>
        </w:rPr>
        <w:t>-a</w:t>
      </w:r>
      <w:r w:rsidR="00B43E3F" w:rsidRPr="004D2D8C">
        <w:rPr>
          <w:rFonts w:ascii="Comic Sans MS" w:hAnsi="Comic Sans MS"/>
          <w:sz w:val="20"/>
          <w:szCs w:val="20"/>
        </w:rPr>
        <w:t>, informa</w:t>
      </w:r>
      <w:r w:rsidR="008C6A1C" w:rsidRPr="004D2D8C">
        <w:rPr>
          <w:rFonts w:ascii="Comic Sans MS" w:hAnsi="Comic Sans MS"/>
          <w:sz w:val="20"/>
          <w:szCs w:val="20"/>
        </w:rPr>
        <w:t xml:space="preserve">cije koje daje </w:t>
      </w:r>
      <w:r w:rsidR="00B43E3F" w:rsidRPr="004D2D8C">
        <w:rPr>
          <w:rFonts w:ascii="Comic Sans MS" w:hAnsi="Comic Sans MS"/>
          <w:sz w:val="20"/>
          <w:szCs w:val="20"/>
        </w:rPr>
        <w:t>promot</w:t>
      </w:r>
      <w:r w:rsidR="008C6A1C" w:rsidRPr="004D2D8C">
        <w:rPr>
          <w:rFonts w:ascii="Comic Sans MS" w:hAnsi="Comic Sans MS"/>
          <w:sz w:val="20"/>
          <w:szCs w:val="20"/>
        </w:rPr>
        <w:t>o</w:t>
      </w:r>
      <w:r w:rsidR="00B43E3F" w:rsidRPr="004D2D8C">
        <w:rPr>
          <w:rFonts w:ascii="Comic Sans MS" w:hAnsi="Comic Sans MS"/>
          <w:sz w:val="20"/>
          <w:szCs w:val="20"/>
        </w:rPr>
        <w:t xml:space="preserve">r </w:t>
      </w:r>
      <w:r w:rsidR="004F0205" w:rsidRPr="004D2D8C">
        <w:rPr>
          <w:rFonts w:ascii="Comic Sans MS" w:hAnsi="Comic Sans MS"/>
          <w:sz w:val="20"/>
          <w:szCs w:val="20"/>
        </w:rPr>
        <w:t>trebaju</w:t>
      </w:r>
      <w:r w:rsidR="00561B5D" w:rsidRPr="004D2D8C">
        <w:rPr>
          <w:rFonts w:ascii="Comic Sans MS" w:hAnsi="Comic Sans MS"/>
          <w:sz w:val="20"/>
          <w:szCs w:val="20"/>
        </w:rPr>
        <w:t xml:space="preserve"> obuhvatiti</w:t>
      </w:r>
      <w:r w:rsidR="00B43E3F" w:rsidRPr="004D2D8C">
        <w:rPr>
          <w:rFonts w:ascii="Comic Sans MS" w:hAnsi="Comic Sans MS"/>
          <w:sz w:val="20"/>
          <w:szCs w:val="20"/>
        </w:rPr>
        <w:t xml:space="preserve"> strate</w:t>
      </w:r>
      <w:r w:rsidR="006D5307" w:rsidRPr="004D2D8C">
        <w:rPr>
          <w:rFonts w:ascii="Comic Sans MS" w:hAnsi="Comic Sans MS"/>
          <w:sz w:val="20"/>
          <w:szCs w:val="20"/>
        </w:rPr>
        <w:t xml:space="preserve">ške </w:t>
      </w:r>
      <w:r w:rsidR="00B43E3F" w:rsidRPr="004D2D8C">
        <w:rPr>
          <w:rFonts w:ascii="Comic Sans MS" w:hAnsi="Comic Sans MS"/>
          <w:sz w:val="20"/>
          <w:szCs w:val="20"/>
        </w:rPr>
        <w:t>aspe</w:t>
      </w:r>
      <w:r w:rsidR="006D5307" w:rsidRPr="004D2D8C">
        <w:rPr>
          <w:rFonts w:ascii="Comic Sans MS" w:hAnsi="Comic Sans MS"/>
          <w:sz w:val="20"/>
          <w:szCs w:val="20"/>
        </w:rPr>
        <w:t>k</w:t>
      </w:r>
      <w:r w:rsidR="00B43E3F" w:rsidRPr="004D2D8C">
        <w:rPr>
          <w:rFonts w:ascii="Comic Sans MS" w:hAnsi="Comic Sans MS"/>
          <w:sz w:val="20"/>
          <w:szCs w:val="20"/>
        </w:rPr>
        <w:t>t</w:t>
      </w:r>
      <w:r w:rsidR="006D5307" w:rsidRPr="004D2D8C">
        <w:rPr>
          <w:rFonts w:ascii="Comic Sans MS" w:hAnsi="Comic Sans MS"/>
          <w:sz w:val="20"/>
          <w:szCs w:val="20"/>
        </w:rPr>
        <w:t xml:space="preserve">e i </w:t>
      </w:r>
      <w:r w:rsidR="000C2FDF" w:rsidRPr="004D2D8C">
        <w:rPr>
          <w:rFonts w:ascii="Comic Sans MS" w:hAnsi="Comic Sans MS"/>
          <w:sz w:val="20"/>
          <w:szCs w:val="20"/>
        </w:rPr>
        <w:t xml:space="preserve">pokrivati široki </w:t>
      </w:r>
      <w:r w:rsidR="007C324F" w:rsidRPr="004D2D8C">
        <w:rPr>
          <w:rFonts w:ascii="Comic Sans MS" w:hAnsi="Comic Sans MS"/>
          <w:sz w:val="20"/>
          <w:szCs w:val="20"/>
        </w:rPr>
        <w:t>raspon</w:t>
      </w:r>
      <w:r w:rsidR="00B43E3F" w:rsidRPr="004D2D8C">
        <w:rPr>
          <w:rFonts w:ascii="Comic Sans MS" w:hAnsi="Comic Sans MS"/>
          <w:sz w:val="20"/>
          <w:szCs w:val="20"/>
        </w:rPr>
        <w:t xml:space="preserve">. </w:t>
      </w:r>
    </w:p>
    <w:p w:rsidR="00B63B68" w:rsidRPr="004D2D8C" w:rsidRDefault="00B63B68" w:rsidP="00B63B68">
      <w:pPr>
        <w:pStyle w:val="ListParagraph"/>
        <w:rPr>
          <w:rFonts w:ascii="Comic Sans MS" w:hAnsi="Comic Sans MS"/>
          <w:sz w:val="20"/>
          <w:szCs w:val="20"/>
        </w:rPr>
      </w:pPr>
    </w:p>
    <w:p w:rsidR="00B63B68" w:rsidRPr="004D2D8C" w:rsidRDefault="008F006C" w:rsidP="00535C8E">
      <w:pPr>
        <w:pStyle w:val="ListParagraph"/>
        <w:numPr>
          <w:ilvl w:val="0"/>
          <w:numId w:val="124"/>
        </w:numPr>
        <w:jc w:val="both"/>
        <w:rPr>
          <w:rFonts w:ascii="Comic Sans MS" w:hAnsi="Comic Sans MS"/>
          <w:sz w:val="20"/>
          <w:szCs w:val="20"/>
        </w:rPr>
      </w:pPr>
      <w:r w:rsidRPr="004D2D8C">
        <w:rPr>
          <w:rFonts w:ascii="Comic Sans MS" w:hAnsi="Comic Sans MS"/>
          <w:sz w:val="20"/>
          <w:szCs w:val="20"/>
        </w:rPr>
        <w:t>F</w:t>
      </w:r>
      <w:r w:rsidR="00B43E3F" w:rsidRPr="004D2D8C">
        <w:rPr>
          <w:rFonts w:ascii="Comic Sans MS" w:hAnsi="Comic Sans MS"/>
          <w:sz w:val="20"/>
          <w:szCs w:val="20"/>
        </w:rPr>
        <w:t>ormal</w:t>
      </w:r>
      <w:r w:rsidRPr="004D2D8C">
        <w:rPr>
          <w:rFonts w:ascii="Comic Sans MS" w:hAnsi="Comic Sans MS"/>
          <w:sz w:val="20"/>
          <w:szCs w:val="20"/>
        </w:rPr>
        <w:t>an</w:t>
      </w:r>
      <w:r w:rsidR="00B43E3F" w:rsidRPr="004D2D8C">
        <w:rPr>
          <w:rFonts w:ascii="Comic Sans MS" w:hAnsi="Comic Sans MS"/>
          <w:sz w:val="20"/>
          <w:szCs w:val="20"/>
        </w:rPr>
        <w:t xml:space="preserve"> EIA/SEA </w:t>
      </w:r>
      <w:r w:rsidR="000C2FDF" w:rsidRPr="004D2D8C">
        <w:rPr>
          <w:rFonts w:ascii="Comic Sans MS" w:hAnsi="Comic Sans MS"/>
          <w:sz w:val="20"/>
          <w:szCs w:val="20"/>
        </w:rPr>
        <w:t xml:space="preserve">treba </w:t>
      </w:r>
      <w:r w:rsidR="00535C8E" w:rsidRPr="004D2D8C">
        <w:rPr>
          <w:rFonts w:ascii="Comic Sans MS" w:hAnsi="Comic Sans MS"/>
          <w:sz w:val="20"/>
          <w:szCs w:val="20"/>
        </w:rPr>
        <w:t>u ranoj fazi projektnog ciklusa identificirati i rješavati sve značajne prekogranične utjecaje u vezi s projektom s</w:t>
      </w:r>
      <w:r w:rsidR="007C324F" w:rsidRPr="004D2D8C">
        <w:rPr>
          <w:rFonts w:ascii="Comic Sans MS" w:hAnsi="Comic Sans MS"/>
          <w:sz w:val="20"/>
          <w:szCs w:val="20"/>
        </w:rPr>
        <w:t>u</w:t>
      </w:r>
      <w:r w:rsidR="00535C8E" w:rsidRPr="004D2D8C">
        <w:rPr>
          <w:rFonts w:ascii="Comic Sans MS" w:hAnsi="Comic Sans MS"/>
          <w:sz w:val="20"/>
          <w:szCs w:val="20"/>
        </w:rPr>
        <w:t>klad</w:t>
      </w:r>
      <w:r w:rsidR="007C324F" w:rsidRPr="004D2D8C">
        <w:rPr>
          <w:rFonts w:ascii="Comic Sans MS" w:hAnsi="Comic Sans MS"/>
          <w:sz w:val="20"/>
          <w:szCs w:val="20"/>
        </w:rPr>
        <w:t>no</w:t>
      </w:r>
      <w:r w:rsidR="00535C8E" w:rsidRPr="004D2D8C">
        <w:rPr>
          <w:rFonts w:ascii="Comic Sans MS" w:hAnsi="Comic Sans MS"/>
          <w:sz w:val="20"/>
          <w:szCs w:val="20"/>
        </w:rPr>
        <w:t xml:space="preserve"> zahtjevima zakona </w:t>
      </w:r>
      <w:r w:rsidR="00B43E3F" w:rsidRPr="004D2D8C">
        <w:rPr>
          <w:rFonts w:ascii="Comic Sans MS" w:hAnsi="Comic Sans MS"/>
          <w:sz w:val="20"/>
          <w:szCs w:val="20"/>
        </w:rPr>
        <w:t>EU</w:t>
      </w:r>
      <w:r w:rsidR="00535C8E" w:rsidRPr="004D2D8C">
        <w:rPr>
          <w:rFonts w:ascii="Comic Sans MS" w:hAnsi="Comic Sans MS"/>
          <w:sz w:val="20"/>
          <w:szCs w:val="20"/>
        </w:rPr>
        <w:t>-a te zahtjevima Espoo konvencije</w:t>
      </w:r>
      <w:r w:rsidR="00535C8E" w:rsidRPr="004D2D8C">
        <w:rPr>
          <w:rStyle w:val="EndnoteReference"/>
          <w:rFonts w:ascii="Comic Sans MS" w:hAnsi="Comic Sans MS"/>
          <w:sz w:val="20"/>
          <w:szCs w:val="20"/>
        </w:rPr>
        <w:endnoteReference w:id="26"/>
      </w:r>
      <w:r w:rsidR="00B43E3F" w:rsidRPr="004D2D8C">
        <w:rPr>
          <w:rFonts w:ascii="Comic Sans MS" w:hAnsi="Comic Sans MS"/>
          <w:sz w:val="20"/>
          <w:szCs w:val="20"/>
        </w:rPr>
        <w:t xml:space="preserve">. </w:t>
      </w:r>
    </w:p>
    <w:p w:rsidR="00B63B68" w:rsidRPr="004D2D8C" w:rsidRDefault="00B63B68" w:rsidP="00B63B68">
      <w:pPr>
        <w:pStyle w:val="ListParagraph"/>
        <w:rPr>
          <w:rFonts w:ascii="Comic Sans MS" w:hAnsi="Comic Sans MS"/>
          <w:sz w:val="20"/>
          <w:szCs w:val="20"/>
        </w:rPr>
      </w:pPr>
    </w:p>
    <w:p w:rsidR="00B43E3F" w:rsidRPr="004D2D8C" w:rsidRDefault="00535C8E"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U nedostatku prevladavajućeg javnog interesa</w:t>
      </w:r>
      <w:r w:rsidR="00B43E3F" w:rsidRPr="004D2D8C">
        <w:rPr>
          <w:rFonts w:ascii="Comic Sans MS" w:hAnsi="Comic Sans MS"/>
          <w:sz w:val="20"/>
          <w:szCs w:val="20"/>
        </w:rPr>
        <w:t>, EIB</w:t>
      </w:r>
      <w:r w:rsidRPr="004D2D8C">
        <w:rPr>
          <w:rFonts w:ascii="Comic Sans MS" w:hAnsi="Comic Sans MS"/>
          <w:sz w:val="20"/>
          <w:szCs w:val="20"/>
        </w:rPr>
        <w:t xml:space="preserve"> neće financirati projekt ako nije</w:t>
      </w:r>
      <w:r w:rsidR="005E0A1B" w:rsidRPr="004D2D8C">
        <w:rPr>
          <w:rFonts w:ascii="Comic Sans MS" w:hAnsi="Comic Sans MS"/>
          <w:sz w:val="20"/>
          <w:szCs w:val="20"/>
        </w:rPr>
        <w:t xml:space="preserve"> provedeno uredno razmatranje </w:t>
      </w:r>
      <w:r w:rsidR="00B43E3F" w:rsidRPr="004D2D8C">
        <w:rPr>
          <w:rFonts w:ascii="Comic Sans MS" w:hAnsi="Comic Sans MS"/>
          <w:sz w:val="20"/>
          <w:szCs w:val="20"/>
        </w:rPr>
        <w:t>alternativ</w:t>
      </w:r>
      <w:r w:rsidR="005E0A1B" w:rsidRPr="004D2D8C">
        <w:rPr>
          <w:rFonts w:ascii="Comic Sans MS" w:hAnsi="Comic Sans MS"/>
          <w:sz w:val="20"/>
          <w:szCs w:val="20"/>
        </w:rPr>
        <w:t>a</w:t>
      </w:r>
      <w:r w:rsidR="00B43E3F" w:rsidRPr="004D2D8C">
        <w:rPr>
          <w:rFonts w:ascii="Comic Sans MS" w:hAnsi="Comic Sans MS"/>
          <w:sz w:val="20"/>
          <w:szCs w:val="20"/>
        </w:rPr>
        <w:t xml:space="preserve">, </w:t>
      </w:r>
      <w:r w:rsidR="00375CA5" w:rsidRPr="004D2D8C">
        <w:rPr>
          <w:rFonts w:ascii="Comic Sans MS" w:hAnsi="Comic Sans MS"/>
          <w:sz w:val="20"/>
          <w:szCs w:val="20"/>
        </w:rPr>
        <w:t xml:space="preserve">ako nakon ublažavanja, kompenziranja </w:t>
      </w:r>
      <w:r w:rsidR="002F24F0" w:rsidRPr="004D2D8C">
        <w:rPr>
          <w:rFonts w:ascii="Comic Sans MS" w:hAnsi="Comic Sans MS"/>
          <w:sz w:val="20"/>
          <w:szCs w:val="20"/>
        </w:rPr>
        <w:t>i/</w:t>
      </w:r>
      <w:r w:rsidR="00375CA5" w:rsidRPr="004D2D8C">
        <w:rPr>
          <w:rFonts w:ascii="Comic Sans MS" w:hAnsi="Comic Sans MS"/>
          <w:sz w:val="20"/>
          <w:szCs w:val="20"/>
        </w:rPr>
        <w:t xml:space="preserve">ili neutraliziranja i nadalje ostaju značajni </w:t>
      </w:r>
      <w:r w:rsidR="00B43E3F" w:rsidRPr="004D2D8C">
        <w:rPr>
          <w:rFonts w:ascii="Comic Sans MS" w:hAnsi="Comic Sans MS"/>
          <w:sz w:val="20"/>
          <w:szCs w:val="20"/>
        </w:rPr>
        <w:t>negativ</w:t>
      </w:r>
      <w:r w:rsidR="00375CA5" w:rsidRPr="004D2D8C">
        <w:rPr>
          <w:rFonts w:ascii="Comic Sans MS" w:hAnsi="Comic Sans MS"/>
          <w:sz w:val="20"/>
          <w:szCs w:val="20"/>
        </w:rPr>
        <w:t>ni</w:t>
      </w:r>
      <w:r w:rsidR="00B43E3F" w:rsidRPr="004D2D8C">
        <w:rPr>
          <w:rFonts w:ascii="Comic Sans MS" w:hAnsi="Comic Sans MS"/>
          <w:sz w:val="20"/>
          <w:szCs w:val="20"/>
        </w:rPr>
        <w:t xml:space="preserve"> </w:t>
      </w:r>
      <w:r w:rsidR="005A7AA6" w:rsidRPr="004D2D8C">
        <w:rPr>
          <w:rFonts w:ascii="Comic Sans MS" w:hAnsi="Comic Sans MS"/>
          <w:sz w:val="20"/>
          <w:szCs w:val="20"/>
        </w:rPr>
        <w:t>okolišn</w:t>
      </w:r>
      <w:r w:rsidR="00375CA5" w:rsidRPr="004D2D8C">
        <w:rPr>
          <w:rFonts w:ascii="Comic Sans MS" w:hAnsi="Comic Sans MS"/>
          <w:sz w:val="20"/>
          <w:szCs w:val="20"/>
        </w:rPr>
        <w:t>i</w:t>
      </w:r>
      <w:r w:rsidR="005A7AA6" w:rsidRPr="004D2D8C">
        <w:rPr>
          <w:rFonts w:ascii="Comic Sans MS" w:hAnsi="Comic Sans MS"/>
          <w:sz w:val="20"/>
          <w:szCs w:val="20"/>
        </w:rPr>
        <w:t xml:space="preserve"> i socijaln</w:t>
      </w:r>
      <w:r w:rsidR="00375CA5" w:rsidRPr="004D2D8C">
        <w:rPr>
          <w:rFonts w:ascii="Comic Sans MS" w:hAnsi="Comic Sans MS"/>
          <w:sz w:val="20"/>
          <w:szCs w:val="20"/>
        </w:rPr>
        <w:t>i utjecaj</w:t>
      </w:r>
      <w:r w:rsidR="007C324F" w:rsidRPr="004D2D8C">
        <w:rPr>
          <w:rFonts w:ascii="Comic Sans MS" w:hAnsi="Comic Sans MS"/>
          <w:sz w:val="20"/>
          <w:szCs w:val="20"/>
        </w:rPr>
        <w:t xml:space="preserve"> te</w:t>
      </w:r>
      <w:r w:rsidR="002F24F0" w:rsidRPr="004D2D8C">
        <w:rPr>
          <w:rFonts w:ascii="Comic Sans MS" w:hAnsi="Comic Sans MS"/>
          <w:sz w:val="20"/>
          <w:szCs w:val="20"/>
        </w:rPr>
        <w:t xml:space="preserve"> ako se o</w:t>
      </w:r>
      <w:r w:rsidR="005A7AA6" w:rsidRPr="004D2D8C">
        <w:rPr>
          <w:rFonts w:ascii="Comic Sans MS" w:hAnsi="Comic Sans MS"/>
          <w:sz w:val="20"/>
          <w:szCs w:val="20"/>
        </w:rPr>
        <w:t>kolišn</w:t>
      </w:r>
      <w:r w:rsidR="002F24F0" w:rsidRPr="004D2D8C">
        <w:rPr>
          <w:rFonts w:ascii="Comic Sans MS" w:hAnsi="Comic Sans MS"/>
          <w:sz w:val="20"/>
          <w:szCs w:val="20"/>
        </w:rPr>
        <w:t>i</w:t>
      </w:r>
      <w:r w:rsidR="005A7AA6" w:rsidRPr="004D2D8C">
        <w:rPr>
          <w:rFonts w:ascii="Comic Sans MS" w:hAnsi="Comic Sans MS"/>
          <w:sz w:val="20"/>
          <w:szCs w:val="20"/>
        </w:rPr>
        <w:t xml:space="preserve"> i socijaln</w:t>
      </w:r>
      <w:r w:rsidR="002F24F0" w:rsidRPr="004D2D8C">
        <w:rPr>
          <w:rFonts w:ascii="Comic Sans MS" w:hAnsi="Comic Sans MS"/>
          <w:sz w:val="20"/>
          <w:szCs w:val="20"/>
        </w:rPr>
        <w:t xml:space="preserve">i zahtjevi </w:t>
      </w:r>
      <w:r w:rsidR="00B43E3F" w:rsidRPr="004D2D8C">
        <w:rPr>
          <w:rFonts w:ascii="Comic Sans MS" w:hAnsi="Comic Sans MS"/>
          <w:sz w:val="20"/>
          <w:szCs w:val="20"/>
        </w:rPr>
        <w:t>Bank</w:t>
      </w:r>
      <w:r w:rsidR="002F24F0" w:rsidRPr="004D2D8C">
        <w:rPr>
          <w:rFonts w:ascii="Comic Sans MS" w:hAnsi="Comic Sans MS"/>
          <w:sz w:val="20"/>
          <w:szCs w:val="20"/>
        </w:rPr>
        <w:t xml:space="preserve">e provode na način koji bi značajno ugrozio provedivost </w:t>
      </w:r>
      <w:r w:rsidR="00B43E3F" w:rsidRPr="004D2D8C">
        <w:rPr>
          <w:rFonts w:ascii="Comic Sans MS" w:hAnsi="Comic Sans MS"/>
          <w:sz w:val="20"/>
          <w:szCs w:val="20"/>
        </w:rPr>
        <w:t>proje</w:t>
      </w:r>
      <w:r w:rsidR="002F24F0" w:rsidRPr="004D2D8C">
        <w:rPr>
          <w:rFonts w:ascii="Comic Sans MS" w:hAnsi="Comic Sans MS"/>
          <w:sz w:val="20"/>
          <w:szCs w:val="20"/>
        </w:rPr>
        <w:t>k</w:t>
      </w:r>
      <w:r w:rsidR="00B43E3F" w:rsidRPr="004D2D8C">
        <w:rPr>
          <w:rFonts w:ascii="Comic Sans MS" w:hAnsi="Comic Sans MS"/>
          <w:sz w:val="20"/>
          <w:szCs w:val="20"/>
        </w:rPr>
        <w:t>t</w:t>
      </w:r>
      <w:r w:rsidR="002F24F0" w:rsidRPr="004D2D8C">
        <w:rPr>
          <w:rFonts w:ascii="Comic Sans MS" w:hAnsi="Comic Sans MS"/>
          <w:sz w:val="20"/>
          <w:szCs w:val="20"/>
        </w:rPr>
        <w:t>a</w:t>
      </w:r>
      <w:r w:rsidR="00B43E3F" w:rsidRPr="004D2D8C">
        <w:rPr>
          <w:rFonts w:ascii="Comic Sans MS" w:hAnsi="Comic Sans MS"/>
          <w:sz w:val="20"/>
          <w:szCs w:val="20"/>
        </w:rPr>
        <w:t>.</w:t>
      </w:r>
      <w:r w:rsidR="002F24F0" w:rsidRPr="004D2D8C">
        <w:rPr>
          <w:rFonts w:ascii="Comic Sans MS" w:hAnsi="Comic Sans MS"/>
          <w:sz w:val="20"/>
          <w:szCs w:val="20"/>
        </w:rPr>
        <w:t xml:space="preserve"> Takav bi projekt u skladu s definicijom iz Priručnika bio svrstan u kategoriju „C“</w:t>
      </w:r>
      <w:r w:rsidR="00B43E3F" w:rsidRPr="004D2D8C">
        <w:rPr>
          <w:rFonts w:ascii="Comic Sans MS" w:hAnsi="Comic Sans MS"/>
          <w:sz w:val="20"/>
          <w:szCs w:val="20"/>
        </w:rPr>
        <w:t xml:space="preserve">. </w:t>
      </w:r>
    </w:p>
    <w:p w:rsidR="00B43E3F" w:rsidRPr="004D2D8C" w:rsidRDefault="00B43E3F" w:rsidP="002C3A1C">
      <w:pPr>
        <w:jc w:val="both"/>
        <w:rPr>
          <w:rFonts w:ascii="Comic Sans MS" w:hAnsi="Comic Sans MS"/>
          <w:sz w:val="20"/>
          <w:szCs w:val="20"/>
        </w:rPr>
      </w:pPr>
    </w:p>
    <w:p w:rsidR="00B43E3F" w:rsidRPr="004D2D8C" w:rsidRDefault="003434B3" w:rsidP="002C3A1C">
      <w:pPr>
        <w:jc w:val="both"/>
        <w:rPr>
          <w:rFonts w:ascii="Comic Sans MS" w:hAnsi="Comic Sans MS"/>
          <w:b/>
          <w:sz w:val="24"/>
          <w:szCs w:val="24"/>
        </w:rPr>
      </w:pPr>
      <w:r w:rsidRPr="004D2D8C">
        <w:rPr>
          <w:rFonts w:ascii="Comic Sans MS" w:hAnsi="Comic Sans MS"/>
          <w:b/>
          <w:sz w:val="24"/>
          <w:szCs w:val="24"/>
        </w:rPr>
        <w:t>NAČELA</w:t>
      </w:r>
      <w:r w:rsidR="00B43E3F" w:rsidRPr="004D2D8C">
        <w:rPr>
          <w:rFonts w:ascii="Comic Sans MS" w:hAnsi="Comic Sans MS"/>
          <w:b/>
          <w:sz w:val="24"/>
          <w:szCs w:val="24"/>
        </w:rPr>
        <w:t xml:space="preserve"> </w:t>
      </w:r>
    </w:p>
    <w:p w:rsidR="00B43E3F" w:rsidRPr="004D2D8C" w:rsidRDefault="005A7AA6" w:rsidP="002C3A1C">
      <w:pPr>
        <w:jc w:val="both"/>
        <w:rPr>
          <w:rFonts w:ascii="Comic Sans MS" w:hAnsi="Comic Sans MS"/>
          <w:b/>
          <w:sz w:val="20"/>
          <w:szCs w:val="20"/>
        </w:rPr>
      </w:pPr>
      <w:r w:rsidRPr="004D2D8C">
        <w:rPr>
          <w:rFonts w:ascii="Comic Sans MS" w:hAnsi="Comic Sans MS"/>
          <w:b/>
          <w:sz w:val="20"/>
          <w:szCs w:val="20"/>
        </w:rPr>
        <w:t>Okolišn</w:t>
      </w:r>
      <w:r w:rsidR="00F03CCE" w:rsidRPr="004D2D8C">
        <w:rPr>
          <w:rFonts w:ascii="Comic Sans MS" w:hAnsi="Comic Sans MS"/>
          <w:b/>
          <w:sz w:val="20"/>
          <w:szCs w:val="20"/>
        </w:rPr>
        <w:t>a</w:t>
      </w:r>
      <w:r w:rsidRPr="004D2D8C">
        <w:rPr>
          <w:rFonts w:ascii="Comic Sans MS" w:hAnsi="Comic Sans MS"/>
          <w:b/>
          <w:sz w:val="20"/>
          <w:szCs w:val="20"/>
        </w:rPr>
        <w:t xml:space="preserve"> i socijaln</w:t>
      </w:r>
      <w:r w:rsidR="00F03CCE" w:rsidRPr="004D2D8C">
        <w:rPr>
          <w:rFonts w:ascii="Comic Sans MS" w:hAnsi="Comic Sans MS"/>
          <w:b/>
          <w:sz w:val="20"/>
          <w:szCs w:val="20"/>
        </w:rPr>
        <w:t>a načela</w:t>
      </w:r>
      <w:r w:rsidR="00B43E3F" w:rsidRPr="004D2D8C">
        <w:rPr>
          <w:rFonts w:ascii="Comic Sans MS" w:hAnsi="Comic Sans MS"/>
          <w:b/>
          <w:sz w:val="20"/>
          <w:szCs w:val="20"/>
        </w:rPr>
        <w:t xml:space="preserve"> </w:t>
      </w:r>
    </w:p>
    <w:p w:rsidR="00535C8E" w:rsidRPr="004D2D8C" w:rsidRDefault="00B43E3F" w:rsidP="009A629E">
      <w:pPr>
        <w:pStyle w:val="ListParagraph"/>
        <w:numPr>
          <w:ilvl w:val="0"/>
          <w:numId w:val="124"/>
        </w:numPr>
        <w:jc w:val="both"/>
        <w:rPr>
          <w:rFonts w:ascii="Comic Sans MS" w:hAnsi="Comic Sans MS"/>
          <w:sz w:val="20"/>
          <w:szCs w:val="20"/>
        </w:rPr>
      </w:pPr>
      <w:r w:rsidRPr="004D2D8C">
        <w:rPr>
          <w:rFonts w:ascii="Comic Sans MS" w:hAnsi="Comic Sans MS"/>
          <w:sz w:val="20"/>
          <w:szCs w:val="20"/>
        </w:rPr>
        <w:t>EIB</w:t>
      </w:r>
      <w:r w:rsidR="005E0A1B" w:rsidRPr="004D2D8C">
        <w:rPr>
          <w:rFonts w:ascii="Comic Sans MS" w:hAnsi="Comic Sans MS"/>
          <w:sz w:val="20"/>
          <w:szCs w:val="20"/>
        </w:rPr>
        <w:t xml:space="preserve"> se poziva na okolišne zakone </w:t>
      </w:r>
      <w:r w:rsidRPr="004D2D8C">
        <w:rPr>
          <w:rFonts w:ascii="Comic Sans MS" w:hAnsi="Comic Sans MS"/>
          <w:sz w:val="20"/>
          <w:szCs w:val="20"/>
        </w:rPr>
        <w:t>EU</w:t>
      </w:r>
      <w:r w:rsidR="005E0A1B" w:rsidRPr="004D2D8C">
        <w:rPr>
          <w:rFonts w:ascii="Comic Sans MS" w:hAnsi="Comic Sans MS"/>
          <w:sz w:val="20"/>
          <w:szCs w:val="20"/>
        </w:rPr>
        <w:t xml:space="preserve">-a </w:t>
      </w:r>
      <w:r w:rsidR="002F24F0" w:rsidRPr="004D2D8C">
        <w:rPr>
          <w:rFonts w:ascii="Comic Sans MS" w:hAnsi="Comic Sans MS"/>
          <w:sz w:val="20"/>
          <w:szCs w:val="20"/>
        </w:rPr>
        <w:t>kao na primarni izvor svojih</w:t>
      </w:r>
      <w:r w:rsidR="009A629E" w:rsidRPr="004D2D8C">
        <w:rPr>
          <w:rFonts w:ascii="Comic Sans MS" w:hAnsi="Comic Sans MS"/>
          <w:sz w:val="20"/>
          <w:szCs w:val="20"/>
        </w:rPr>
        <w:t xml:space="preserve"> okolišnih načela te je potpisnik Europskih načela za okoliš </w:t>
      </w:r>
      <w:r w:rsidRPr="004D2D8C">
        <w:rPr>
          <w:rFonts w:ascii="Comic Sans MS" w:hAnsi="Comic Sans MS"/>
          <w:sz w:val="20"/>
          <w:szCs w:val="20"/>
        </w:rPr>
        <w:t xml:space="preserve">(EPE). </w:t>
      </w:r>
      <w:r w:rsidR="009A629E" w:rsidRPr="004D2D8C">
        <w:rPr>
          <w:rFonts w:ascii="Comic Sans MS" w:hAnsi="Comic Sans MS"/>
          <w:sz w:val="20"/>
          <w:szCs w:val="20"/>
        </w:rPr>
        <w:t>Nekoliko okolišnih načela iz Ugovora</w:t>
      </w:r>
      <w:r w:rsidR="009A629E" w:rsidRPr="004D2D8C">
        <w:rPr>
          <w:rStyle w:val="EndnoteReference"/>
          <w:rFonts w:ascii="Comic Sans MS" w:hAnsi="Comic Sans MS"/>
          <w:sz w:val="20"/>
          <w:szCs w:val="20"/>
        </w:rPr>
        <w:endnoteReference w:id="27"/>
      </w:r>
      <w:r w:rsidR="009A629E" w:rsidRPr="004D2D8C">
        <w:rPr>
          <w:rFonts w:ascii="Comic Sans MS" w:hAnsi="Comic Sans MS"/>
          <w:sz w:val="20"/>
          <w:szCs w:val="20"/>
        </w:rPr>
        <w:t xml:space="preserve"> - implementiranih putem odgovarajućih direktiva – od centralnog su značaja za okolišni pristup </w:t>
      </w:r>
      <w:r w:rsidRPr="004D2D8C">
        <w:rPr>
          <w:rFonts w:ascii="Comic Sans MS" w:hAnsi="Comic Sans MS"/>
          <w:sz w:val="20"/>
          <w:szCs w:val="20"/>
        </w:rPr>
        <w:t>Bank</w:t>
      </w:r>
      <w:r w:rsidR="009A629E" w:rsidRPr="004D2D8C">
        <w:rPr>
          <w:rFonts w:ascii="Comic Sans MS" w:hAnsi="Comic Sans MS"/>
          <w:sz w:val="20"/>
          <w:szCs w:val="20"/>
        </w:rPr>
        <w:t>e, i to</w:t>
      </w:r>
      <w:r w:rsidRPr="004D2D8C">
        <w:rPr>
          <w:rFonts w:ascii="Comic Sans MS" w:hAnsi="Comic Sans MS"/>
          <w:sz w:val="20"/>
          <w:szCs w:val="20"/>
        </w:rPr>
        <w:t xml:space="preserve">: </w:t>
      </w:r>
    </w:p>
    <w:p w:rsidR="00535C8E" w:rsidRPr="004D2D8C" w:rsidRDefault="009A629E" w:rsidP="002C3A1C">
      <w:pPr>
        <w:pStyle w:val="ListParagraph"/>
        <w:numPr>
          <w:ilvl w:val="0"/>
          <w:numId w:val="123"/>
        </w:numPr>
        <w:jc w:val="both"/>
        <w:rPr>
          <w:rFonts w:ascii="Comic Sans MS" w:hAnsi="Comic Sans MS"/>
          <w:sz w:val="20"/>
          <w:szCs w:val="20"/>
        </w:rPr>
      </w:pPr>
      <w:r w:rsidRPr="004D2D8C">
        <w:rPr>
          <w:rFonts w:ascii="Comic Sans MS" w:hAnsi="Comic Sans MS"/>
          <w:sz w:val="20"/>
          <w:szCs w:val="20"/>
        </w:rPr>
        <w:t>načelo integracije</w:t>
      </w:r>
      <w:r w:rsidR="00B43E3F" w:rsidRPr="004D2D8C">
        <w:rPr>
          <w:rFonts w:ascii="Comic Sans MS" w:hAnsi="Comic Sans MS"/>
          <w:sz w:val="20"/>
          <w:szCs w:val="20"/>
        </w:rPr>
        <w:t xml:space="preserve"> (</w:t>
      </w:r>
      <w:r w:rsidRPr="004D2D8C">
        <w:rPr>
          <w:rFonts w:ascii="Comic Sans MS" w:hAnsi="Comic Sans MS"/>
          <w:sz w:val="20"/>
          <w:szCs w:val="20"/>
        </w:rPr>
        <w:t xml:space="preserve">članak </w:t>
      </w:r>
      <w:r w:rsidR="00B43E3F" w:rsidRPr="004D2D8C">
        <w:rPr>
          <w:rFonts w:ascii="Comic Sans MS" w:hAnsi="Comic Sans MS"/>
          <w:sz w:val="20"/>
          <w:szCs w:val="20"/>
        </w:rPr>
        <w:t>6</w:t>
      </w:r>
      <w:r w:rsidRPr="004D2D8C">
        <w:rPr>
          <w:rFonts w:ascii="Comic Sans MS" w:hAnsi="Comic Sans MS"/>
          <w:sz w:val="20"/>
          <w:szCs w:val="20"/>
        </w:rPr>
        <w:t>.</w:t>
      </w:r>
      <w:r w:rsidR="00B43E3F" w:rsidRPr="004D2D8C">
        <w:rPr>
          <w:rFonts w:ascii="Comic Sans MS" w:hAnsi="Comic Sans MS"/>
          <w:sz w:val="20"/>
          <w:szCs w:val="20"/>
        </w:rPr>
        <w:t>)</w:t>
      </w:r>
      <w:r w:rsidRPr="004D2D8C">
        <w:rPr>
          <w:rFonts w:ascii="Comic Sans MS" w:hAnsi="Comic Sans MS"/>
          <w:sz w:val="20"/>
          <w:szCs w:val="20"/>
        </w:rPr>
        <w:t>,</w:t>
      </w:r>
      <w:r w:rsidR="00B43E3F" w:rsidRPr="004D2D8C">
        <w:rPr>
          <w:rFonts w:ascii="Comic Sans MS" w:hAnsi="Comic Sans MS"/>
          <w:sz w:val="20"/>
          <w:szCs w:val="20"/>
        </w:rPr>
        <w:t xml:space="preserve"> </w:t>
      </w:r>
    </w:p>
    <w:p w:rsidR="00535C8E" w:rsidRPr="004D2D8C" w:rsidRDefault="009A629E" w:rsidP="002C3A1C">
      <w:pPr>
        <w:pStyle w:val="ListParagraph"/>
        <w:numPr>
          <w:ilvl w:val="0"/>
          <w:numId w:val="123"/>
        </w:numPr>
        <w:jc w:val="both"/>
        <w:rPr>
          <w:rFonts w:ascii="Comic Sans MS" w:hAnsi="Comic Sans MS"/>
          <w:sz w:val="20"/>
          <w:szCs w:val="20"/>
        </w:rPr>
      </w:pPr>
      <w:r w:rsidRPr="004D2D8C">
        <w:rPr>
          <w:rFonts w:ascii="Comic Sans MS" w:hAnsi="Comic Sans MS"/>
          <w:sz w:val="20"/>
          <w:szCs w:val="20"/>
        </w:rPr>
        <w:t xml:space="preserve">načelo postizanja visoke razine okolišne zaštite </w:t>
      </w:r>
      <w:r w:rsidR="00B43E3F" w:rsidRPr="004D2D8C">
        <w:rPr>
          <w:rFonts w:ascii="Comic Sans MS" w:hAnsi="Comic Sans MS"/>
          <w:sz w:val="20"/>
          <w:szCs w:val="20"/>
        </w:rPr>
        <w:t>(</w:t>
      </w:r>
      <w:r w:rsidRPr="004D2D8C">
        <w:rPr>
          <w:rFonts w:ascii="Comic Sans MS" w:hAnsi="Comic Sans MS"/>
          <w:sz w:val="20"/>
          <w:szCs w:val="20"/>
        </w:rPr>
        <w:t xml:space="preserve">članak </w:t>
      </w:r>
      <w:r w:rsidR="00B43E3F" w:rsidRPr="004D2D8C">
        <w:rPr>
          <w:rFonts w:ascii="Comic Sans MS" w:hAnsi="Comic Sans MS"/>
          <w:sz w:val="20"/>
          <w:szCs w:val="20"/>
        </w:rPr>
        <w:t>95</w:t>
      </w:r>
      <w:r w:rsidRPr="004D2D8C">
        <w:rPr>
          <w:rFonts w:ascii="Comic Sans MS" w:hAnsi="Comic Sans MS"/>
          <w:sz w:val="20"/>
          <w:szCs w:val="20"/>
        </w:rPr>
        <w:t>.</w:t>
      </w:r>
      <w:r w:rsidR="00B43E3F" w:rsidRPr="004D2D8C">
        <w:rPr>
          <w:rFonts w:ascii="Comic Sans MS" w:hAnsi="Comic Sans MS"/>
          <w:sz w:val="20"/>
          <w:szCs w:val="20"/>
        </w:rPr>
        <w:t xml:space="preserve">(3) </w:t>
      </w:r>
      <w:r w:rsidRPr="004D2D8C">
        <w:rPr>
          <w:rFonts w:ascii="Comic Sans MS" w:hAnsi="Comic Sans MS"/>
          <w:sz w:val="20"/>
          <w:szCs w:val="20"/>
        </w:rPr>
        <w:t xml:space="preserve">i članka </w:t>
      </w:r>
      <w:r w:rsidR="00B43E3F" w:rsidRPr="004D2D8C">
        <w:rPr>
          <w:rFonts w:ascii="Comic Sans MS" w:hAnsi="Comic Sans MS"/>
          <w:sz w:val="20"/>
          <w:szCs w:val="20"/>
        </w:rPr>
        <w:t>174</w:t>
      </w:r>
      <w:r w:rsidRPr="004D2D8C">
        <w:rPr>
          <w:rFonts w:ascii="Comic Sans MS" w:hAnsi="Comic Sans MS"/>
          <w:sz w:val="20"/>
          <w:szCs w:val="20"/>
        </w:rPr>
        <w:t>.</w:t>
      </w:r>
      <w:r w:rsidR="00B43E3F" w:rsidRPr="004D2D8C">
        <w:rPr>
          <w:rFonts w:ascii="Comic Sans MS" w:hAnsi="Comic Sans MS"/>
          <w:sz w:val="20"/>
          <w:szCs w:val="20"/>
        </w:rPr>
        <w:t xml:space="preserve">(2)). </w:t>
      </w:r>
    </w:p>
    <w:p w:rsidR="00535C8E" w:rsidRPr="004D2D8C" w:rsidRDefault="00535C8E" w:rsidP="00535C8E">
      <w:pPr>
        <w:pStyle w:val="ListParagraph"/>
        <w:jc w:val="both"/>
        <w:rPr>
          <w:rFonts w:ascii="Comic Sans MS" w:hAnsi="Comic Sans MS"/>
          <w:sz w:val="20"/>
          <w:szCs w:val="20"/>
        </w:rPr>
      </w:pPr>
    </w:p>
    <w:p w:rsidR="00535C8E" w:rsidRPr="004D2D8C" w:rsidRDefault="009A629E"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Načelo integracije zahtijeva </w:t>
      </w:r>
      <w:r w:rsidR="00585B2F" w:rsidRPr="004D2D8C">
        <w:rPr>
          <w:rFonts w:ascii="Comic Sans MS" w:hAnsi="Comic Sans MS"/>
          <w:sz w:val="20"/>
          <w:szCs w:val="20"/>
        </w:rPr>
        <w:t xml:space="preserve">odgovarajuće </w:t>
      </w:r>
      <w:r w:rsidR="00B64523" w:rsidRPr="004D2D8C">
        <w:rPr>
          <w:rFonts w:ascii="Comic Sans MS" w:hAnsi="Comic Sans MS"/>
          <w:sz w:val="20"/>
          <w:szCs w:val="20"/>
        </w:rPr>
        <w:t xml:space="preserve">odmjeravanje </w:t>
      </w:r>
      <w:r w:rsidR="00585B2F" w:rsidRPr="004D2D8C">
        <w:rPr>
          <w:rFonts w:ascii="Comic Sans MS" w:hAnsi="Comic Sans MS"/>
          <w:sz w:val="20"/>
          <w:szCs w:val="20"/>
        </w:rPr>
        <w:t xml:space="preserve">okolišnih aspekata u svim sferama </w:t>
      </w:r>
      <w:r w:rsidR="00B43E3F" w:rsidRPr="004D2D8C">
        <w:rPr>
          <w:rFonts w:ascii="Comic Sans MS" w:hAnsi="Comic Sans MS"/>
          <w:sz w:val="20"/>
          <w:szCs w:val="20"/>
        </w:rPr>
        <w:t>EIB</w:t>
      </w:r>
      <w:r w:rsidR="00585B2F" w:rsidRPr="004D2D8C">
        <w:rPr>
          <w:rFonts w:ascii="Comic Sans MS" w:hAnsi="Comic Sans MS"/>
          <w:sz w:val="20"/>
          <w:szCs w:val="20"/>
        </w:rPr>
        <w:t>-ovih aktivnosti, uključujući transparentan razvoj i provedbu korporativne strategije, operativnih planova, ciljeva, sektorskih politika kreditiranja te projekata koje financira</w:t>
      </w:r>
      <w:r w:rsidR="00B43E3F" w:rsidRPr="004D2D8C">
        <w:rPr>
          <w:rFonts w:ascii="Comic Sans MS" w:hAnsi="Comic Sans MS"/>
          <w:sz w:val="20"/>
          <w:szCs w:val="20"/>
        </w:rPr>
        <w:t xml:space="preserve">. </w:t>
      </w:r>
    </w:p>
    <w:p w:rsidR="00535C8E" w:rsidRPr="004D2D8C" w:rsidRDefault="00535C8E" w:rsidP="00535C8E">
      <w:pPr>
        <w:pStyle w:val="ListParagraph"/>
        <w:jc w:val="both"/>
        <w:rPr>
          <w:rFonts w:ascii="Comic Sans MS" w:hAnsi="Comic Sans MS"/>
          <w:sz w:val="20"/>
          <w:szCs w:val="20"/>
        </w:rPr>
      </w:pPr>
    </w:p>
    <w:p w:rsidR="00585B2F" w:rsidRPr="004D2D8C" w:rsidRDefault="00B43E3F"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EIB</w:t>
      </w:r>
      <w:r w:rsidR="009A629E" w:rsidRPr="004D2D8C">
        <w:rPr>
          <w:rFonts w:ascii="Comic Sans MS" w:hAnsi="Comic Sans MS"/>
          <w:sz w:val="20"/>
          <w:szCs w:val="20"/>
        </w:rPr>
        <w:t xml:space="preserve"> nastoji, u skladu s okolišnom politikom </w:t>
      </w:r>
      <w:r w:rsidRPr="004D2D8C">
        <w:rPr>
          <w:rFonts w:ascii="Comic Sans MS" w:hAnsi="Comic Sans MS"/>
          <w:sz w:val="20"/>
          <w:szCs w:val="20"/>
        </w:rPr>
        <w:t>EU</w:t>
      </w:r>
      <w:r w:rsidR="00A222B3" w:rsidRPr="004D2D8C">
        <w:rPr>
          <w:rFonts w:ascii="Comic Sans MS" w:hAnsi="Comic Sans MS"/>
          <w:sz w:val="20"/>
          <w:szCs w:val="20"/>
        </w:rPr>
        <w:t>-a</w:t>
      </w:r>
      <w:r w:rsidRPr="004D2D8C">
        <w:rPr>
          <w:rFonts w:ascii="Comic Sans MS" w:hAnsi="Comic Sans MS"/>
          <w:sz w:val="20"/>
          <w:szCs w:val="20"/>
        </w:rPr>
        <w:t xml:space="preserve">, </w:t>
      </w:r>
      <w:r w:rsidR="009A629E" w:rsidRPr="004D2D8C">
        <w:rPr>
          <w:rFonts w:ascii="Comic Sans MS" w:hAnsi="Comic Sans MS"/>
          <w:sz w:val="20"/>
          <w:szCs w:val="20"/>
        </w:rPr>
        <w:t>postići</w:t>
      </w:r>
      <w:r w:rsidR="00585B2F" w:rsidRPr="004D2D8C">
        <w:rPr>
          <w:rFonts w:ascii="Comic Sans MS" w:hAnsi="Comic Sans MS"/>
          <w:sz w:val="20"/>
          <w:szCs w:val="20"/>
        </w:rPr>
        <w:t xml:space="preserve"> visoku razinu zaštite na temelju poštivanja načela opreza te načela poduzimanja preventivnih mjera</w:t>
      </w:r>
      <w:r w:rsidRPr="004D2D8C">
        <w:rPr>
          <w:rFonts w:ascii="Comic Sans MS" w:hAnsi="Comic Sans MS"/>
          <w:sz w:val="20"/>
          <w:szCs w:val="20"/>
        </w:rPr>
        <w:t>,</w:t>
      </w:r>
      <w:r w:rsidR="00585B2F" w:rsidRPr="004D2D8C">
        <w:rPr>
          <w:rFonts w:ascii="Comic Sans MS" w:hAnsi="Comic Sans MS"/>
          <w:sz w:val="20"/>
          <w:szCs w:val="20"/>
        </w:rPr>
        <w:t xml:space="preserve"> načela ispravljanja okolišnih šteta na njihovom samom izvoru te načela da zagađivač treba platiti</w:t>
      </w:r>
      <w:r w:rsidRPr="004D2D8C">
        <w:rPr>
          <w:rFonts w:ascii="Comic Sans MS" w:hAnsi="Comic Sans MS"/>
          <w:sz w:val="20"/>
          <w:szCs w:val="20"/>
        </w:rPr>
        <w:t xml:space="preserve">. </w:t>
      </w:r>
    </w:p>
    <w:p w:rsidR="00585B2F" w:rsidRPr="004D2D8C" w:rsidRDefault="00585B2F" w:rsidP="00585B2F">
      <w:pPr>
        <w:pStyle w:val="ListParagraph"/>
        <w:rPr>
          <w:rFonts w:ascii="Comic Sans MS" w:hAnsi="Comic Sans MS"/>
          <w:sz w:val="20"/>
          <w:szCs w:val="20"/>
        </w:rPr>
      </w:pPr>
    </w:p>
    <w:p w:rsidR="00BB4245" w:rsidRPr="004D2D8C" w:rsidRDefault="00B43E3F" w:rsidP="00223B32">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EIB </w:t>
      </w:r>
      <w:r w:rsidR="00585B2F" w:rsidRPr="004D2D8C">
        <w:rPr>
          <w:rFonts w:ascii="Comic Sans MS" w:hAnsi="Comic Sans MS"/>
          <w:sz w:val="20"/>
          <w:szCs w:val="20"/>
        </w:rPr>
        <w:t>razmatra potrebu provođenja načela poduzimanja preventivnih mjera kada postoji rizik da bi projekt mogao prouzrokovati značajnu ili nepopravljivu štetu po okoliš</w:t>
      </w:r>
      <w:r w:rsidRPr="004D2D8C">
        <w:rPr>
          <w:rFonts w:ascii="Comic Sans MS" w:hAnsi="Comic Sans MS"/>
          <w:sz w:val="20"/>
          <w:szCs w:val="20"/>
        </w:rPr>
        <w:t>.</w:t>
      </w:r>
      <w:r w:rsidR="00585B2F" w:rsidRPr="004D2D8C">
        <w:rPr>
          <w:rFonts w:ascii="Comic Sans MS" w:hAnsi="Comic Sans MS"/>
          <w:sz w:val="20"/>
          <w:szCs w:val="20"/>
        </w:rPr>
        <w:t xml:space="preserve"> U takvim slučajevima promotor treba </w:t>
      </w:r>
      <w:r w:rsidR="008D5E0B" w:rsidRPr="004D2D8C">
        <w:rPr>
          <w:rFonts w:ascii="Comic Sans MS" w:hAnsi="Comic Sans MS"/>
          <w:sz w:val="20"/>
          <w:szCs w:val="20"/>
        </w:rPr>
        <w:t xml:space="preserve">prvenstveno </w:t>
      </w:r>
      <w:r w:rsidR="00585B2F" w:rsidRPr="004D2D8C">
        <w:rPr>
          <w:rFonts w:ascii="Comic Sans MS" w:hAnsi="Comic Sans MS"/>
          <w:sz w:val="20"/>
          <w:szCs w:val="20"/>
        </w:rPr>
        <w:t xml:space="preserve">poduzeti mjere </w:t>
      </w:r>
      <w:r w:rsidR="008D5E0B" w:rsidRPr="004D2D8C">
        <w:rPr>
          <w:rFonts w:ascii="Comic Sans MS" w:hAnsi="Comic Sans MS"/>
          <w:sz w:val="20"/>
          <w:szCs w:val="20"/>
        </w:rPr>
        <w:t xml:space="preserve">izbjegavanja te, ako provediva alternativa nije na raspolaganju, smanjenja rizika </w:t>
      </w:r>
      <w:r w:rsidR="00223B32" w:rsidRPr="004D2D8C">
        <w:rPr>
          <w:rFonts w:ascii="Comic Sans MS" w:hAnsi="Comic Sans MS"/>
          <w:sz w:val="20"/>
          <w:szCs w:val="20"/>
        </w:rPr>
        <w:t xml:space="preserve">na prihvatljivu razinu. Ovo se primjenjuje čak i kada nema uvjerljivih dokaza o uzročnoj vezi između projekta i njegovih mogućih negativnih posljedica. Cilj Banke smanjiti je sve negativne okolišne utjecaje projekata koje financira. U slučajevima kada je očita neizbježnost takvih utjecaja, Banka od promotora zahtijeva primjenu mjera ublažavanja, a u slučaju utjecaja koji se ne mogu u potpunosti ublažiti, potrebno je provesti mjere kompenziranja i/ili neutraliziranja u skladu s odgovarajućim direktivama </w:t>
      </w:r>
      <w:r w:rsidRPr="004D2D8C">
        <w:rPr>
          <w:rFonts w:ascii="Comic Sans MS" w:hAnsi="Comic Sans MS"/>
          <w:sz w:val="20"/>
          <w:szCs w:val="20"/>
        </w:rPr>
        <w:t>EU</w:t>
      </w:r>
      <w:r w:rsidR="00223B32" w:rsidRPr="004D2D8C">
        <w:rPr>
          <w:rFonts w:ascii="Comic Sans MS" w:hAnsi="Comic Sans MS"/>
          <w:sz w:val="20"/>
          <w:szCs w:val="20"/>
        </w:rPr>
        <w:t xml:space="preserve">-a kao što su direktive o </w:t>
      </w:r>
      <w:r w:rsidRPr="004D2D8C">
        <w:rPr>
          <w:rFonts w:ascii="Comic Sans MS" w:hAnsi="Comic Sans MS"/>
          <w:sz w:val="20"/>
          <w:szCs w:val="20"/>
        </w:rPr>
        <w:t>EIA,</w:t>
      </w:r>
      <w:r w:rsidR="00223B32" w:rsidRPr="004D2D8C">
        <w:rPr>
          <w:rFonts w:ascii="Comic Sans MS" w:hAnsi="Comic Sans MS"/>
          <w:sz w:val="20"/>
          <w:szCs w:val="20"/>
        </w:rPr>
        <w:t xml:space="preserve"> zaštiti prirode</w:t>
      </w:r>
      <w:r w:rsidRPr="004D2D8C">
        <w:rPr>
          <w:rFonts w:ascii="Comic Sans MS" w:hAnsi="Comic Sans MS"/>
          <w:sz w:val="20"/>
          <w:szCs w:val="20"/>
        </w:rPr>
        <w:t xml:space="preserve"> (</w:t>
      </w:r>
      <w:r w:rsidR="00223B32" w:rsidRPr="004D2D8C">
        <w:rPr>
          <w:rFonts w:ascii="Comic Sans MS" w:hAnsi="Comic Sans MS"/>
          <w:sz w:val="20"/>
          <w:szCs w:val="20"/>
        </w:rPr>
        <w:t>staništa i ptica</w:t>
      </w:r>
      <w:r w:rsidRPr="004D2D8C">
        <w:rPr>
          <w:rFonts w:ascii="Comic Sans MS" w:hAnsi="Comic Sans MS"/>
          <w:sz w:val="20"/>
          <w:szCs w:val="20"/>
        </w:rPr>
        <w:t>)</w:t>
      </w:r>
      <w:r w:rsidR="00223B32" w:rsidRPr="004D2D8C">
        <w:rPr>
          <w:rStyle w:val="EndnoteReference"/>
          <w:rFonts w:ascii="Comic Sans MS" w:hAnsi="Comic Sans MS"/>
          <w:sz w:val="20"/>
          <w:szCs w:val="20"/>
        </w:rPr>
        <w:endnoteReference w:id="28"/>
      </w:r>
      <w:r w:rsidRPr="004D2D8C">
        <w:rPr>
          <w:rFonts w:ascii="Comic Sans MS" w:hAnsi="Comic Sans MS"/>
          <w:sz w:val="20"/>
          <w:szCs w:val="20"/>
        </w:rPr>
        <w:t xml:space="preserve"> </w:t>
      </w:r>
      <w:r w:rsidR="00223B32" w:rsidRPr="004D2D8C">
        <w:rPr>
          <w:rFonts w:ascii="Comic Sans MS" w:hAnsi="Comic Sans MS"/>
          <w:sz w:val="20"/>
          <w:szCs w:val="20"/>
        </w:rPr>
        <w:t>te o okolišnoj odgovornosti</w:t>
      </w:r>
      <w:r w:rsidR="00223B32" w:rsidRPr="004D2D8C">
        <w:rPr>
          <w:rStyle w:val="EndnoteReference"/>
          <w:rFonts w:ascii="Comic Sans MS" w:hAnsi="Comic Sans MS"/>
          <w:sz w:val="20"/>
          <w:szCs w:val="20"/>
        </w:rPr>
        <w:endnoteReference w:id="29"/>
      </w:r>
      <w:r w:rsidRPr="004D2D8C">
        <w:rPr>
          <w:rFonts w:ascii="Comic Sans MS" w:hAnsi="Comic Sans MS"/>
          <w:sz w:val="20"/>
          <w:szCs w:val="20"/>
        </w:rPr>
        <w:t xml:space="preserve">. </w:t>
      </w:r>
    </w:p>
    <w:p w:rsidR="00BB4245" w:rsidRPr="004D2D8C" w:rsidRDefault="00BB4245" w:rsidP="00BB4245">
      <w:pPr>
        <w:pStyle w:val="ListParagraph"/>
        <w:rPr>
          <w:rFonts w:ascii="Comic Sans MS" w:hAnsi="Comic Sans MS"/>
          <w:sz w:val="20"/>
          <w:szCs w:val="20"/>
        </w:rPr>
      </w:pPr>
    </w:p>
    <w:p w:rsidR="00BB4245" w:rsidRPr="004D2D8C" w:rsidRDefault="00223B32"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Primjena načela sprječavanja</w:t>
      </w:r>
      <w:r w:rsidR="007A2092" w:rsidRPr="004D2D8C">
        <w:rPr>
          <w:rFonts w:ascii="Comic Sans MS" w:hAnsi="Comic Sans MS"/>
          <w:sz w:val="20"/>
          <w:szCs w:val="20"/>
        </w:rPr>
        <w:t xml:space="preserve"> znači to da </w:t>
      </w:r>
      <w:r w:rsidR="00B43E3F" w:rsidRPr="004D2D8C">
        <w:rPr>
          <w:rFonts w:ascii="Comic Sans MS" w:hAnsi="Comic Sans MS"/>
          <w:sz w:val="20"/>
          <w:szCs w:val="20"/>
        </w:rPr>
        <w:t>promot</w:t>
      </w:r>
      <w:r w:rsidR="007A2092" w:rsidRPr="004D2D8C">
        <w:rPr>
          <w:rFonts w:ascii="Comic Sans MS" w:hAnsi="Comic Sans MS"/>
          <w:sz w:val="20"/>
          <w:szCs w:val="20"/>
        </w:rPr>
        <w:t>o</w:t>
      </w:r>
      <w:r w:rsidR="00B43E3F" w:rsidRPr="004D2D8C">
        <w:rPr>
          <w:rFonts w:ascii="Comic Sans MS" w:hAnsi="Comic Sans MS"/>
          <w:sz w:val="20"/>
          <w:szCs w:val="20"/>
        </w:rPr>
        <w:t xml:space="preserve">r </w:t>
      </w:r>
      <w:r w:rsidR="007A2092" w:rsidRPr="004D2D8C">
        <w:rPr>
          <w:rFonts w:ascii="Comic Sans MS" w:hAnsi="Comic Sans MS"/>
          <w:sz w:val="20"/>
          <w:szCs w:val="20"/>
        </w:rPr>
        <w:t>treba dokazati da su u ranoj fazi poduzete odgovarajuće mjere zaštite okoliša</w:t>
      </w:r>
      <w:r w:rsidR="00B43E3F" w:rsidRPr="004D2D8C">
        <w:rPr>
          <w:rFonts w:ascii="Comic Sans MS" w:hAnsi="Comic Sans MS"/>
          <w:sz w:val="20"/>
          <w:szCs w:val="20"/>
        </w:rPr>
        <w:t xml:space="preserve">. </w:t>
      </w:r>
      <w:r w:rsidR="007A2092" w:rsidRPr="004D2D8C">
        <w:rPr>
          <w:rFonts w:ascii="Comic Sans MS" w:hAnsi="Comic Sans MS"/>
          <w:sz w:val="20"/>
          <w:szCs w:val="20"/>
        </w:rPr>
        <w:t xml:space="preserve">Cilj je prvenstveno spriječiti nastajanje štete putem alternativnog </w:t>
      </w:r>
      <w:r w:rsidR="00B43E3F" w:rsidRPr="004D2D8C">
        <w:rPr>
          <w:rFonts w:ascii="Comic Sans MS" w:hAnsi="Comic Sans MS"/>
          <w:sz w:val="20"/>
          <w:szCs w:val="20"/>
        </w:rPr>
        <w:t>proje</w:t>
      </w:r>
      <w:r w:rsidR="007A2092" w:rsidRPr="004D2D8C">
        <w:rPr>
          <w:rFonts w:ascii="Comic Sans MS" w:hAnsi="Comic Sans MS"/>
          <w:sz w:val="20"/>
          <w:szCs w:val="20"/>
        </w:rPr>
        <w:t>k</w:t>
      </w:r>
      <w:r w:rsidR="00B43E3F" w:rsidRPr="004D2D8C">
        <w:rPr>
          <w:rFonts w:ascii="Comic Sans MS" w:hAnsi="Comic Sans MS"/>
          <w:sz w:val="20"/>
          <w:szCs w:val="20"/>
        </w:rPr>
        <w:t>t</w:t>
      </w:r>
      <w:r w:rsidR="007A2092" w:rsidRPr="004D2D8C">
        <w:rPr>
          <w:rFonts w:ascii="Comic Sans MS" w:hAnsi="Comic Sans MS"/>
          <w:sz w:val="20"/>
          <w:szCs w:val="20"/>
        </w:rPr>
        <w:t>a</w:t>
      </w:r>
      <w:r w:rsidR="00B43E3F" w:rsidRPr="004D2D8C">
        <w:rPr>
          <w:rFonts w:ascii="Comic Sans MS" w:hAnsi="Comic Sans MS"/>
          <w:sz w:val="20"/>
          <w:szCs w:val="20"/>
        </w:rPr>
        <w:t>,</w:t>
      </w:r>
      <w:r w:rsidR="007A2092" w:rsidRPr="004D2D8C">
        <w:rPr>
          <w:rFonts w:ascii="Comic Sans MS" w:hAnsi="Comic Sans MS"/>
          <w:sz w:val="20"/>
          <w:szCs w:val="20"/>
        </w:rPr>
        <w:t xml:space="preserve"> nacrta ili procesa umjesto pokušaja popravljanja štete nakon što takva šteta nastane</w:t>
      </w:r>
      <w:r w:rsidR="00B43E3F" w:rsidRPr="004D2D8C">
        <w:rPr>
          <w:rFonts w:ascii="Comic Sans MS" w:hAnsi="Comic Sans MS"/>
          <w:sz w:val="20"/>
          <w:szCs w:val="20"/>
        </w:rPr>
        <w:t xml:space="preserve">. </w:t>
      </w:r>
    </w:p>
    <w:p w:rsidR="00BB4245" w:rsidRPr="004D2D8C" w:rsidRDefault="00BB4245" w:rsidP="00BB4245">
      <w:pPr>
        <w:pStyle w:val="ListParagraph"/>
        <w:rPr>
          <w:rFonts w:ascii="Comic Sans MS" w:hAnsi="Comic Sans MS"/>
          <w:sz w:val="20"/>
          <w:szCs w:val="20"/>
        </w:rPr>
      </w:pPr>
    </w:p>
    <w:p w:rsidR="00A855B6" w:rsidRPr="004D2D8C" w:rsidRDefault="00B0186E" w:rsidP="00CC46F7">
      <w:pPr>
        <w:pStyle w:val="ListParagraph"/>
        <w:numPr>
          <w:ilvl w:val="0"/>
          <w:numId w:val="124"/>
        </w:numPr>
        <w:jc w:val="both"/>
        <w:rPr>
          <w:rFonts w:ascii="Comic Sans MS" w:hAnsi="Comic Sans MS"/>
          <w:sz w:val="20"/>
          <w:szCs w:val="20"/>
        </w:rPr>
      </w:pPr>
      <w:r w:rsidRPr="004D2D8C">
        <w:rPr>
          <w:rFonts w:ascii="Comic Sans MS" w:hAnsi="Comic Sans MS"/>
          <w:sz w:val="20"/>
          <w:szCs w:val="20"/>
        </w:rPr>
        <w:t>Načelo ispravljanja okolišne štete na samom izvoru</w:t>
      </w:r>
      <w:r w:rsidR="007A2092" w:rsidRPr="004D2D8C">
        <w:rPr>
          <w:rFonts w:ascii="Comic Sans MS" w:hAnsi="Comic Sans MS"/>
          <w:sz w:val="20"/>
          <w:szCs w:val="20"/>
        </w:rPr>
        <w:t xml:space="preserve"> ugrađen</w:t>
      </w:r>
      <w:r w:rsidR="00A72EAE" w:rsidRPr="004D2D8C">
        <w:rPr>
          <w:rFonts w:ascii="Comic Sans MS" w:hAnsi="Comic Sans MS"/>
          <w:sz w:val="20"/>
          <w:szCs w:val="20"/>
        </w:rPr>
        <w:t>o</w:t>
      </w:r>
      <w:r w:rsidR="007A2092" w:rsidRPr="004D2D8C">
        <w:rPr>
          <w:rFonts w:ascii="Comic Sans MS" w:hAnsi="Comic Sans MS"/>
          <w:sz w:val="20"/>
          <w:szCs w:val="20"/>
        </w:rPr>
        <w:t xml:space="preserve"> je u niz zakona </w:t>
      </w:r>
      <w:r w:rsidR="00B43E3F" w:rsidRPr="004D2D8C">
        <w:rPr>
          <w:rFonts w:ascii="Comic Sans MS" w:hAnsi="Comic Sans MS"/>
          <w:sz w:val="20"/>
          <w:szCs w:val="20"/>
        </w:rPr>
        <w:t>EU</w:t>
      </w:r>
      <w:r w:rsidR="007A2092" w:rsidRPr="004D2D8C">
        <w:rPr>
          <w:rFonts w:ascii="Comic Sans MS" w:hAnsi="Comic Sans MS"/>
          <w:sz w:val="20"/>
          <w:szCs w:val="20"/>
        </w:rPr>
        <w:t>-a</w:t>
      </w:r>
      <w:r w:rsidR="00B43E3F" w:rsidRPr="004D2D8C">
        <w:rPr>
          <w:rFonts w:ascii="Comic Sans MS" w:hAnsi="Comic Sans MS"/>
          <w:sz w:val="20"/>
          <w:szCs w:val="20"/>
        </w:rPr>
        <w:t>,</w:t>
      </w:r>
      <w:r w:rsidR="007A2092" w:rsidRPr="004D2D8C">
        <w:rPr>
          <w:rFonts w:ascii="Comic Sans MS" w:hAnsi="Comic Sans MS"/>
          <w:sz w:val="20"/>
          <w:szCs w:val="20"/>
        </w:rPr>
        <w:t xml:space="preserve"> poglavito onih koji se odnose na zagađenje vode i zraka</w:t>
      </w:r>
      <w:r w:rsidR="00B43E3F" w:rsidRPr="004D2D8C">
        <w:rPr>
          <w:rFonts w:ascii="Comic Sans MS" w:hAnsi="Comic Sans MS"/>
          <w:sz w:val="20"/>
          <w:szCs w:val="20"/>
        </w:rPr>
        <w:t xml:space="preserve">. </w:t>
      </w:r>
      <w:r w:rsidR="007A2092" w:rsidRPr="004D2D8C">
        <w:rPr>
          <w:rFonts w:ascii="Comic Sans MS" w:hAnsi="Comic Sans MS"/>
          <w:sz w:val="20"/>
          <w:szCs w:val="20"/>
        </w:rPr>
        <w:t>Njime se uvode ograničenja emisije za proizvodne pogone i druge koncentrirane zagađivače, primjerice sukladno definiciji iz Direktive</w:t>
      </w:r>
      <w:r w:rsidR="00CC46F7" w:rsidRPr="004D2D8C">
        <w:rPr>
          <w:rFonts w:ascii="Comic Sans MS" w:hAnsi="Comic Sans MS"/>
          <w:sz w:val="20"/>
          <w:szCs w:val="20"/>
        </w:rPr>
        <w:t xml:space="preserve"> o integrirano</w:t>
      </w:r>
      <w:r w:rsidR="006B42D1" w:rsidRPr="004D2D8C">
        <w:rPr>
          <w:rFonts w:ascii="Comic Sans MS" w:hAnsi="Comic Sans MS"/>
          <w:sz w:val="20"/>
          <w:szCs w:val="20"/>
        </w:rPr>
        <w:t xml:space="preserve">j prevenciji </w:t>
      </w:r>
      <w:r w:rsidR="00CC46F7" w:rsidRPr="004D2D8C">
        <w:rPr>
          <w:rFonts w:ascii="Comic Sans MS" w:hAnsi="Comic Sans MS"/>
          <w:sz w:val="20"/>
          <w:szCs w:val="20"/>
        </w:rPr>
        <w:t xml:space="preserve">i kontroli onečišćenja </w:t>
      </w:r>
      <w:r w:rsidR="00B43E3F" w:rsidRPr="004D2D8C">
        <w:rPr>
          <w:rFonts w:ascii="Comic Sans MS" w:hAnsi="Comic Sans MS"/>
          <w:sz w:val="20"/>
          <w:szCs w:val="20"/>
        </w:rPr>
        <w:t>(IPPC)</w:t>
      </w:r>
      <w:r w:rsidR="00CC46F7" w:rsidRPr="004D2D8C">
        <w:rPr>
          <w:rStyle w:val="EndnoteReference"/>
          <w:rFonts w:ascii="Comic Sans MS" w:hAnsi="Comic Sans MS"/>
          <w:sz w:val="20"/>
          <w:szCs w:val="20"/>
        </w:rPr>
        <w:endnoteReference w:id="30"/>
      </w:r>
      <w:r w:rsidR="00B43E3F" w:rsidRPr="004D2D8C">
        <w:rPr>
          <w:rFonts w:ascii="Comic Sans MS" w:hAnsi="Comic Sans MS"/>
          <w:sz w:val="20"/>
          <w:szCs w:val="20"/>
        </w:rPr>
        <w:t>. EIB</w:t>
      </w:r>
      <w:r w:rsidR="00CC46F7" w:rsidRPr="004D2D8C">
        <w:rPr>
          <w:rFonts w:ascii="Comic Sans MS" w:hAnsi="Comic Sans MS"/>
          <w:sz w:val="20"/>
          <w:szCs w:val="20"/>
        </w:rPr>
        <w:t xml:space="preserve"> od promotora zahtijeva provođenje odgovarajućih mjera radi sprječavanja ili barem smanjenja utjecaja koncentriranih izvora onečišćenja na područj</w:t>
      </w:r>
      <w:r w:rsidR="00294830" w:rsidRPr="004D2D8C">
        <w:rPr>
          <w:rFonts w:ascii="Comic Sans MS" w:hAnsi="Comic Sans MS"/>
          <w:sz w:val="20"/>
          <w:szCs w:val="20"/>
        </w:rPr>
        <w:t>im</w:t>
      </w:r>
      <w:r w:rsidR="00CC46F7" w:rsidRPr="004D2D8C">
        <w:rPr>
          <w:rFonts w:ascii="Comic Sans MS" w:hAnsi="Comic Sans MS"/>
          <w:sz w:val="20"/>
          <w:szCs w:val="20"/>
        </w:rPr>
        <w:t>a unutar i izvan granica projekta</w:t>
      </w:r>
      <w:r w:rsidR="00B43E3F" w:rsidRPr="004D2D8C">
        <w:rPr>
          <w:rFonts w:ascii="Comic Sans MS" w:hAnsi="Comic Sans MS"/>
          <w:sz w:val="20"/>
          <w:szCs w:val="20"/>
        </w:rPr>
        <w:t xml:space="preserve">. </w:t>
      </w:r>
    </w:p>
    <w:p w:rsidR="00A855B6" w:rsidRPr="004D2D8C" w:rsidRDefault="00A855B6" w:rsidP="00A855B6">
      <w:pPr>
        <w:pStyle w:val="ListParagraph"/>
        <w:rPr>
          <w:rFonts w:ascii="Comic Sans MS" w:hAnsi="Comic Sans MS"/>
          <w:sz w:val="20"/>
          <w:szCs w:val="20"/>
        </w:rPr>
      </w:pPr>
    </w:p>
    <w:p w:rsidR="00A855B6" w:rsidRPr="004D2D8C" w:rsidRDefault="007A2092" w:rsidP="002C3A1C">
      <w:pPr>
        <w:pStyle w:val="ListParagraph"/>
        <w:numPr>
          <w:ilvl w:val="0"/>
          <w:numId w:val="124"/>
        </w:numPr>
        <w:jc w:val="both"/>
        <w:rPr>
          <w:rFonts w:ascii="Comic Sans MS" w:hAnsi="Comic Sans MS"/>
          <w:sz w:val="20"/>
          <w:szCs w:val="20"/>
        </w:rPr>
      </w:pPr>
      <w:r w:rsidRPr="004D2D8C">
        <w:rPr>
          <w:rFonts w:ascii="Comic Sans MS" w:hAnsi="Comic Sans MS"/>
          <w:sz w:val="20"/>
          <w:szCs w:val="20"/>
        </w:rPr>
        <w:t xml:space="preserve">Gore navedena načela počivaju na zahtjevu </w:t>
      </w:r>
      <w:r w:rsidR="00B43E3F" w:rsidRPr="004D2D8C">
        <w:rPr>
          <w:rFonts w:ascii="Comic Sans MS" w:hAnsi="Comic Sans MS"/>
          <w:sz w:val="20"/>
          <w:szCs w:val="20"/>
        </w:rPr>
        <w:t>EU</w:t>
      </w:r>
      <w:r w:rsidR="00CC46F7" w:rsidRPr="004D2D8C">
        <w:rPr>
          <w:rFonts w:ascii="Comic Sans MS" w:hAnsi="Comic Sans MS"/>
          <w:sz w:val="20"/>
          <w:szCs w:val="20"/>
        </w:rPr>
        <w:t xml:space="preserve">-a da investicijske odluke trebaju odražavati istinsku vrijednost investicija za društvo, uključujući i </w:t>
      </w:r>
      <w:r w:rsidR="00404A8A" w:rsidRPr="004D2D8C">
        <w:rPr>
          <w:rFonts w:ascii="Comic Sans MS" w:hAnsi="Comic Sans MS"/>
          <w:sz w:val="20"/>
          <w:szCs w:val="20"/>
        </w:rPr>
        <w:t>cijenu koju su ljudi spremni platiti</w:t>
      </w:r>
      <w:r w:rsidR="00294830" w:rsidRPr="004D2D8C">
        <w:rPr>
          <w:rFonts w:ascii="Comic Sans MS" w:hAnsi="Comic Sans MS"/>
          <w:sz w:val="20"/>
          <w:szCs w:val="20"/>
        </w:rPr>
        <w:t xml:space="preserve"> (</w:t>
      </w:r>
      <w:r w:rsidR="00404A8A" w:rsidRPr="004D2D8C">
        <w:rPr>
          <w:rFonts w:ascii="Comic Sans MS" w:hAnsi="Comic Sans MS"/>
          <w:sz w:val="20"/>
          <w:szCs w:val="20"/>
        </w:rPr>
        <w:t>ili cijenu čije se plaćanje zapravo traži od korisnika temeljem načela da zagađivač plaća</w:t>
      </w:r>
      <w:r w:rsidR="00294830" w:rsidRPr="004D2D8C">
        <w:rPr>
          <w:rFonts w:ascii="Comic Sans MS" w:hAnsi="Comic Sans MS"/>
          <w:sz w:val="20"/>
          <w:szCs w:val="20"/>
        </w:rPr>
        <w:t xml:space="preserve">) </w:t>
      </w:r>
      <w:r w:rsidR="00404A8A" w:rsidRPr="004D2D8C">
        <w:rPr>
          <w:rFonts w:ascii="Comic Sans MS" w:hAnsi="Comic Sans MS"/>
          <w:sz w:val="20"/>
          <w:szCs w:val="20"/>
        </w:rPr>
        <w:t>za zaštitu i jačanje okoliša kao i troškove koje snosi društvo nakon što se okoliš ošteti</w:t>
      </w:r>
      <w:r w:rsidR="00B43E3F" w:rsidRPr="004D2D8C">
        <w:rPr>
          <w:rFonts w:ascii="Comic Sans MS" w:hAnsi="Comic Sans MS"/>
          <w:sz w:val="20"/>
          <w:szCs w:val="20"/>
        </w:rPr>
        <w:t xml:space="preserve">. </w:t>
      </w:r>
    </w:p>
    <w:p w:rsidR="00A855B6" w:rsidRPr="004D2D8C" w:rsidRDefault="00A855B6" w:rsidP="00A855B6">
      <w:pPr>
        <w:pStyle w:val="ListParagraph"/>
        <w:rPr>
          <w:rFonts w:ascii="Comic Sans MS" w:hAnsi="Comic Sans MS"/>
          <w:sz w:val="20"/>
          <w:szCs w:val="20"/>
        </w:rPr>
      </w:pPr>
    </w:p>
    <w:p w:rsidR="00B43E3F" w:rsidRPr="004D2D8C" w:rsidRDefault="007A2092" w:rsidP="00644AE9">
      <w:pPr>
        <w:pStyle w:val="ListParagraph"/>
        <w:numPr>
          <w:ilvl w:val="0"/>
          <w:numId w:val="124"/>
        </w:numPr>
        <w:jc w:val="both"/>
        <w:rPr>
          <w:rFonts w:ascii="Comic Sans MS" w:hAnsi="Comic Sans MS"/>
          <w:sz w:val="20"/>
          <w:szCs w:val="20"/>
        </w:rPr>
      </w:pPr>
      <w:r w:rsidRPr="004D2D8C">
        <w:rPr>
          <w:rFonts w:ascii="Comic Sans MS" w:hAnsi="Comic Sans MS"/>
          <w:sz w:val="20"/>
          <w:szCs w:val="20"/>
        </w:rPr>
        <w:t>EIB-ov je cilj povećati socijalne naknade i smanjiti socijalne troškove</w:t>
      </w:r>
      <w:r w:rsidR="00404A8A" w:rsidRPr="004D2D8C">
        <w:rPr>
          <w:rFonts w:ascii="Comic Sans MS" w:hAnsi="Comic Sans MS"/>
          <w:sz w:val="20"/>
          <w:szCs w:val="20"/>
        </w:rPr>
        <w:t xml:space="preserve"> kod svih projekata koje financira kako bi se maksimiziralo socijalno blagostanje, a </w:t>
      </w:r>
      <w:r w:rsidR="00B43E3F" w:rsidRPr="004D2D8C">
        <w:rPr>
          <w:rFonts w:ascii="Comic Sans MS" w:hAnsi="Comic Sans MS"/>
          <w:sz w:val="20"/>
          <w:szCs w:val="20"/>
        </w:rPr>
        <w:t>Bank</w:t>
      </w:r>
      <w:r w:rsidR="00AC2D36" w:rsidRPr="004D2D8C">
        <w:rPr>
          <w:rFonts w:ascii="Comic Sans MS" w:hAnsi="Comic Sans MS"/>
          <w:sz w:val="20"/>
          <w:szCs w:val="20"/>
        </w:rPr>
        <w:t>a</w:t>
      </w:r>
      <w:r w:rsidR="00B43E3F" w:rsidRPr="004D2D8C">
        <w:rPr>
          <w:rFonts w:ascii="Comic Sans MS" w:hAnsi="Comic Sans MS"/>
          <w:sz w:val="20"/>
          <w:szCs w:val="20"/>
        </w:rPr>
        <w:t xml:space="preserve"> </w:t>
      </w:r>
      <w:r w:rsidR="00404A8A" w:rsidRPr="004D2D8C">
        <w:rPr>
          <w:rFonts w:ascii="Comic Sans MS" w:hAnsi="Comic Sans MS"/>
          <w:sz w:val="20"/>
          <w:szCs w:val="20"/>
        </w:rPr>
        <w:t>ne financira projekt</w:t>
      </w:r>
      <w:r w:rsidR="00AC2D36" w:rsidRPr="004D2D8C">
        <w:rPr>
          <w:rFonts w:ascii="Comic Sans MS" w:hAnsi="Comic Sans MS"/>
          <w:sz w:val="20"/>
          <w:szCs w:val="20"/>
        </w:rPr>
        <w:t>e</w:t>
      </w:r>
      <w:r w:rsidR="00404A8A" w:rsidRPr="004D2D8C">
        <w:rPr>
          <w:rFonts w:ascii="Comic Sans MS" w:hAnsi="Comic Sans MS"/>
          <w:sz w:val="20"/>
          <w:szCs w:val="20"/>
        </w:rPr>
        <w:t xml:space="preserve"> sa značajnim preostalim socijalnim troškovima</w:t>
      </w:r>
      <w:r w:rsidR="00B43E3F" w:rsidRPr="004D2D8C">
        <w:rPr>
          <w:rFonts w:ascii="Comic Sans MS" w:hAnsi="Comic Sans MS"/>
          <w:sz w:val="20"/>
          <w:szCs w:val="20"/>
        </w:rPr>
        <w:t xml:space="preserve">. </w:t>
      </w:r>
      <w:r w:rsidR="00404A8A" w:rsidRPr="004D2D8C">
        <w:rPr>
          <w:rFonts w:ascii="Comic Sans MS" w:hAnsi="Comic Sans MS"/>
          <w:sz w:val="20"/>
          <w:szCs w:val="20"/>
        </w:rPr>
        <w:t xml:space="preserve">Kako bi ostvarila ovaj cilj, </w:t>
      </w:r>
      <w:r w:rsidR="00B43E3F" w:rsidRPr="004D2D8C">
        <w:rPr>
          <w:rFonts w:ascii="Comic Sans MS" w:hAnsi="Comic Sans MS"/>
          <w:sz w:val="20"/>
          <w:szCs w:val="20"/>
        </w:rPr>
        <w:t>Bank</w:t>
      </w:r>
      <w:r w:rsidR="00404A8A" w:rsidRPr="004D2D8C">
        <w:rPr>
          <w:rFonts w:ascii="Comic Sans MS" w:hAnsi="Comic Sans MS"/>
          <w:sz w:val="20"/>
          <w:szCs w:val="20"/>
        </w:rPr>
        <w:t>a prilikom razmatranja socijalnih aspekata projek</w:t>
      </w:r>
      <w:r w:rsidR="00AC2D36" w:rsidRPr="004D2D8C">
        <w:rPr>
          <w:rFonts w:ascii="Comic Sans MS" w:hAnsi="Comic Sans MS"/>
          <w:sz w:val="20"/>
          <w:szCs w:val="20"/>
        </w:rPr>
        <w:t>a</w:t>
      </w:r>
      <w:r w:rsidR="00404A8A" w:rsidRPr="004D2D8C">
        <w:rPr>
          <w:rFonts w:ascii="Comic Sans MS" w:hAnsi="Comic Sans MS"/>
          <w:sz w:val="20"/>
          <w:szCs w:val="20"/>
        </w:rPr>
        <w:t xml:space="preserve">ta primjenjuje pristup </w:t>
      </w:r>
      <w:r w:rsidR="00106206" w:rsidRPr="004D2D8C">
        <w:rPr>
          <w:rFonts w:ascii="Comic Sans MS" w:hAnsi="Comic Sans MS"/>
          <w:sz w:val="20"/>
          <w:szCs w:val="20"/>
        </w:rPr>
        <w:t>u</w:t>
      </w:r>
      <w:r w:rsidR="00404A8A" w:rsidRPr="004D2D8C">
        <w:rPr>
          <w:rFonts w:ascii="Comic Sans MS" w:hAnsi="Comic Sans MS"/>
          <w:sz w:val="20"/>
          <w:szCs w:val="20"/>
        </w:rPr>
        <w:t>temeljen na pravima</w:t>
      </w:r>
      <w:r w:rsidR="00B43E3F" w:rsidRPr="004D2D8C">
        <w:rPr>
          <w:rFonts w:ascii="Comic Sans MS" w:hAnsi="Comic Sans MS"/>
          <w:sz w:val="20"/>
          <w:szCs w:val="20"/>
        </w:rPr>
        <w:t xml:space="preserve">. </w:t>
      </w:r>
      <w:r w:rsidR="00AC2D36" w:rsidRPr="004D2D8C">
        <w:rPr>
          <w:rFonts w:ascii="Comic Sans MS" w:hAnsi="Comic Sans MS"/>
          <w:sz w:val="20"/>
          <w:szCs w:val="20"/>
        </w:rPr>
        <w:t>To odražava načela P</w:t>
      </w:r>
      <w:r w:rsidR="00644AE9" w:rsidRPr="004D2D8C">
        <w:rPr>
          <w:rFonts w:ascii="Comic Sans MS" w:hAnsi="Comic Sans MS"/>
          <w:sz w:val="20"/>
          <w:szCs w:val="20"/>
        </w:rPr>
        <w:t>ovelj</w:t>
      </w:r>
      <w:r w:rsidR="00AC2D36" w:rsidRPr="004D2D8C">
        <w:rPr>
          <w:rFonts w:ascii="Comic Sans MS" w:hAnsi="Comic Sans MS"/>
          <w:sz w:val="20"/>
          <w:szCs w:val="20"/>
        </w:rPr>
        <w:t>e</w:t>
      </w:r>
      <w:r w:rsidR="00644AE9" w:rsidRPr="004D2D8C">
        <w:rPr>
          <w:rFonts w:ascii="Comic Sans MS" w:hAnsi="Comic Sans MS"/>
          <w:sz w:val="20"/>
          <w:szCs w:val="20"/>
        </w:rPr>
        <w:t xml:space="preserve"> o temeljnim pravima Europske unije </w:t>
      </w:r>
      <w:r w:rsidR="00B43E3F" w:rsidRPr="004D2D8C">
        <w:rPr>
          <w:rFonts w:ascii="Comic Sans MS" w:hAnsi="Comic Sans MS"/>
          <w:sz w:val="20"/>
          <w:szCs w:val="20"/>
        </w:rPr>
        <w:t>(</w:t>
      </w:r>
      <w:r w:rsidR="00AC2D36" w:rsidRPr="004D2D8C">
        <w:rPr>
          <w:rFonts w:ascii="Comic Sans MS" w:hAnsi="Comic Sans MS"/>
          <w:sz w:val="20"/>
          <w:szCs w:val="20"/>
        </w:rPr>
        <w:t>„Povelja“</w:t>
      </w:r>
      <w:r w:rsidR="00B43E3F" w:rsidRPr="004D2D8C">
        <w:rPr>
          <w:rFonts w:ascii="Comic Sans MS" w:hAnsi="Comic Sans MS"/>
          <w:sz w:val="20"/>
          <w:szCs w:val="20"/>
        </w:rPr>
        <w:t>)</w:t>
      </w:r>
      <w:r w:rsidR="00AC2D36" w:rsidRPr="004D2D8C">
        <w:rPr>
          <w:rFonts w:ascii="Comic Sans MS" w:hAnsi="Comic Sans MS"/>
          <w:sz w:val="20"/>
          <w:szCs w:val="20"/>
        </w:rPr>
        <w:t xml:space="preserve"> te </w:t>
      </w:r>
      <w:r w:rsidR="00644AE9" w:rsidRPr="004D2D8C">
        <w:rPr>
          <w:rFonts w:ascii="Comic Sans MS" w:hAnsi="Comic Sans MS"/>
          <w:sz w:val="20"/>
          <w:szCs w:val="20"/>
        </w:rPr>
        <w:t>Opć</w:t>
      </w:r>
      <w:r w:rsidR="00AC2D36" w:rsidRPr="004D2D8C">
        <w:rPr>
          <w:rFonts w:ascii="Comic Sans MS" w:hAnsi="Comic Sans MS"/>
          <w:sz w:val="20"/>
          <w:szCs w:val="20"/>
        </w:rPr>
        <w:t>e</w:t>
      </w:r>
      <w:r w:rsidR="00644AE9" w:rsidRPr="004D2D8C">
        <w:rPr>
          <w:rFonts w:ascii="Comic Sans MS" w:hAnsi="Comic Sans MS"/>
          <w:sz w:val="20"/>
          <w:szCs w:val="20"/>
        </w:rPr>
        <w:t xml:space="preserve"> deklaracij</w:t>
      </w:r>
      <w:r w:rsidR="00AC2D36" w:rsidRPr="004D2D8C">
        <w:rPr>
          <w:rFonts w:ascii="Comic Sans MS" w:hAnsi="Comic Sans MS"/>
          <w:sz w:val="20"/>
          <w:szCs w:val="20"/>
        </w:rPr>
        <w:t>e</w:t>
      </w:r>
      <w:r w:rsidR="00644AE9" w:rsidRPr="004D2D8C">
        <w:rPr>
          <w:rFonts w:ascii="Comic Sans MS" w:hAnsi="Comic Sans MS"/>
          <w:sz w:val="20"/>
          <w:szCs w:val="20"/>
        </w:rPr>
        <w:t xml:space="preserve"> o ljudskim pravima </w:t>
      </w:r>
      <w:r w:rsidR="00B43E3F" w:rsidRPr="004D2D8C">
        <w:rPr>
          <w:rFonts w:ascii="Comic Sans MS" w:hAnsi="Comic Sans MS"/>
          <w:sz w:val="20"/>
          <w:szCs w:val="20"/>
        </w:rPr>
        <w:t>UN</w:t>
      </w:r>
      <w:r w:rsidR="00AC2D36" w:rsidRPr="004D2D8C">
        <w:rPr>
          <w:rFonts w:ascii="Comic Sans MS" w:hAnsi="Comic Sans MS"/>
          <w:sz w:val="20"/>
          <w:szCs w:val="20"/>
        </w:rPr>
        <w:t>-a</w:t>
      </w:r>
      <w:r w:rsidR="00B43E3F" w:rsidRPr="004D2D8C">
        <w:rPr>
          <w:rFonts w:ascii="Comic Sans MS" w:hAnsi="Comic Sans MS"/>
          <w:sz w:val="20"/>
          <w:szCs w:val="20"/>
        </w:rPr>
        <w:t xml:space="preserve">. </w:t>
      </w:r>
      <w:r w:rsidR="00AC2D36" w:rsidRPr="004D2D8C">
        <w:rPr>
          <w:rFonts w:ascii="Comic Sans MS" w:hAnsi="Comic Sans MS"/>
          <w:sz w:val="20"/>
          <w:szCs w:val="20"/>
        </w:rPr>
        <w:t xml:space="preserve">Unutar Europske unije, ljudska prava zagarantirana su zakonodavstvom </w:t>
      </w:r>
      <w:r w:rsidR="00B43E3F" w:rsidRPr="004D2D8C">
        <w:rPr>
          <w:rFonts w:ascii="Comic Sans MS" w:hAnsi="Comic Sans MS"/>
          <w:sz w:val="20"/>
          <w:szCs w:val="20"/>
        </w:rPr>
        <w:t>EU</w:t>
      </w:r>
      <w:r w:rsidR="00AC2D36" w:rsidRPr="004D2D8C">
        <w:rPr>
          <w:rFonts w:ascii="Comic Sans MS" w:hAnsi="Comic Sans MS"/>
          <w:sz w:val="20"/>
          <w:szCs w:val="20"/>
        </w:rPr>
        <w:t>-a kao i nacionalnim zakonodavstvima</w:t>
      </w:r>
      <w:r w:rsidR="00B43E3F" w:rsidRPr="004D2D8C">
        <w:rPr>
          <w:rFonts w:ascii="Comic Sans MS" w:hAnsi="Comic Sans MS"/>
          <w:sz w:val="20"/>
          <w:szCs w:val="20"/>
        </w:rPr>
        <w:t xml:space="preserve">. </w:t>
      </w:r>
      <w:r w:rsidR="00AC2D36" w:rsidRPr="004D2D8C">
        <w:rPr>
          <w:rFonts w:ascii="Comic Sans MS" w:hAnsi="Comic Sans MS"/>
          <w:sz w:val="20"/>
          <w:szCs w:val="20"/>
        </w:rPr>
        <w:t xml:space="preserve">Izvan </w:t>
      </w:r>
      <w:r w:rsidR="00B43E3F" w:rsidRPr="004D2D8C">
        <w:rPr>
          <w:rFonts w:ascii="Comic Sans MS" w:hAnsi="Comic Sans MS"/>
          <w:sz w:val="20"/>
          <w:szCs w:val="20"/>
        </w:rPr>
        <w:t>E</w:t>
      </w:r>
      <w:r w:rsidR="00AC2D36" w:rsidRPr="004D2D8C">
        <w:rPr>
          <w:rFonts w:ascii="Comic Sans MS" w:hAnsi="Comic Sans MS"/>
          <w:sz w:val="20"/>
          <w:szCs w:val="20"/>
        </w:rPr>
        <w:t xml:space="preserve">uropske unije, </w:t>
      </w:r>
      <w:r w:rsidR="00B43E3F" w:rsidRPr="004D2D8C">
        <w:rPr>
          <w:rFonts w:ascii="Comic Sans MS" w:hAnsi="Comic Sans MS"/>
          <w:sz w:val="20"/>
          <w:szCs w:val="20"/>
        </w:rPr>
        <w:t>Bank</w:t>
      </w:r>
      <w:r w:rsidR="00AC2D36" w:rsidRPr="004D2D8C">
        <w:rPr>
          <w:rFonts w:ascii="Comic Sans MS" w:hAnsi="Comic Sans MS"/>
          <w:sz w:val="20"/>
          <w:szCs w:val="20"/>
        </w:rPr>
        <w:t xml:space="preserve">a zahtijeva od promotora primjenu svojih smjernica za socijalnu procjenu koje su opisane u Priručniku i koje obuhvaćaju socijalna načela i standarde </w:t>
      </w:r>
      <w:r w:rsidR="00B43E3F" w:rsidRPr="004D2D8C">
        <w:rPr>
          <w:rFonts w:ascii="Comic Sans MS" w:hAnsi="Comic Sans MS"/>
          <w:sz w:val="20"/>
          <w:szCs w:val="20"/>
        </w:rPr>
        <w:t>Bank</w:t>
      </w:r>
      <w:r w:rsidR="00AC2D36" w:rsidRPr="004D2D8C">
        <w:rPr>
          <w:rFonts w:ascii="Comic Sans MS" w:hAnsi="Comic Sans MS"/>
          <w:sz w:val="20"/>
          <w:szCs w:val="20"/>
        </w:rPr>
        <w:t>e</w:t>
      </w:r>
      <w:r w:rsidR="00B43E3F" w:rsidRPr="004D2D8C">
        <w:rPr>
          <w:rFonts w:ascii="Comic Sans MS" w:hAnsi="Comic Sans MS"/>
          <w:sz w:val="20"/>
          <w:szCs w:val="20"/>
        </w:rPr>
        <w:t xml:space="preserve">. </w:t>
      </w:r>
    </w:p>
    <w:p w:rsidR="00AD27DC" w:rsidRPr="004D2D8C" w:rsidRDefault="00AD27DC" w:rsidP="00AD27DC">
      <w:pPr>
        <w:pStyle w:val="ListParagraph"/>
        <w:rPr>
          <w:rFonts w:ascii="Comic Sans MS" w:hAnsi="Comic Sans MS"/>
          <w:sz w:val="20"/>
          <w:szCs w:val="20"/>
        </w:rPr>
      </w:pPr>
    </w:p>
    <w:p w:rsidR="0072732B" w:rsidRPr="004D2D8C" w:rsidRDefault="0072732B" w:rsidP="0072732B">
      <w:pPr>
        <w:autoSpaceDE w:val="0"/>
        <w:autoSpaceDN w:val="0"/>
        <w:adjustRightInd w:val="0"/>
        <w:spacing w:after="0" w:line="240" w:lineRule="auto"/>
        <w:jc w:val="both"/>
        <w:rPr>
          <w:rFonts w:ascii="Comic Sans MS" w:hAnsi="Comic Sans MS" w:cs="Comic Sans MS"/>
          <w:sz w:val="23"/>
          <w:szCs w:val="23"/>
        </w:rPr>
      </w:pPr>
      <w:r w:rsidRPr="004D2D8C">
        <w:rPr>
          <w:rFonts w:ascii="Comic Sans MS" w:hAnsi="Comic Sans MS" w:cs="Comic Sans MS"/>
          <w:b/>
          <w:bCs/>
          <w:sz w:val="23"/>
          <w:szCs w:val="23"/>
        </w:rPr>
        <w:t xml:space="preserve">STANDARDI </w:t>
      </w:r>
    </w:p>
    <w:p w:rsidR="0072732B" w:rsidRPr="004D2D8C" w:rsidRDefault="0072732B" w:rsidP="0072732B">
      <w:pPr>
        <w:autoSpaceDE w:val="0"/>
        <w:autoSpaceDN w:val="0"/>
        <w:adjustRightInd w:val="0"/>
        <w:spacing w:after="0" w:line="240" w:lineRule="auto"/>
        <w:jc w:val="both"/>
        <w:rPr>
          <w:rFonts w:ascii="Comic Sans MS" w:hAnsi="Comic Sans MS" w:cs="Comic Sans MS"/>
          <w:b/>
          <w:bCs/>
          <w:sz w:val="23"/>
          <w:szCs w:val="23"/>
        </w:rPr>
      </w:pPr>
    </w:p>
    <w:p w:rsidR="0072732B" w:rsidRPr="004D2D8C" w:rsidRDefault="0072732B" w:rsidP="0072732B">
      <w:pPr>
        <w:autoSpaceDE w:val="0"/>
        <w:autoSpaceDN w:val="0"/>
        <w:adjustRightInd w:val="0"/>
        <w:spacing w:after="0" w:line="240" w:lineRule="auto"/>
        <w:ind w:firstLine="426"/>
        <w:jc w:val="both"/>
        <w:rPr>
          <w:rFonts w:ascii="Comic Sans MS" w:hAnsi="Comic Sans MS" w:cs="Comic Sans MS"/>
          <w:sz w:val="23"/>
          <w:szCs w:val="23"/>
        </w:rPr>
      </w:pPr>
      <w:r w:rsidRPr="004D2D8C">
        <w:rPr>
          <w:rFonts w:ascii="Comic Sans MS" w:hAnsi="Comic Sans MS" w:cs="Comic Sans MS"/>
          <w:b/>
          <w:bCs/>
          <w:sz w:val="23"/>
          <w:szCs w:val="23"/>
        </w:rPr>
        <w:t xml:space="preserve">Opći okolišni standardi </w:t>
      </w:r>
    </w:p>
    <w:p w:rsidR="0072732B" w:rsidRPr="004D2D8C" w:rsidRDefault="0072732B" w:rsidP="0072732B">
      <w:pPr>
        <w:autoSpaceDE w:val="0"/>
        <w:autoSpaceDN w:val="0"/>
        <w:adjustRightInd w:val="0"/>
        <w:spacing w:after="0" w:line="240" w:lineRule="auto"/>
        <w:ind w:left="360"/>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426" w:hanging="426"/>
        <w:jc w:val="both"/>
        <w:rPr>
          <w:rFonts w:ascii="Comic Sans MS" w:hAnsi="Comic Sans MS" w:cs="Comic Sans MS"/>
          <w:sz w:val="20"/>
          <w:szCs w:val="20"/>
        </w:rPr>
      </w:pPr>
      <w:r w:rsidRPr="004D2D8C">
        <w:rPr>
          <w:rFonts w:ascii="Comic Sans MS" w:hAnsi="Comic Sans MS" w:cs="Comic Sans MS"/>
          <w:sz w:val="20"/>
          <w:szCs w:val="20"/>
        </w:rPr>
        <w:t xml:space="preserve">31. </w:t>
      </w:r>
      <w:r w:rsidRPr="004D2D8C">
        <w:rPr>
          <w:rFonts w:ascii="Comic Sans MS" w:hAnsi="Comic Sans MS" w:cs="Comic Sans MS"/>
          <w:sz w:val="20"/>
          <w:szCs w:val="20"/>
        </w:rPr>
        <w:tab/>
        <w:t xml:space="preserve">EIB-ovi okolišni standardi namijenjeni su zaštiti i unapređenju prirodnog okoliša, ne samo u vlastite svrhe već i zbog unapređenja kvalitete života, gospodarskog razvoja i društvene dobrobiti koja proizlazi iz održivosti okoliša. Standardi se odnose na tri aspekta: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numPr>
          <w:ilvl w:val="0"/>
          <w:numId w:val="125"/>
        </w:num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Tehničke karakteristike nekog projekta, u smislu planiranih i stvarnih emisija i drugih  pokazatelja ekološkog učinka;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numPr>
          <w:ilvl w:val="0"/>
          <w:numId w:val="125"/>
        </w:num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Karakteristike okoliša domaćina i njegove neposredne okoline, uključujući stanište te povezanu floru i faunu;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numPr>
          <w:ilvl w:val="0"/>
          <w:numId w:val="125"/>
        </w:num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Usvojene postupke i aranžmane upravljanja koji se primjenjuju za razvoj, provedbu i vođenje projekta a koji imaju značenje na ekološke i socijalne učinke te rezultat projekta.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32.</w:t>
      </w:r>
      <w:r w:rsidRPr="004D2D8C">
        <w:rPr>
          <w:rFonts w:ascii="Comic Sans MS" w:hAnsi="Comic Sans MS" w:cs="Comic Sans MS"/>
          <w:sz w:val="20"/>
          <w:szCs w:val="20"/>
        </w:rPr>
        <w:tab/>
        <w:t xml:space="preserve">EIB zahtijeva da svi promotori u tom pogledu primjenjuju dobru međunarodnu praksu, pri čemu je pravo EU-a mjerilo za Bančine svrhe. Relevantni standardi identificiraju se u diskusijama između Banke i promotora tijekom pripreme, procjene i pregovaranja projekta, te ih promotor primjenjuje tijekom provedbe i vođenja projekta. Iako izvedeni iz zakona EU o zaštiti okoliša, standardi se po potrebi nadopunjuju drugim dobrim međunarodnim praksama, a Banka zadržava pravo zahtijevati standarde koji su stroži od zakonskih uvjeta u EU ili koji se nalaze izvan opsega istih. Gdje je to opravdano u okviru Izjave, Banka također zadržava pravo primjene postupnog pristupa kod primjene svojih standarda.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firstLine="360"/>
        <w:jc w:val="both"/>
        <w:rPr>
          <w:rFonts w:ascii="Comic Sans MS" w:hAnsi="Comic Sans MS" w:cs="Comic Sans MS"/>
          <w:sz w:val="20"/>
          <w:szCs w:val="20"/>
        </w:rPr>
      </w:pPr>
      <w:r w:rsidRPr="004D2D8C">
        <w:rPr>
          <w:rFonts w:ascii="Comic Sans MS" w:hAnsi="Comic Sans MS" w:cs="Comic Sans MS"/>
          <w:sz w:val="20"/>
          <w:szCs w:val="20"/>
          <w:u w:val="single"/>
        </w:rPr>
        <w:t>Standardi emisije</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33.</w:t>
      </w:r>
      <w:r w:rsidRPr="004D2D8C">
        <w:rPr>
          <w:rFonts w:ascii="Comic Sans MS" w:hAnsi="Comic Sans MS" w:cs="Comic Sans MS"/>
          <w:sz w:val="20"/>
          <w:szCs w:val="20"/>
        </w:rPr>
        <w:tab/>
        <w:t>Projekti koje financira EIB trebali bi uključivati mjere za sprječavanje, smanjenje ili eliminiranje zagađenja koje neposredno ili posredno proizlazi iz njihovih aktivnosti. Banka od svojih promotora traži da isti primjenjuju standarde emisije specifične za izvore sukladno Direktivi IPPC (koja je prvenstveno usmjerena na industrijski sektor) te Direktive specifične za pojedine sektore, npr. Okvirnu direktivu o vodama</w:t>
      </w:r>
      <w:r w:rsidRPr="004D2D8C">
        <w:rPr>
          <w:rStyle w:val="EndnoteReference"/>
          <w:rFonts w:ascii="Comic Sans MS" w:hAnsi="Comic Sans MS" w:cs="Comic Sans MS"/>
          <w:sz w:val="20"/>
          <w:szCs w:val="20"/>
        </w:rPr>
        <w:endnoteReference w:id="31"/>
      </w:r>
      <w:r w:rsidRPr="004D2D8C">
        <w:rPr>
          <w:rFonts w:ascii="Comic Sans MS" w:hAnsi="Comic Sans MS" w:cs="Comic Sans MS"/>
          <w:sz w:val="20"/>
          <w:szCs w:val="20"/>
        </w:rPr>
        <w:t xml:space="preserve">. Pristup IPPC temelji se na “najboljoj raspoloživoj tehnologiji” (BAT), koja između ostalog zahtijeva racionalni pristup korištenju resursa, uključujući mjere najbolje prakse na području energetske učinkovitosti.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firstLine="360"/>
        <w:jc w:val="both"/>
        <w:rPr>
          <w:rFonts w:ascii="Comic Sans MS" w:hAnsi="Comic Sans MS" w:cs="Comic Sans MS"/>
          <w:sz w:val="20"/>
          <w:szCs w:val="20"/>
          <w:u w:val="single"/>
        </w:rPr>
      </w:pPr>
      <w:r w:rsidRPr="004D2D8C">
        <w:rPr>
          <w:rFonts w:ascii="Comic Sans MS" w:hAnsi="Comic Sans MS" w:cs="Comic Sans MS"/>
          <w:sz w:val="20"/>
          <w:szCs w:val="20"/>
          <w:u w:val="single"/>
        </w:rPr>
        <w:t xml:space="preserve">Ambijentalni standardi </w:t>
      </w:r>
    </w:p>
    <w:p w:rsidR="0072732B" w:rsidRPr="004D2D8C" w:rsidRDefault="0072732B" w:rsidP="0072732B">
      <w:pPr>
        <w:autoSpaceDE w:val="0"/>
        <w:autoSpaceDN w:val="0"/>
        <w:adjustRightInd w:val="0"/>
        <w:spacing w:after="0" w:line="240" w:lineRule="auto"/>
        <w:ind w:firstLine="360"/>
        <w:jc w:val="both"/>
        <w:rPr>
          <w:rFonts w:ascii="Comic Sans MS" w:hAnsi="Comic Sans MS" w:cs="Comic Sans MS"/>
          <w:sz w:val="20"/>
          <w:szCs w:val="20"/>
        </w:rPr>
      </w:pPr>
    </w:p>
    <w:p w:rsidR="0072732B" w:rsidRPr="004D2D8C" w:rsidRDefault="0072732B" w:rsidP="0072732B">
      <w:pPr>
        <w:pStyle w:val="ListParagraph"/>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34.</w:t>
      </w:r>
      <w:r w:rsidRPr="004D2D8C">
        <w:rPr>
          <w:rFonts w:ascii="Comic Sans MS" w:hAnsi="Comic Sans MS" w:cs="Comic Sans MS"/>
          <w:sz w:val="20"/>
          <w:szCs w:val="20"/>
        </w:rPr>
        <w:tab/>
        <w:t>Ambijentalni standardi koji se odnose na akumulirano onečišćenje u zraku, vodi i tlu također se određuju prema zahtjevima Direktiva EU-a, a kod projekata koje financira EIB zahtijeva se da isti pridonose tome da se osigura ispunjavanje relevantnih ambijentalnih standarda.</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pageBreakBefore/>
        <w:autoSpaceDE w:val="0"/>
        <w:autoSpaceDN w:val="0"/>
        <w:adjustRightInd w:val="0"/>
        <w:spacing w:after="0" w:line="240" w:lineRule="auto"/>
        <w:ind w:firstLine="360"/>
        <w:jc w:val="both"/>
        <w:rPr>
          <w:rFonts w:ascii="Comic Sans MS" w:hAnsi="Comic Sans MS" w:cs="Comic Sans MS"/>
          <w:sz w:val="20"/>
          <w:szCs w:val="20"/>
        </w:rPr>
      </w:pPr>
      <w:r w:rsidRPr="004D2D8C">
        <w:rPr>
          <w:rFonts w:ascii="Comic Sans MS" w:hAnsi="Comic Sans MS" w:cs="Comic Sans MS"/>
          <w:sz w:val="20"/>
          <w:szCs w:val="20"/>
          <w:u w:val="single"/>
        </w:rPr>
        <w:t xml:space="preserve">Proceduralni standardi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35.</w:t>
      </w:r>
      <w:r w:rsidRPr="004D2D8C">
        <w:rPr>
          <w:rFonts w:ascii="Comic Sans MS" w:hAnsi="Comic Sans MS" w:cs="Comic Sans MS"/>
          <w:sz w:val="20"/>
          <w:szCs w:val="20"/>
        </w:rPr>
        <w:tab/>
        <w:t>Proceduralni standardi okvirno se definiraju kao upravljački i administrativni zahtjevi koji se odnose na zaštitu okoliša, a koje je potrebno ispuniti kod osmišljavanja, provedbe i vođenja nekog projekta. Čitav niz Direktiva EU-a sadrži standarde ove vrste, uključujući Okvirne direktive</w:t>
      </w:r>
      <w:r w:rsidRPr="004D2D8C">
        <w:rPr>
          <w:rStyle w:val="EndnoteReference"/>
          <w:rFonts w:ascii="Comic Sans MS" w:hAnsi="Comic Sans MS" w:cs="Comic Sans MS"/>
          <w:sz w:val="20"/>
          <w:szCs w:val="20"/>
        </w:rPr>
        <w:endnoteReference w:id="32"/>
      </w:r>
      <w:r w:rsidRPr="004D2D8C">
        <w:rPr>
          <w:rFonts w:ascii="Comic Sans MS" w:hAnsi="Comic Sans MS" w:cs="Comic Sans MS"/>
          <w:sz w:val="20"/>
          <w:szCs w:val="20"/>
        </w:rPr>
        <w:t xml:space="preserve"> različitih sektora, Direktivu IPPC, Direktivu o odgovornosti za štetu prema životnoj sredini i Direktive koje se odnose na ciljeve Aarhuške konvencije</w:t>
      </w:r>
      <w:r w:rsidRPr="004D2D8C">
        <w:rPr>
          <w:rStyle w:val="EndnoteReference"/>
          <w:rFonts w:ascii="Comic Sans MS" w:hAnsi="Comic Sans MS" w:cs="Comic Sans MS"/>
          <w:sz w:val="20"/>
          <w:szCs w:val="20"/>
        </w:rPr>
        <w:endnoteReference w:id="33"/>
      </w:r>
      <w:r w:rsidRPr="004D2D8C">
        <w:rPr>
          <w:rFonts w:ascii="Comic Sans MS" w:hAnsi="Comic Sans MS" w:cs="Comic Sans MS"/>
          <w:sz w:val="13"/>
          <w:szCs w:val="13"/>
        </w:rPr>
        <w:t xml:space="preserve"> </w:t>
      </w:r>
      <w:r w:rsidRPr="004D2D8C">
        <w:rPr>
          <w:rFonts w:ascii="Comic Sans MS" w:hAnsi="Comic Sans MS" w:cs="Comic Sans MS"/>
          <w:sz w:val="20"/>
          <w:szCs w:val="20"/>
        </w:rPr>
        <w:t xml:space="preserve">kao i Direktive o procjeni utjecaja na okoliš (EIA) i Direktive o strateškoj procjeni utjecaja na okoliš (SEA).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jc w:val="both"/>
        <w:rPr>
          <w:rFonts w:ascii="Comic Sans MS" w:hAnsi="Comic Sans MS" w:cs="Comic Sans MS"/>
          <w:sz w:val="23"/>
          <w:szCs w:val="23"/>
        </w:rPr>
      </w:pPr>
      <w:r w:rsidRPr="004D2D8C">
        <w:rPr>
          <w:rFonts w:ascii="Comic Sans MS" w:hAnsi="Comic Sans MS" w:cs="Comic Sans MS"/>
          <w:b/>
          <w:bCs/>
          <w:sz w:val="23"/>
          <w:szCs w:val="23"/>
        </w:rPr>
        <w:t xml:space="preserve">Okolišni standardi u EU i državama proširenja (tj. državama kandidatkinjama i potencijalnim državama kandidatkinjama)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36.</w:t>
      </w:r>
      <w:r w:rsidRPr="004D2D8C">
        <w:rPr>
          <w:rFonts w:ascii="Comic Sans MS" w:hAnsi="Comic Sans MS" w:cs="Comic Sans MS"/>
          <w:sz w:val="20"/>
          <w:szCs w:val="20"/>
        </w:rPr>
        <w:tab/>
        <w:t xml:space="preserve">EIB zahtijeva da </w:t>
      </w:r>
      <w:r w:rsidRPr="004D2D8C">
        <w:rPr>
          <w:rFonts w:ascii="Comic Sans MS" w:hAnsi="Comic Sans MS" w:cs="Comic Sans MS"/>
          <w:sz w:val="20"/>
          <w:szCs w:val="20"/>
          <w:u w:val="single"/>
        </w:rPr>
        <w:t>svi</w:t>
      </w:r>
      <w:r w:rsidRPr="004D2D8C">
        <w:rPr>
          <w:rFonts w:ascii="Comic Sans MS" w:hAnsi="Comic Sans MS" w:cs="Comic Sans MS"/>
          <w:sz w:val="20"/>
          <w:szCs w:val="20"/>
        </w:rPr>
        <w:t xml:space="preserve"> projekti koje financira budu usklađeni u najmanju ruku s: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numPr>
          <w:ilvl w:val="0"/>
          <w:numId w:val="127"/>
        </w:num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Važećim nacionalnim zakonima o zaštiti okoliša;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numPr>
          <w:ilvl w:val="0"/>
          <w:numId w:val="127"/>
        </w:num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Važećim zakonima EU-a o zaštiti okoliša, posebice EU Direktivom o procjeni utjecaja na okoliš i Direktivama o očuvanju prirode, kao i Direktivama specifičnima za pojedine sektore</w:t>
      </w:r>
      <w:r w:rsidRPr="004D2D8C">
        <w:rPr>
          <w:rStyle w:val="EndnoteReference"/>
          <w:rFonts w:ascii="Comic Sans MS" w:hAnsi="Comic Sans MS" w:cs="Comic Sans MS"/>
          <w:sz w:val="20"/>
          <w:szCs w:val="20"/>
        </w:rPr>
        <w:endnoteReference w:id="34"/>
      </w:r>
      <w:r w:rsidRPr="004D2D8C">
        <w:rPr>
          <w:rFonts w:ascii="Comic Sans MS" w:hAnsi="Comic Sans MS" w:cs="Comic Sans MS"/>
          <w:sz w:val="13"/>
          <w:szCs w:val="13"/>
        </w:rPr>
        <w:t xml:space="preserve"> </w:t>
      </w:r>
      <w:r w:rsidRPr="004D2D8C">
        <w:rPr>
          <w:rFonts w:ascii="Comic Sans MS" w:hAnsi="Comic Sans MS" w:cs="Comic Sans MS"/>
          <w:sz w:val="20"/>
          <w:szCs w:val="20"/>
        </w:rPr>
        <w:t>i “cross-cutting” Direktivama</w:t>
      </w:r>
      <w:r w:rsidRPr="004D2D8C">
        <w:rPr>
          <w:rStyle w:val="EndnoteReference"/>
          <w:rFonts w:ascii="Comic Sans MS" w:hAnsi="Comic Sans MS" w:cs="Comic Sans MS"/>
          <w:sz w:val="20"/>
          <w:szCs w:val="20"/>
        </w:rPr>
        <w:endnoteReference w:id="35"/>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numPr>
          <w:ilvl w:val="0"/>
          <w:numId w:val="127"/>
        </w:num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Načelima i standardima relevantnih međunarodnih okolišnih konvencija inkorporiranih u pravo EU-a.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37.</w:t>
      </w:r>
      <w:r w:rsidRPr="004D2D8C">
        <w:rPr>
          <w:rFonts w:ascii="Comic Sans MS" w:hAnsi="Comic Sans MS" w:cs="Comic Sans MS"/>
          <w:sz w:val="20"/>
          <w:szCs w:val="20"/>
        </w:rPr>
        <w:tab/>
        <w:t xml:space="preserve">Vezano za Direktivu o procjeni utjecaja na okoliš (EIA), EIB zahtijeva da se poštuju njezine odredbe, posebice: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numPr>
          <w:ilvl w:val="0"/>
          <w:numId w:val="128"/>
        </w:num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Potrebno je provesti procjenu utjecaja na okoliš (EIA) ukoliko je vjerojatno da će projekt imati značajan utjecaj na okoliš; za neki projekt iz Dodatka II sukladno Direktivi o procjeni utjecaja na okoliš, potrebno je opravdati odluku o neprovođenju procjene utjecaja na okoliš (EIA).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numPr>
          <w:ilvl w:val="0"/>
          <w:numId w:val="128"/>
        </w:num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Javnosti na koju se to odnosi potrebno je dovoljno rano dati učinkovite mogućnosti za sudjelovanjem, davanjem komentara o projektu te dobivanjem odgovora na te komentare.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numPr>
          <w:ilvl w:val="0"/>
          <w:numId w:val="128"/>
        </w:num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Bilo koje preostale učinke potrebno je na odgovarajući način ublažiti, kompenzirati i/ili nadoknaditi.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38.</w:t>
      </w:r>
      <w:r w:rsidRPr="004D2D8C">
        <w:rPr>
          <w:rFonts w:ascii="Comic Sans MS" w:hAnsi="Comic Sans MS" w:cs="Comic Sans MS"/>
          <w:sz w:val="20"/>
          <w:szCs w:val="20"/>
        </w:rPr>
        <w:tab/>
        <w:t xml:space="preserve">U državama proširenja, EIB će slijediti standarde EU-a. Postupno uvođenje dozvoljeno je samo ukoliko je projekt osmišljen na način da zadovoljava zahtjeve predmetnog zakona EU-a o zaštiti okoliša do datuma pristupanja ili u skladu s nekim prijelaznim aranžmanima. Promotor treba opravdati postupno uvođenje u društveno-ekonomskom smislu.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jc w:val="both"/>
        <w:rPr>
          <w:rFonts w:ascii="Comic Sans MS" w:hAnsi="Comic Sans MS" w:cs="Comic Sans MS"/>
          <w:b/>
          <w:bCs/>
          <w:sz w:val="23"/>
          <w:szCs w:val="23"/>
        </w:rPr>
      </w:pPr>
      <w:r w:rsidRPr="004D2D8C">
        <w:rPr>
          <w:rFonts w:ascii="Comic Sans MS" w:hAnsi="Comic Sans MS" w:cs="Comic Sans MS"/>
          <w:b/>
          <w:bCs/>
          <w:sz w:val="23"/>
          <w:szCs w:val="23"/>
        </w:rPr>
        <w:t xml:space="preserve">Okolišni standardi u ostatku svijeta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3"/>
          <w:szCs w:val="23"/>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39.</w:t>
      </w:r>
      <w:r w:rsidRPr="004D2D8C">
        <w:rPr>
          <w:rFonts w:ascii="Comic Sans MS" w:hAnsi="Comic Sans MS" w:cs="Comic Sans MS"/>
          <w:sz w:val="20"/>
          <w:szCs w:val="20"/>
        </w:rPr>
        <w:tab/>
        <w:t xml:space="preserve">Kod projekata u svim drugim regijama gdje EIB provodi svoje aktivnosti, Banka zahtijeva da svi projekti budu usklađeni s nacionalnim zakonodavstvom, uključujući međunarodne konvencije koje ratificira zemlja domaćin, kao i standarde EU-a. Ukoliko su standardi EU-a stroži od nacionalnih standarda, potrebni su viši standardi EU-a, ukoliko je to praktično i moguće.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pageBreakBefore/>
        <w:autoSpaceDE w:val="0"/>
        <w:autoSpaceDN w:val="0"/>
        <w:adjustRightInd w:val="0"/>
        <w:spacing w:after="0" w:line="240" w:lineRule="auto"/>
        <w:rPr>
          <w:rFonts w:ascii="Comic Sans MS" w:hAnsi="Comic Sans MS"/>
          <w:sz w:val="24"/>
          <w:szCs w:val="24"/>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40.</w:t>
      </w:r>
      <w:r w:rsidRPr="004D2D8C">
        <w:rPr>
          <w:rFonts w:ascii="Comic Sans MS" w:hAnsi="Comic Sans MS" w:cs="Comic Sans MS"/>
          <w:sz w:val="20"/>
          <w:szCs w:val="20"/>
        </w:rPr>
        <w:tab/>
        <w:t xml:space="preserve">EIB prepoznaje da zbog čitavog niza razloga, uključujući institucionalne kapacitete, tehnološke mogućnosti, raspoloživost investicijskih sredstava kao i zbog sposobnosti i spremnosti potrošača na plaćanje, kod nekog određenog projekta neposredno postizanje uvjeta EU-a možda neće biti praktično, a u nekim slučajevima poželjno. Kada nastupi takav slučaj, obveza je promotora da Banci dostavi prihvatljivo opravdanje za odstupanje od standarda EU-a, u okviru okolišnih i socijalnih načela i standarda koji su navedeni u Izjavi. U takvim slučajevima, potrebno je osigurati pristup postupnog uvođenja viših standarda.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41.</w:t>
      </w:r>
      <w:r w:rsidRPr="004D2D8C">
        <w:rPr>
          <w:rFonts w:ascii="Comic Sans MS" w:hAnsi="Comic Sans MS" w:cs="Comic Sans MS"/>
          <w:sz w:val="20"/>
          <w:szCs w:val="20"/>
        </w:rPr>
        <w:tab/>
        <w:t xml:space="preserve">U slučaju ambijentalnih standarda, izvan EU-a, standardi EU-a koji se primjenjuju na neki određeni projekt možda neće biti najučinkovitije rješenje u društveno-ekonomskom smislu kako bi se zaštitio prirodni okoliš i/ili promoviralo društveno blagostanje.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42.</w:t>
      </w:r>
      <w:r w:rsidRPr="004D2D8C">
        <w:rPr>
          <w:rFonts w:ascii="Comic Sans MS" w:hAnsi="Comic Sans MS" w:cs="Comic Sans MS"/>
          <w:sz w:val="20"/>
          <w:szCs w:val="20"/>
        </w:rPr>
        <w:tab/>
        <w:t xml:space="preserve">Kod projekata za koje EIB traži službenu procjenu utjecaja na okoliš, postupak i sadržaj moraju biti usklađeni sa zahtjevima Direktive EU-a.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43.</w:t>
      </w:r>
      <w:r w:rsidRPr="004D2D8C">
        <w:rPr>
          <w:rFonts w:ascii="Comic Sans MS" w:hAnsi="Comic Sans MS" w:cs="Comic Sans MS"/>
          <w:sz w:val="20"/>
          <w:szCs w:val="20"/>
        </w:rPr>
        <w:tab/>
        <w:t>Pristup EU-a po okolišnim pitanjima koji je inkorporiran u politiku EU-a može biti nadopunjen drugim primjerima dobre prakse koji se odnose na tehničke standarde, postupke i sustave upravljanja u određenim sektorima, a koje su osmislila druga međunarodna tijela prema tumačenju EIB-a. Primjerice, Banka kod financiranja velikih brana primjenjuje kao smjernice preporuke Svjetske komisije za brane</w:t>
      </w:r>
      <w:r w:rsidRPr="004D2D8C">
        <w:rPr>
          <w:rStyle w:val="EndnoteReference"/>
          <w:rFonts w:ascii="Comic Sans MS" w:hAnsi="Comic Sans MS" w:cs="Comic Sans MS"/>
          <w:sz w:val="20"/>
          <w:szCs w:val="20"/>
        </w:rPr>
        <w:endnoteReference w:id="36"/>
      </w:r>
      <w:r w:rsidRPr="004D2D8C">
        <w:rPr>
          <w:rFonts w:ascii="Comic Sans MS" w:hAnsi="Comic Sans MS" w:cs="Comic Sans MS"/>
          <w:sz w:val="20"/>
          <w:szCs w:val="20"/>
        </w:rPr>
        <w:t>; također se ravna prema nalazima i preporukama dokumenta Pregled ekstraktivne industrije (Extractive Industry Review)</w:t>
      </w:r>
      <w:r w:rsidRPr="004D2D8C">
        <w:rPr>
          <w:rStyle w:val="EndnoteReference"/>
          <w:rFonts w:ascii="Comic Sans MS" w:hAnsi="Comic Sans MS" w:cs="Comic Sans MS"/>
          <w:sz w:val="20"/>
          <w:szCs w:val="20"/>
        </w:rPr>
        <w:endnoteReference w:id="37"/>
      </w:r>
      <w:r w:rsidRPr="004D2D8C">
        <w:rPr>
          <w:rFonts w:ascii="Comic Sans MS" w:hAnsi="Comic Sans MS" w:cs="Comic Sans MS"/>
          <w:sz w:val="20"/>
          <w:szCs w:val="20"/>
        </w:rPr>
        <w:t>, te podupire provedbu Inicijative za transparentnost ekstraktivne industrije (Extractive Industry Transparency Initiative)</w:t>
      </w:r>
      <w:r w:rsidRPr="004D2D8C">
        <w:rPr>
          <w:rStyle w:val="EndnoteReference"/>
          <w:rFonts w:ascii="Comic Sans MS" w:hAnsi="Comic Sans MS" w:cs="Comic Sans MS"/>
          <w:sz w:val="20"/>
          <w:szCs w:val="20"/>
        </w:rPr>
        <w:endnoteReference w:id="38"/>
      </w:r>
      <w:r w:rsidRPr="004D2D8C">
        <w:rPr>
          <w:rFonts w:ascii="Comic Sans MS" w:hAnsi="Comic Sans MS" w:cs="Comic Sans MS"/>
          <w:sz w:val="20"/>
          <w:szCs w:val="20"/>
        </w:rPr>
        <w:t>. Banka također potiče korištenje međunarodno priznatih programa certificiranja (npr. Forest Stewardship Council (FSC)</w:t>
      </w:r>
      <w:r w:rsidRPr="004D2D8C">
        <w:rPr>
          <w:rStyle w:val="EndnoteReference"/>
          <w:rFonts w:ascii="Comic Sans MS" w:hAnsi="Comic Sans MS" w:cs="Comic Sans MS"/>
          <w:sz w:val="20"/>
          <w:szCs w:val="20"/>
        </w:rPr>
        <w:endnoteReference w:id="39"/>
      </w:r>
      <w:r w:rsidRPr="004D2D8C">
        <w:rPr>
          <w:rFonts w:ascii="Comic Sans MS" w:hAnsi="Comic Sans MS" w:cs="Comic Sans MS"/>
          <w:sz w:val="20"/>
          <w:szCs w:val="20"/>
        </w:rPr>
        <w:t xml:space="preserve">, te EU-ovog Sustava za ekološko upravljanje i neovisno ocjenjivanje (EMAS)).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44.</w:t>
      </w:r>
      <w:r w:rsidRPr="004D2D8C">
        <w:rPr>
          <w:rFonts w:ascii="Comic Sans MS" w:hAnsi="Comic Sans MS" w:cs="Comic Sans MS"/>
          <w:sz w:val="20"/>
          <w:szCs w:val="20"/>
        </w:rPr>
        <w:tab/>
        <w:t xml:space="preserve">U slučaju sufinanciranja projekata izvan EU-a i država proširenja, EIB se može usuglasiti s primjenom standarda drugih međunarodnih financijskih institucija, ukoliko su oni ekvivalentni zahtjevima Banke.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rPr>
          <w:rFonts w:ascii="Comic Sans MS" w:hAnsi="Comic Sans MS" w:cs="Comic Sans MS"/>
          <w:sz w:val="23"/>
          <w:szCs w:val="23"/>
        </w:rPr>
      </w:pPr>
      <w:r w:rsidRPr="004D2D8C">
        <w:rPr>
          <w:rFonts w:ascii="Comic Sans MS" w:hAnsi="Comic Sans MS" w:cs="Comic Sans MS"/>
          <w:b/>
          <w:bCs/>
          <w:sz w:val="23"/>
          <w:szCs w:val="23"/>
        </w:rPr>
        <w:t xml:space="preserve">Socijalni standardi: Pristup koji se temelji na ljudskim pravima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45.</w:t>
      </w:r>
      <w:r w:rsidRPr="004D2D8C">
        <w:rPr>
          <w:rFonts w:ascii="Comic Sans MS" w:hAnsi="Comic Sans MS" w:cs="Comic Sans MS"/>
          <w:sz w:val="20"/>
          <w:szCs w:val="20"/>
        </w:rPr>
        <w:tab/>
        <w:t xml:space="preserve">Upravo kao što okolišni standardi imaju za cilj zaštitu i poboljšanje prirodnog i izgrađenog okoliša, socijalni standardi imaju za cilj zaštitu prava i unapređenje egzistencije ljudi na koje posredno ili neposredno utječu projekti koje financira EIB. Socijalni standardi imaju za cilj promoviranje učinaka u korist individualne dobrobiti, socijalne inkluzije i održivih zajednica.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46.</w:t>
      </w:r>
      <w:r w:rsidRPr="004D2D8C">
        <w:rPr>
          <w:rFonts w:ascii="Comic Sans MS" w:hAnsi="Comic Sans MS" w:cs="Comic Sans MS"/>
          <w:sz w:val="20"/>
          <w:szCs w:val="20"/>
        </w:rPr>
        <w:tab/>
        <w:t xml:space="preserve">EIB ograničava svoje financiranje na projekte koji poštuju ljudska prava te su u skladu s EIB-ovim socijalnim standardima, koji se temelje na načelima Povelje o temeljnim pravima Europske unije i međunarodnim dobrim praksama. Banka ne financira projekte koji se nalaze u zemljama koje je Europsko vijeće proglasilo “vangraničnima” za EU financiranje, posebice zbog kršenja ljudskih prava.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47.</w:t>
      </w:r>
      <w:r w:rsidRPr="004D2D8C">
        <w:rPr>
          <w:rFonts w:ascii="Comic Sans MS" w:hAnsi="Comic Sans MS" w:cs="Comic Sans MS"/>
          <w:sz w:val="20"/>
          <w:szCs w:val="20"/>
        </w:rPr>
        <w:tab/>
        <w:t>Slično tome, EIB ne financira projekte koji uzrokuju sukobe ili intenziviraju postojeće sukobe. Pored toga, Banka uzima u obzir da se čitav niz zemalja u kojima ona posluje suočava sa složenim nastojanjima za oporavak i obnovu nakon konflikata. Kada financira projekte u takvim krhkim državama, Banka se vodi pristupom EU-a</w:t>
      </w:r>
      <w:r w:rsidRPr="004D2D8C">
        <w:rPr>
          <w:rStyle w:val="EndnoteReference"/>
          <w:rFonts w:ascii="Comic Sans MS" w:hAnsi="Comic Sans MS" w:cs="Comic Sans MS"/>
          <w:sz w:val="20"/>
          <w:szCs w:val="20"/>
        </w:rPr>
        <w:endnoteReference w:id="40"/>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pageBreakBefore/>
        <w:autoSpaceDE w:val="0"/>
        <w:autoSpaceDN w:val="0"/>
        <w:adjustRightInd w:val="0"/>
        <w:spacing w:after="0" w:line="240" w:lineRule="auto"/>
        <w:rPr>
          <w:rFonts w:ascii="Comic Sans MS" w:hAnsi="Comic Sans MS"/>
          <w:sz w:val="24"/>
          <w:szCs w:val="24"/>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48.</w:t>
      </w:r>
      <w:r w:rsidRPr="004D2D8C">
        <w:rPr>
          <w:rFonts w:ascii="Comic Sans MS" w:hAnsi="Comic Sans MS" w:cs="Comic Sans MS"/>
          <w:sz w:val="20"/>
          <w:szCs w:val="20"/>
        </w:rPr>
        <w:tab/>
        <w:t xml:space="preserve">U državama EU-a i državama proširenja, uz uvjet bilo kojeg dogovorenog postupnog uvođenja, EIB pretpostavlja da su socijalni zahtjevi EU-a, uključujući međunarodne konvencije o ljudskim pravima koje je ratificirao EU, ispravno provedene u okviru nacionalnog prava. Međutim, ukoliko postoji dokaz koji upućuje na suprotno, Banka provodi odgovarajuću socijalnu procjenu.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49.</w:t>
      </w:r>
      <w:r w:rsidRPr="004D2D8C">
        <w:rPr>
          <w:rFonts w:ascii="Comic Sans MS" w:hAnsi="Comic Sans MS" w:cs="Comic Sans MS"/>
          <w:sz w:val="20"/>
          <w:szCs w:val="20"/>
        </w:rPr>
        <w:tab/>
        <w:t xml:space="preserve">U svim drugim regijama poslovanja EIB-a, pristup EIB-a prema socijalnim pitanjima temelji se na pristupu koji se zasniva na pravima kojima se načela zakona o ljudskim pravima inkorporiraju u prakse kroz primjenu Smjernica za socijalnu procjenu (Social Assessment Guidelines - SAGs) (vidi Priručnik). Ovi su zahtjevi također usklađeni s mjerama socijalne zaštite koje su osmislile i koje primjenjuju oni MFI-ovi s kojima Banka tijesno surađuje.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50.</w:t>
      </w:r>
      <w:r w:rsidRPr="004D2D8C">
        <w:rPr>
          <w:rFonts w:ascii="Comic Sans MS" w:hAnsi="Comic Sans MS" w:cs="Comic Sans MS"/>
          <w:sz w:val="20"/>
          <w:szCs w:val="20"/>
        </w:rPr>
        <w:tab/>
        <w:t xml:space="preserve">Postoji veza između okolišnih i socijalnih pitanja te kvalitete i održivosti projekata. Na primjer, unaprijeđeno upravljanje resursima, uključujući sudjelovanje dionika u odlučivanju, povezano je s mogućnostima koje omogućuju promoviranje egzistencija koje su bolje održive. Stoga je prepoznato kako su u kontekstu nekog projekta okolišna i socijalna pitanja međusobno često isprepletena te se stoga najbolje procjenjuju u integriranom okviru. Promotori koji potražuju EIB-ovo financiranje izvan EU-a trebaju usvojiti socijalne standarde koji se odnose na nedobrovoljno preseljavanje, autohtono stanovništvo i druge ranjive skupine, osnovne standarde rada Međunarodne organizacije rada (ILO) te zdravlje i sigurnost na radu kao i zajednice.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firstLine="360"/>
        <w:jc w:val="both"/>
        <w:rPr>
          <w:rFonts w:ascii="Comic Sans MS" w:hAnsi="Comic Sans MS" w:cs="Comic Sans MS"/>
          <w:sz w:val="20"/>
          <w:szCs w:val="20"/>
        </w:rPr>
      </w:pPr>
      <w:r w:rsidRPr="004D2D8C">
        <w:rPr>
          <w:rFonts w:ascii="Comic Sans MS" w:hAnsi="Comic Sans MS" w:cs="Comic Sans MS"/>
          <w:sz w:val="20"/>
          <w:szCs w:val="20"/>
          <w:u w:val="single"/>
        </w:rPr>
        <w:t xml:space="preserve">Nedobrovoljno preseljavanje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51.</w:t>
      </w:r>
      <w:r w:rsidRPr="004D2D8C">
        <w:rPr>
          <w:rFonts w:ascii="Comic Sans MS" w:hAnsi="Comic Sans MS" w:cs="Comic Sans MS"/>
          <w:sz w:val="20"/>
          <w:szCs w:val="20"/>
        </w:rPr>
        <w:tab/>
        <w:t>Ljudima čija je egzistencija pod negativnim utjecajem projekta egzistencija bi se trebala poboljšati ili barem vratiti u početno stanje i/ili bi isti na odgovarajući način trebali dobiti obeštećenje za bilo koje pretrpljene gubitke. Ukoliko je fizičko ili ekonomsko preseljavanje neizbježno, Banka zahtijeva od promotora osmišljavanje prihvatljivog Akcijskog plana preseljavanja (Resettlement Action Plan). Plan bi trebao inkorporirati i poštivati pravo na valjani postupak, te na značajne i kulturološki prihvatljive konzultacije i sudjelovanje javnosti, uključujući zajednicu domaćina.</w:t>
      </w: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firstLine="360"/>
        <w:jc w:val="both"/>
        <w:rPr>
          <w:rFonts w:ascii="Comic Sans MS" w:hAnsi="Comic Sans MS" w:cs="Comic Sans MS"/>
          <w:sz w:val="20"/>
          <w:szCs w:val="20"/>
        </w:rPr>
      </w:pPr>
      <w:r w:rsidRPr="004D2D8C">
        <w:rPr>
          <w:rFonts w:ascii="Comic Sans MS" w:hAnsi="Comic Sans MS" w:cs="Comic Sans MS"/>
          <w:sz w:val="20"/>
          <w:szCs w:val="20"/>
          <w:u w:val="single"/>
        </w:rPr>
        <w:t xml:space="preserve">Autohtono stanovništvo i druge ranjive skupine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52.</w:t>
      </w:r>
      <w:r w:rsidRPr="004D2D8C">
        <w:rPr>
          <w:rFonts w:ascii="Comic Sans MS" w:hAnsi="Comic Sans MS" w:cs="Comic Sans MS"/>
          <w:sz w:val="20"/>
          <w:szCs w:val="20"/>
        </w:rPr>
        <w:tab/>
        <w:t xml:space="preserve">Sve politike, prakse, programi i aktivnosti koje osmišljava i provodi promotor trebale bi davati posebnu pozornost pravima ranjivih skupina. Takve skupine mogu obuhvaćati autohtono stanovništvo, etničke manjine, žene, migrante, vrlo mlade i vrlo stare osobe. Egzistencija ranjivih skupina posebno je osjetljiva na promjene u društveno-ekonomskom kontekstu te ista ovisi o dostupnosti neophodnih usluga i sudjelovanju u donošenju odluka.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53.</w:t>
      </w:r>
      <w:r w:rsidRPr="004D2D8C">
        <w:rPr>
          <w:rFonts w:ascii="Comic Sans MS" w:hAnsi="Comic Sans MS" w:cs="Comic Sans MS"/>
          <w:sz w:val="20"/>
          <w:szCs w:val="20"/>
        </w:rPr>
        <w:tab/>
        <w:t xml:space="preserve">Ukoliko projekt utječe na uobičajena prava autohtonog stanovništva na zemljište i resurse, Banka traži od promotora pripremu prihvatljivog Plana razvoja za autohtono stanovništvo (Indigenous Peoples Development Plan). U planu se moraju odražavati načela UN-ove Deklaracije o pravima autohtonog stanovništva, što uključuje slobodnu, prethodnu i informiranu suglasnost za bilo koje preseljavanje.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firstLine="360"/>
        <w:jc w:val="both"/>
        <w:rPr>
          <w:rFonts w:ascii="Comic Sans MS" w:hAnsi="Comic Sans MS" w:cs="Comic Sans MS"/>
          <w:sz w:val="20"/>
          <w:szCs w:val="20"/>
        </w:rPr>
      </w:pPr>
      <w:r w:rsidRPr="004D2D8C">
        <w:rPr>
          <w:rFonts w:ascii="Comic Sans MS" w:hAnsi="Comic Sans MS" w:cs="Comic Sans MS"/>
          <w:sz w:val="20"/>
          <w:szCs w:val="20"/>
          <w:u w:val="single"/>
        </w:rPr>
        <w:t xml:space="preserve">Osnovni standardi o radu Međunarodne organizacije rada (ILO)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54.</w:t>
      </w:r>
      <w:r w:rsidRPr="004D2D8C">
        <w:rPr>
          <w:rFonts w:ascii="Comic Sans MS" w:hAnsi="Comic Sans MS" w:cs="Comic Sans MS"/>
          <w:sz w:val="20"/>
          <w:szCs w:val="20"/>
        </w:rPr>
        <w:tab/>
        <w:t>U slučaju da postoje jazovi u provođenju osnovnih standarda ILO-a o radu, promotor je dužan osmisliti i provesti programe i procedure koji se mogu verificirati kako bi se osiguralo poštivanje osnovnih standarda rada ili da se isti postignu tijekom provedbe projekta. Cilj je  spriječiti neprihvatljive oblike rada i prakse zapošljavanja te promovirati razvoj valjanog upravljanja radnim odnosima</w:t>
      </w:r>
      <w:r w:rsidRPr="004D2D8C">
        <w:rPr>
          <w:rStyle w:val="EndnoteReference"/>
          <w:rFonts w:ascii="Comic Sans MS" w:hAnsi="Comic Sans MS" w:cs="Comic Sans MS"/>
          <w:sz w:val="20"/>
          <w:szCs w:val="20"/>
        </w:rPr>
        <w:endnoteReference w:id="41"/>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firstLine="360"/>
        <w:jc w:val="both"/>
        <w:rPr>
          <w:rFonts w:ascii="Comic Sans MS" w:hAnsi="Comic Sans MS" w:cs="Comic Sans MS"/>
          <w:sz w:val="20"/>
          <w:szCs w:val="20"/>
          <w:u w:val="single"/>
        </w:rPr>
      </w:pPr>
      <w:r w:rsidRPr="004D2D8C">
        <w:rPr>
          <w:rFonts w:ascii="Comic Sans MS" w:hAnsi="Comic Sans MS" w:cs="Comic Sans MS"/>
          <w:sz w:val="20"/>
          <w:szCs w:val="20"/>
          <w:u w:val="single"/>
        </w:rPr>
        <w:t xml:space="preserve">Zdravlje i sigurnost na radu i u zajednici </w:t>
      </w:r>
    </w:p>
    <w:p w:rsidR="0072732B" w:rsidRPr="004D2D8C" w:rsidRDefault="0072732B" w:rsidP="0072732B">
      <w:pPr>
        <w:autoSpaceDE w:val="0"/>
        <w:autoSpaceDN w:val="0"/>
        <w:adjustRightInd w:val="0"/>
        <w:spacing w:after="0" w:line="240" w:lineRule="auto"/>
        <w:ind w:firstLine="360"/>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55.</w:t>
      </w:r>
      <w:r w:rsidRPr="004D2D8C">
        <w:rPr>
          <w:rFonts w:ascii="Comic Sans MS" w:hAnsi="Comic Sans MS" w:cs="Comic Sans MS"/>
          <w:sz w:val="20"/>
          <w:szCs w:val="20"/>
        </w:rPr>
        <w:tab/>
        <w:t xml:space="preserve">Ukoliko postoje rizici za zdravlje radnika i/ili zajednicu, promotori bi trebali osmisliti i provesti programe i procedure koje je moguće verificirati kako bi se osiguralo da standardi za zdravlje i sigurnost na radu i u zajednici budu u skladu s dobrim međunarodnim praksama. Svrha je izbjeći ili smanjiti na najmanju moguću mjeru rizike i utjecaje za zdravlje i sigurnost radnika i zajednica, osigurati da se zaposlenici i imovina poduzeća osiguravaju na zakonit način, podupirati promoviranje programa za zdravlje zajednice, te smanjiti širenje glavnih prenosivih bolesti.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jc w:val="both"/>
        <w:rPr>
          <w:rFonts w:ascii="Comic Sans MS" w:hAnsi="Comic Sans MS" w:cs="Comic Sans MS"/>
          <w:sz w:val="23"/>
          <w:szCs w:val="23"/>
        </w:rPr>
      </w:pPr>
      <w:r w:rsidRPr="004D2D8C">
        <w:rPr>
          <w:rFonts w:ascii="Comic Sans MS" w:hAnsi="Comic Sans MS" w:cs="Comic Sans MS"/>
          <w:b/>
          <w:bCs/>
          <w:sz w:val="23"/>
          <w:szCs w:val="23"/>
        </w:rPr>
        <w:t>KULTURNO NASLJEĐE</w:t>
      </w:r>
    </w:p>
    <w:p w:rsidR="0072732B" w:rsidRPr="004D2D8C" w:rsidRDefault="0072732B" w:rsidP="0072732B">
      <w:pPr>
        <w:autoSpaceDE w:val="0"/>
        <w:autoSpaceDN w:val="0"/>
        <w:adjustRightInd w:val="0"/>
        <w:spacing w:after="86"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86" w:line="240" w:lineRule="auto"/>
        <w:ind w:left="705" w:hanging="705"/>
        <w:jc w:val="both"/>
        <w:rPr>
          <w:rFonts w:ascii="Comic Sans MS" w:hAnsi="Comic Sans MS" w:cs="Comic Sans MS"/>
          <w:sz w:val="20"/>
          <w:szCs w:val="20"/>
        </w:rPr>
      </w:pPr>
      <w:r w:rsidRPr="004D2D8C">
        <w:rPr>
          <w:rFonts w:ascii="Comic Sans MS" w:hAnsi="Comic Sans MS" w:cs="Comic Sans MS"/>
          <w:sz w:val="20"/>
          <w:szCs w:val="20"/>
        </w:rPr>
        <w:t>56.</w:t>
      </w:r>
      <w:r w:rsidRPr="004D2D8C">
        <w:rPr>
          <w:rFonts w:ascii="Comic Sans MS" w:hAnsi="Comic Sans MS" w:cs="Comic Sans MS"/>
          <w:sz w:val="20"/>
          <w:szCs w:val="20"/>
        </w:rPr>
        <w:tab/>
        <w:t>EIB-ov pristup kulturnom nasljeđu temelji se na nizu konvencija koje je ratificirao EU</w:t>
      </w:r>
      <w:r w:rsidRPr="004D2D8C">
        <w:rPr>
          <w:rStyle w:val="EndnoteReference"/>
          <w:rFonts w:ascii="Comic Sans MS" w:hAnsi="Comic Sans MS" w:cs="Comic Sans MS"/>
          <w:sz w:val="20"/>
          <w:szCs w:val="20"/>
        </w:rPr>
        <w:endnoteReference w:id="42"/>
      </w:r>
      <w:r w:rsidRPr="004D2D8C">
        <w:rPr>
          <w:rFonts w:ascii="Comic Sans MS" w:hAnsi="Comic Sans MS" w:cs="Comic Sans MS"/>
          <w:sz w:val="20"/>
          <w:szCs w:val="20"/>
        </w:rPr>
        <w:t xml:space="preserve">, te isti odražava jasnu koncepciju kulturnog nasljeđa kao instrumenta za ljudski razvoj i interkulturni dijalog te kao elementa koji pridonosi postizanju uravnoteženog prostornog razvoja. </w:t>
      </w:r>
    </w:p>
    <w:p w:rsidR="0072732B" w:rsidRPr="004D2D8C" w:rsidRDefault="0072732B" w:rsidP="0072732B">
      <w:pPr>
        <w:autoSpaceDE w:val="0"/>
        <w:autoSpaceDN w:val="0"/>
        <w:adjustRightInd w:val="0"/>
        <w:spacing w:after="86"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86" w:line="240" w:lineRule="auto"/>
        <w:ind w:left="705" w:hanging="705"/>
        <w:jc w:val="both"/>
        <w:rPr>
          <w:rFonts w:ascii="Comic Sans MS" w:hAnsi="Comic Sans MS" w:cs="Comic Sans MS"/>
          <w:sz w:val="20"/>
          <w:szCs w:val="20"/>
        </w:rPr>
      </w:pPr>
      <w:r w:rsidRPr="004D2D8C">
        <w:rPr>
          <w:rFonts w:ascii="Comic Sans MS" w:hAnsi="Comic Sans MS" w:cs="Comic Sans MS"/>
          <w:sz w:val="20"/>
          <w:szCs w:val="20"/>
        </w:rPr>
        <w:t>57.</w:t>
      </w:r>
      <w:r w:rsidRPr="004D2D8C">
        <w:rPr>
          <w:rFonts w:ascii="Comic Sans MS" w:hAnsi="Comic Sans MS" w:cs="Comic Sans MS"/>
          <w:sz w:val="20"/>
          <w:szCs w:val="20"/>
        </w:rPr>
        <w:tab/>
        <w:t xml:space="preserve">Zadržavanjem središta pozornosti na očuvanju fizičkih kulturnih resursa, EIB-ov pristup prepoznaje veze između materijalnih kulturnih resursa i nematerijalnih kulturnih praksi. Posebice, Banka prepoznaje tijesne veze između fizičkih resursa koji su povezani s pretpovijesnim, povijesnim, kulturnim, umjetničkim i religioznim lokalitetima i kulturnim praksama koje su povezane s njihovim korištenjem. Postupanje s kulturnim nasljeđem je stoga tijesno povezano s osnovnim ljudskim pravima iskazanima u Povelji, u provođenju socijalne kohezije, jačanjem politika nediskriminacije, te podupiranjem prava manjina i autohtonog stanovništva. Postupanje s kulturnim nasljeđem je stoga isprepleteno sa socijalnim standardima Banke koji su prije ukratko sažeti. </w:t>
      </w:r>
    </w:p>
    <w:p w:rsidR="0072732B" w:rsidRPr="004D2D8C" w:rsidRDefault="0072732B" w:rsidP="0072732B">
      <w:pPr>
        <w:autoSpaceDE w:val="0"/>
        <w:autoSpaceDN w:val="0"/>
        <w:adjustRightInd w:val="0"/>
        <w:spacing w:after="86" w:line="240" w:lineRule="auto"/>
        <w:ind w:left="705" w:hanging="705"/>
        <w:jc w:val="both"/>
        <w:rPr>
          <w:rFonts w:ascii="Comic Sans MS" w:hAnsi="Comic Sans MS" w:cs="Comic Sans MS"/>
          <w:sz w:val="20"/>
          <w:szCs w:val="20"/>
        </w:rPr>
      </w:pPr>
      <w:r w:rsidRPr="004D2D8C">
        <w:rPr>
          <w:rFonts w:ascii="Comic Sans MS" w:hAnsi="Comic Sans MS" w:cs="Comic Sans MS"/>
          <w:sz w:val="20"/>
          <w:szCs w:val="20"/>
        </w:rPr>
        <w:t>58.</w:t>
      </w:r>
      <w:r w:rsidRPr="004D2D8C">
        <w:rPr>
          <w:rFonts w:ascii="Comic Sans MS" w:hAnsi="Comic Sans MS" w:cs="Comic Sans MS"/>
          <w:sz w:val="20"/>
          <w:szCs w:val="20"/>
        </w:rPr>
        <w:tab/>
        <w:t xml:space="preserve">EIB u načelu ne financira neki projekt koji bi ugrozio integritet lokaliteta koji imaju visoku razinu zaštite zbog kulturnog nasljeđa, uključujući UNESCO-ovu listu svjetske kulturne baštine. Izuzeće od primjene može se odobriti samo ukoliko promotor može dokazati da je ispunjen sljedeći niz uvjeta: </w:t>
      </w:r>
    </w:p>
    <w:p w:rsidR="0072732B" w:rsidRPr="004D2D8C" w:rsidRDefault="0072732B" w:rsidP="0072732B">
      <w:pPr>
        <w:pStyle w:val="ListParagraph"/>
        <w:numPr>
          <w:ilvl w:val="0"/>
          <w:numId w:val="129"/>
        </w:numPr>
        <w:autoSpaceDE w:val="0"/>
        <w:autoSpaceDN w:val="0"/>
        <w:adjustRightInd w:val="0"/>
        <w:spacing w:after="0" w:line="240" w:lineRule="auto"/>
        <w:rPr>
          <w:rFonts w:ascii="Comic Sans MS" w:hAnsi="Comic Sans MS" w:cs="Comic Sans MS"/>
          <w:sz w:val="20"/>
          <w:szCs w:val="20"/>
        </w:rPr>
      </w:pPr>
      <w:r w:rsidRPr="004D2D8C">
        <w:rPr>
          <w:rFonts w:ascii="Comic Sans MS" w:hAnsi="Comic Sans MS" w:cs="Comic Sans MS"/>
          <w:sz w:val="20"/>
          <w:szCs w:val="20"/>
        </w:rPr>
        <w:t xml:space="preserve">Nema održive alternative;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pStyle w:val="ListParagraph"/>
        <w:numPr>
          <w:ilvl w:val="0"/>
          <w:numId w:val="129"/>
        </w:numPr>
        <w:autoSpaceDE w:val="0"/>
        <w:autoSpaceDN w:val="0"/>
        <w:adjustRightInd w:val="0"/>
        <w:spacing w:after="0" w:line="240" w:lineRule="auto"/>
        <w:rPr>
          <w:rFonts w:ascii="Comic Sans MS" w:hAnsi="Comic Sans MS" w:cs="Comic Sans MS"/>
          <w:sz w:val="20"/>
          <w:szCs w:val="20"/>
        </w:rPr>
      </w:pPr>
      <w:r w:rsidRPr="004D2D8C">
        <w:rPr>
          <w:rFonts w:ascii="Comic Sans MS" w:hAnsi="Comic Sans MS" w:cs="Comic Sans MS"/>
          <w:sz w:val="20"/>
          <w:szCs w:val="20"/>
        </w:rPr>
        <w:t xml:space="preserve">Sveukupne društveno-ekonomske pogodnosti projekta značajno premašuju troškove;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pStyle w:val="ListParagraph"/>
        <w:numPr>
          <w:ilvl w:val="0"/>
          <w:numId w:val="129"/>
        </w:numPr>
        <w:autoSpaceDE w:val="0"/>
        <w:autoSpaceDN w:val="0"/>
        <w:adjustRightInd w:val="0"/>
        <w:spacing w:after="0" w:line="240" w:lineRule="auto"/>
        <w:rPr>
          <w:rFonts w:ascii="Comic Sans MS" w:hAnsi="Comic Sans MS" w:cs="Comic Sans MS"/>
          <w:sz w:val="20"/>
          <w:szCs w:val="20"/>
        </w:rPr>
      </w:pPr>
      <w:r w:rsidRPr="004D2D8C">
        <w:rPr>
          <w:rFonts w:ascii="Comic Sans MS" w:hAnsi="Comic Sans MS" w:cs="Comic Sans MS"/>
          <w:sz w:val="20"/>
          <w:szCs w:val="20"/>
        </w:rPr>
        <w:t xml:space="preserve">Usvojene su odgovarajuće mjere restauracije a iste se na odgovarajući način financiraju i održavaju;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pStyle w:val="ListParagraph"/>
        <w:numPr>
          <w:ilvl w:val="0"/>
          <w:numId w:val="129"/>
        </w:numPr>
        <w:autoSpaceDE w:val="0"/>
        <w:autoSpaceDN w:val="0"/>
        <w:adjustRightInd w:val="0"/>
        <w:spacing w:after="0" w:line="240" w:lineRule="auto"/>
        <w:rPr>
          <w:rFonts w:ascii="Comic Sans MS" w:hAnsi="Comic Sans MS" w:cs="Comic Sans MS"/>
          <w:sz w:val="20"/>
          <w:szCs w:val="20"/>
        </w:rPr>
      </w:pPr>
      <w:r w:rsidRPr="004D2D8C">
        <w:rPr>
          <w:rFonts w:ascii="Comic Sans MS" w:hAnsi="Comic Sans MS" w:cs="Comic Sans MS"/>
          <w:sz w:val="20"/>
          <w:szCs w:val="20"/>
        </w:rPr>
        <w:t xml:space="preserve">Održane su konzultacije s dionicima, a relevantni organi vlasti su dali odobrenje.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pageBreakBefore/>
        <w:autoSpaceDE w:val="0"/>
        <w:autoSpaceDN w:val="0"/>
        <w:adjustRightInd w:val="0"/>
        <w:spacing w:after="0" w:line="240" w:lineRule="auto"/>
        <w:jc w:val="both"/>
        <w:rPr>
          <w:rFonts w:ascii="Comic Sans MS" w:hAnsi="Comic Sans MS"/>
          <w:sz w:val="23"/>
          <w:szCs w:val="23"/>
        </w:rPr>
      </w:pPr>
      <w:r w:rsidRPr="004D2D8C">
        <w:rPr>
          <w:rFonts w:ascii="Comic Sans MS" w:hAnsi="Comic Sans MS"/>
          <w:b/>
          <w:bCs/>
          <w:sz w:val="23"/>
          <w:szCs w:val="23"/>
        </w:rPr>
        <w:t xml:space="preserve">KONZULTACIJE, SUDJELOVANJE JAVNOSTI I JAVNO OBJAVLJIVANJE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59.</w:t>
      </w:r>
      <w:r w:rsidRPr="004D2D8C">
        <w:rPr>
          <w:rFonts w:ascii="Comic Sans MS" w:hAnsi="Comic Sans MS" w:cs="Comic Sans MS"/>
          <w:sz w:val="20"/>
          <w:szCs w:val="20"/>
        </w:rPr>
        <w:tab/>
        <w:t>Kao tijelo EU-a, EIB postupa u skladu s Aarhuškom uredbom</w:t>
      </w:r>
      <w:r w:rsidRPr="004D2D8C">
        <w:rPr>
          <w:rStyle w:val="EndnoteReference"/>
          <w:rFonts w:ascii="Comic Sans MS" w:hAnsi="Comic Sans MS" w:cs="Comic Sans MS"/>
          <w:sz w:val="20"/>
          <w:szCs w:val="20"/>
        </w:rPr>
        <w:endnoteReference w:id="43"/>
      </w:r>
      <w:r w:rsidRPr="004D2D8C">
        <w:rPr>
          <w:rFonts w:ascii="Comic Sans MS" w:hAnsi="Comic Sans MS" w:cs="Comic Sans MS"/>
          <w:sz w:val="13"/>
          <w:szCs w:val="13"/>
        </w:rPr>
        <w:t xml:space="preserve"> </w:t>
      </w:r>
      <w:r w:rsidRPr="004D2D8C">
        <w:rPr>
          <w:rFonts w:ascii="Comic Sans MS" w:hAnsi="Comic Sans MS" w:cs="Comic Sans MS"/>
          <w:sz w:val="20"/>
          <w:szCs w:val="20"/>
        </w:rPr>
        <w:t xml:space="preserve">o primjeni Aarhuške konvencije o pristupu informacijama, sudjelovanjem javnosti u donošenju odluka i pristupu pravosuđu u okolišnim pitanjima prema institucijama i tijelima Zajednice.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60.</w:t>
      </w:r>
      <w:r w:rsidRPr="004D2D8C">
        <w:rPr>
          <w:rFonts w:ascii="Comic Sans MS" w:hAnsi="Comic Sans MS" w:cs="Comic Sans MS"/>
          <w:sz w:val="20"/>
          <w:szCs w:val="20"/>
        </w:rPr>
        <w:tab/>
        <w:t xml:space="preserve">EIB-ova politika javnog objavljivanja (Public Disclosure Policy - PDP) odražava uvjete Aarhuške uredbe EU-a. Njime se Banka obvezuje da na zahtjev objavljuje relevantne informacije o okolišu koje posjeduje, uz uvjet ograničenja koja su opisana u PDP. Posebice, promovira javnu dostupnost Netehničkog sažetka (non-Technical Summary - NTS) (u EU) i Studije ili izjave o utjecaju na okoliš (Environmental Impact Study or Statement -EIS) (izvan EU, zajedno s NTS, ukoliko je poseban dokument) za sve projekte koje financira Banka a za koje je potrebna formalna Procjena utjecaja na okoliš (EIA).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61.</w:t>
      </w:r>
      <w:r w:rsidRPr="004D2D8C">
        <w:rPr>
          <w:rFonts w:ascii="Comic Sans MS" w:hAnsi="Comic Sans MS" w:cs="Comic Sans MS"/>
          <w:sz w:val="20"/>
          <w:szCs w:val="20"/>
        </w:rPr>
        <w:tab/>
        <w:t xml:space="preserve">Objava NTS-a i/ili EIS-a treba uslijediti prije isplate financiranja za određeni projekt ili od strane Banke ili nekog njenog organa. Za neki investicijski projekt u okviru jedne transakcije koji se nalazi izvan EU-a i zemalja proširenja, NTS bi se trebao objaviti prije relevantne sjednice Bančinog Odbora direktora.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62.</w:t>
      </w:r>
      <w:r w:rsidRPr="004D2D8C">
        <w:rPr>
          <w:rFonts w:ascii="Comic Sans MS" w:hAnsi="Comic Sans MS" w:cs="Comic Sans MS"/>
          <w:sz w:val="20"/>
          <w:szCs w:val="20"/>
        </w:rPr>
        <w:tab/>
        <w:t xml:space="preserve">Konzultacije i sudjelovanje javnosti uvjet su ne samo Direktive EIA već također i čitavog niza zakona EU-a o okolišu. EIB prepoznaje dodanu vrijednost koje zainteresirani i dobro informirani članovi javnosti, a posebno osobe na koje utječe projekt u zemlji domaćinu, mogu pridonijeti postupku za procjenu ekološkog utjecaja projekta. Očekuje se da će konzultacije i sudjelovanje predmetnih dionika tijekom pripreme projekta unaprijediti održivost i pridonijeti uspjehu projekta.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63.</w:t>
      </w:r>
      <w:r w:rsidRPr="004D2D8C">
        <w:rPr>
          <w:rFonts w:ascii="Comic Sans MS" w:hAnsi="Comic Sans MS" w:cs="Comic Sans MS"/>
          <w:sz w:val="20"/>
          <w:szCs w:val="20"/>
        </w:rPr>
        <w:tab/>
        <w:t xml:space="preserve">U postupku procjene projekta trebalo bi što prije razmotriti zabrinutost dionika kako bi se smanjili rizici i osiguralo pravovremeno rješavanje sukoba. Za sve projekte za koje EIB zahtijeva formalan EIA, promotor bi trebao provesti suvisle, transparentne, i kulturološki odgovarajuće javne konzultacije u zajednicama na koje projekt utječe te osigurati pravovremeno objavljivanje odgovarajućih informacija na prikladan način; trebalo bi također pružiti dokaz da su iznesena mišljenja razmotrena. Za sve druge projekte, Banka zahtijeva od promotora da uključi dionike u smisleni dijalog kao pravo građana te izgradi potporu za učinkovitu i pravovremenu provedbu projekta. Izvan EU-a, nacionalno pravo utvrđuje minimalne uvjete za objavljivanje, konzultacije i sudjelovanje Banke.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64.</w:t>
      </w:r>
      <w:r w:rsidRPr="004D2D8C">
        <w:rPr>
          <w:rFonts w:ascii="Comic Sans MS" w:hAnsi="Comic Sans MS" w:cs="Comic Sans MS"/>
          <w:sz w:val="20"/>
          <w:szCs w:val="20"/>
        </w:rPr>
        <w:tab/>
        <w:t xml:space="preserve">Konzultacije i sudjelovanje su neophodni za održivost ulaganja kroz povećano lokalno vlasništvo i potporu kroz informirano uključenje. Štoviše, smisleni dijalog i sudjelovanje presudni su za promoviranje i potporu prava osoba na koje utječe projekt. Isto obuhvaća pravo na valjani postupak putem pribjegavanja nezavisnim postupcima ulaganja žalbe i arbitraže u slučaju sporova. Kao takve, javne konzultacije su općeniti uvjet okolišne i socijalne zaštite Banke, i primjenjuju se na specifična socijalna pitanja, npr. nedobrovoljno preseljavanje.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65.</w:t>
      </w:r>
      <w:r w:rsidRPr="004D2D8C">
        <w:rPr>
          <w:rFonts w:ascii="Comic Sans MS" w:hAnsi="Comic Sans MS" w:cs="Comic Sans MS"/>
          <w:sz w:val="20"/>
          <w:szCs w:val="20"/>
        </w:rPr>
        <w:tab/>
        <w:t xml:space="preserve">Bilo koja fizička ili pravna osoba na koju utječe, ili za koju se uviđa da na nju utječe EIB-ova odluka može uložiti žalbu njegovom Glavnom tajniku, ili pisanim putem ili putem Interneta. Ured za žalbe osigurava centraliziranu obradu i registraciju žalbi, strukturiranu istragu, interno i eksterno izvještavanje i proaktivan pristup.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pageBreakBefore/>
        <w:autoSpaceDE w:val="0"/>
        <w:autoSpaceDN w:val="0"/>
        <w:adjustRightInd w:val="0"/>
        <w:spacing w:after="0" w:line="240" w:lineRule="auto"/>
        <w:rPr>
          <w:rFonts w:ascii="Comic Sans MS" w:hAnsi="Comic Sans MS"/>
          <w:sz w:val="24"/>
          <w:szCs w:val="24"/>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66.</w:t>
      </w:r>
      <w:r w:rsidRPr="004D2D8C">
        <w:rPr>
          <w:rFonts w:ascii="Comic Sans MS" w:hAnsi="Comic Sans MS" w:cs="Comic Sans MS"/>
          <w:sz w:val="20"/>
          <w:szCs w:val="20"/>
        </w:rPr>
        <w:tab/>
        <w:t xml:space="preserve">Ukoliko stranka nije zadovoljna s načinom na koji se postupa sa žalbom kroz interni EIB-ov postupak, on/ona može uložiti žalbu na Banku vezano za lošu administraciju kod ombudsmana EZ-a (European Ombudsman). Loša administracija obuhvaća nepostupanje u skladu sa zahtjevima Banke, uključujući važeće zakonodavstvo i/ili poštivanje ljudskih prava i načela dobre administracije.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jc w:val="both"/>
        <w:rPr>
          <w:rFonts w:ascii="Comic Sans MS" w:hAnsi="Comic Sans MS" w:cs="Comic Sans MS"/>
          <w:b/>
          <w:bCs/>
          <w:sz w:val="16"/>
          <w:szCs w:val="16"/>
        </w:rPr>
      </w:pPr>
      <w:r w:rsidRPr="004D2D8C">
        <w:rPr>
          <w:rFonts w:ascii="Comic Sans MS" w:hAnsi="Comic Sans MS" w:cs="Comic Sans MS"/>
          <w:b/>
          <w:bCs/>
          <w:sz w:val="23"/>
          <w:szCs w:val="23"/>
        </w:rPr>
        <w:t>BIOLOŠKA RAZNOLIKOST</w:t>
      </w:r>
      <w:r w:rsidRPr="004D2D8C">
        <w:rPr>
          <w:rStyle w:val="EndnoteReference"/>
          <w:rFonts w:ascii="Comic Sans MS" w:hAnsi="Comic Sans MS" w:cs="Comic Sans MS"/>
          <w:b/>
          <w:bCs/>
          <w:sz w:val="23"/>
          <w:szCs w:val="23"/>
        </w:rPr>
        <w:endnoteReference w:id="44"/>
      </w:r>
      <w:r w:rsidRPr="004D2D8C">
        <w:rPr>
          <w:rFonts w:ascii="Comic Sans MS" w:hAnsi="Comic Sans MS" w:cs="Comic Sans MS"/>
          <w:b/>
          <w:bCs/>
          <w:sz w:val="16"/>
          <w:szCs w:val="16"/>
        </w:rPr>
        <w:t xml:space="preserve"> </w:t>
      </w:r>
    </w:p>
    <w:p w:rsidR="0072732B" w:rsidRPr="004D2D8C" w:rsidRDefault="0072732B" w:rsidP="0072732B">
      <w:pPr>
        <w:autoSpaceDE w:val="0"/>
        <w:autoSpaceDN w:val="0"/>
        <w:adjustRightInd w:val="0"/>
        <w:spacing w:after="0" w:line="240" w:lineRule="auto"/>
        <w:jc w:val="both"/>
        <w:rPr>
          <w:rFonts w:ascii="Comic Sans MS" w:hAnsi="Comic Sans MS" w:cs="Comic Sans MS"/>
          <w:sz w:val="16"/>
          <w:szCs w:val="16"/>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67.</w:t>
      </w:r>
      <w:r w:rsidRPr="004D2D8C">
        <w:rPr>
          <w:rFonts w:ascii="Comic Sans MS" w:hAnsi="Comic Sans MS" w:cs="Comic Sans MS"/>
          <w:sz w:val="20"/>
          <w:szCs w:val="20"/>
        </w:rPr>
        <w:tab/>
        <w:t xml:space="preserve">EIB podržava rezultate Milenijske procjene ekosustava (Millennium Ecosystem Assessment), koja ističe da dobrobit čovječanstva ovisi o ekosustavima na Zemlji te kontinuiranom tijeku usluga koje oni pružaju, uz zaključak da se otprilike 60% usluga koje su procijenjene degradira ili koristi na neodrživ način. Degradacija ekosustava i erozija njihove povezane biološke raznolikosti prepreke su za postizanje MDG-ova. Banka podržava osmišljavanje praksi koje bolje odražavaju istinsku vrijednost biološke raznolikosti i prirodnih ekosustava, u smjeru boljeg prepoznavanja stvarnih troškova korištenja prirodnog kapitala Zemlje u tijeku svog rada. Banka pridonosi kako cilju EU-a za zaustavljanje gubitka biološke raznolikosti do 2010., tako i cilju UN-a za značajno smanjenje stope tog gubitka.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68.</w:t>
      </w:r>
      <w:r w:rsidRPr="004D2D8C">
        <w:rPr>
          <w:rFonts w:ascii="Comic Sans MS" w:hAnsi="Comic Sans MS" w:cs="Comic Sans MS"/>
          <w:sz w:val="20"/>
          <w:szCs w:val="20"/>
        </w:rPr>
        <w:tab/>
        <w:t>EIB-ov pristup biološkoj raznolikosti temelji se na načelima i standardima Direktive EU-a  o staništima i pticama, te relevantnih međunarodnih konvencija koje je ratificirao EU i koje su inkorporirane u pravo EU, naime Konvencije o biološkoj raznolikosti, Konvencije iz Ramsara</w:t>
      </w:r>
      <w:r w:rsidRPr="004D2D8C">
        <w:rPr>
          <w:rStyle w:val="EndnoteReference"/>
          <w:rFonts w:ascii="Comic Sans MS" w:hAnsi="Comic Sans MS" w:cs="Comic Sans MS"/>
          <w:sz w:val="20"/>
          <w:szCs w:val="20"/>
        </w:rPr>
        <w:endnoteReference w:id="45"/>
      </w:r>
      <w:r w:rsidRPr="004D2D8C">
        <w:rPr>
          <w:rFonts w:ascii="Comic Sans MS" w:hAnsi="Comic Sans MS" w:cs="Comic Sans MS"/>
          <w:sz w:val="20"/>
          <w:szCs w:val="20"/>
        </w:rPr>
        <w:t>, Bonna</w:t>
      </w:r>
      <w:r w:rsidRPr="004D2D8C">
        <w:rPr>
          <w:rStyle w:val="EndnoteReference"/>
          <w:rFonts w:ascii="Comic Sans MS" w:hAnsi="Comic Sans MS" w:cs="Comic Sans MS"/>
          <w:sz w:val="20"/>
          <w:szCs w:val="20"/>
        </w:rPr>
        <w:endnoteReference w:id="46"/>
      </w:r>
      <w:r w:rsidRPr="004D2D8C">
        <w:rPr>
          <w:rFonts w:ascii="Comic Sans MS" w:hAnsi="Comic Sans MS" w:cs="Comic Sans MS"/>
          <w:sz w:val="13"/>
          <w:szCs w:val="13"/>
        </w:rPr>
        <w:t xml:space="preserve"> </w:t>
      </w:r>
      <w:r w:rsidRPr="004D2D8C">
        <w:rPr>
          <w:rFonts w:ascii="Comic Sans MS" w:hAnsi="Comic Sans MS" w:cs="Comic Sans MS"/>
          <w:sz w:val="20"/>
          <w:szCs w:val="20"/>
        </w:rPr>
        <w:t>i Bernske konvencije</w:t>
      </w:r>
      <w:r w:rsidRPr="004D2D8C">
        <w:rPr>
          <w:rStyle w:val="EndnoteReference"/>
          <w:rFonts w:ascii="Comic Sans MS" w:hAnsi="Comic Sans MS" w:cs="Comic Sans MS"/>
          <w:sz w:val="20"/>
          <w:szCs w:val="20"/>
        </w:rPr>
        <w:endnoteReference w:id="47"/>
      </w:r>
      <w:r w:rsidRPr="004D2D8C">
        <w:rPr>
          <w:rFonts w:ascii="Comic Sans MS" w:hAnsi="Comic Sans MS" w:cs="Comic Sans MS"/>
          <w:sz w:val="13"/>
          <w:szCs w:val="13"/>
        </w:rPr>
        <w:t xml:space="preserve"> </w:t>
      </w:r>
      <w:r w:rsidRPr="004D2D8C">
        <w:rPr>
          <w:rFonts w:ascii="Comic Sans MS" w:hAnsi="Comic Sans MS" w:cs="Comic Sans MS"/>
          <w:sz w:val="20"/>
          <w:szCs w:val="20"/>
        </w:rPr>
        <w:t>te konvencija koje obuhvaćaju međunarodna morska područja (HELCOM, OSPAR, Barcelona i Bukurešt)</w:t>
      </w:r>
      <w:r w:rsidRPr="004D2D8C">
        <w:rPr>
          <w:rStyle w:val="EndnoteReference"/>
          <w:rFonts w:ascii="Comic Sans MS" w:hAnsi="Comic Sans MS" w:cs="Comic Sans MS"/>
          <w:sz w:val="20"/>
          <w:szCs w:val="20"/>
        </w:rPr>
        <w:endnoteReference w:id="48"/>
      </w:r>
      <w:r w:rsidRPr="004D2D8C">
        <w:rPr>
          <w:rFonts w:ascii="Comic Sans MS" w:hAnsi="Comic Sans MS" w:cs="Comic Sans MS"/>
          <w:sz w:val="20"/>
          <w:szCs w:val="20"/>
        </w:rPr>
        <w:t xml:space="preserve">. Pored toga, Banka je u svom pristupu upoznata s  IUCN-ov Crvenom popisu ugroženih vrsta (Red List of Threatened Species) kao i nacionalnim, regionalnim i lokalnim Crvenim popisima vrsta. U okviru EU-a, Banka prepoznaje ulogu Direktive EU-a o odgovornosti za štetu prema životnoj sredini u povećanju razine sprječavanja i predostrožnosti na strani promotora, kako bi se izbjegli značajni okolišni rizici za prirodu i kako bi se popravila šteta za okoliš prema načelu „zagađivač plaća“.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69.</w:t>
      </w:r>
      <w:r w:rsidRPr="004D2D8C">
        <w:rPr>
          <w:rFonts w:ascii="Comic Sans MS" w:hAnsi="Comic Sans MS" w:cs="Comic Sans MS"/>
          <w:sz w:val="20"/>
          <w:szCs w:val="20"/>
        </w:rPr>
        <w:tab/>
        <w:t xml:space="preserve">U primjeni tih načela i standarda, EIB čini razliku između mjera koje su potrebne za sve projekte, mjera koje se traže na područjima od posebne ekološke vrijednosti i osjetljivosti (kritična staništa), i mjera koje su potrebne na označenim lokacijama (uključujući lokacije Natura 2000).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70.</w:t>
      </w:r>
      <w:r w:rsidRPr="004D2D8C">
        <w:rPr>
          <w:rFonts w:ascii="Comic Sans MS" w:hAnsi="Comic Sans MS" w:cs="Comic Sans MS"/>
          <w:sz w:val="20"/>
          <w:szCs w:val="20"/>
        </w:rPr>
        <w:tab/>
        <w:t>Za sve projekte koje financira EIB, promotor mora dokazati da je analiziran čitav niz alternativa i njihovih učinaka na bioraznolikost. Od promotora se također zahtijeva da primijeni hijerarhiju ublažavanja rizika, tj. da poduzme odgovarajuće mjere za izbjegavanje, svođenje na najmanju mjeru ili rehabilitaciju/ublažavanje utjecaja koji mogu uništiti biološku raznolikost. Ukoliko se preostali negativni učinci na biološku raznolikost održe, promotor može predložiti mjere za kompenzaciju učinaka na bioraznolikost</w:t>
      </w:r>
      <w:r w:rsidRPr="004D2D8C">
        <w:rPr>
          <w:rStyle w:val="EndnoteReference"/>
          <w:rFonts w:ascii="Comic Sans MS" w:hAnsi="Comic Sans MS" w:cs="Comic Sans MS"/>
          <w:sz w:val="20"/>
          <w:szCs w:val="20"/>
        </w:rPr>
        <w:endnoteReference w:id="49"/>
      </w:r>
      <w:r w:rsidRPr="004D2D8C">
        <w:rPr>
          <w:rFonts w:ascii="Comic Sans MS" w:hAnsi="Comic Sans MS" w:cs="Comic Sans MS"/>
          <w:sz w:val="20"/>
          <w:szCs w:val="20"/>
        </w:rPr>
        <w:t xml:space="preserve">, gdje je to moguće. Banka podupire neprekidan rad kako bi odabranu primjenu mjera za kompenzaciju negativnih učinaka na bioraznolikost učinila operativnima, istovremeno prepoznajući da određene utjecaje, poput gubitka kritičnog staništa, nije moguće kompenzirati.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71.</w:t>
      </w:r>
      <w:r w:rsidRPr="004D2D8C">
        <w:rPr>
          <w:rFonts w:ascii="Comic Sans MS" w:hAnsi="Comic Sans MS" w:cs="Comic Sans MS"/>
          <w:sz w:val="20"/>
          <w:szCs w:val="20"/>
        </w:rPr>
        <w:tab/>
        <w:t>Kritična staništa su područja od posebne ekološke vrijednosti i osjetljivosti, koja se definiraju prema šest kriterija</w:t>
      </w:r>
      <w:r w:rsidRPr="004D2D8C">
        <w:rPr>
          <w:rStyle w:val="EndnoteReference"/>
          <w:rFonts w:ascii="Comic Sans MS" w:hAnsi="Comic Sans MS" w:cs="Comic Sans MS"/>
          <w:sz w:val="20"/>
          <w:szCs w:val="20"/>
        </w:rPr>
        <w:endnoteReference w:id="50"/>
      </w:r>
      <w:r w:rsidRPr="004D2D8C">
        <w:rPr>
          <w:rFonts w:ascii="Comic Sans MS" w:hAnsi="Comic Sans MS" w:cs="Comic Sans MS"/>
          <w:sz w:val="20"/>
          <w:szCs w:val="20"/>
        </w:rPr>
        <w:t>. EIB ne financira projekte u kritičnim staništima ukoliko postoje negativni učinci u smislu jednog ili više definirajućih kriterija, ili unutar EU-a, osim ako nisu u potpunosti u skladu sa zakonodavstvom Zajednice o zaštiti okoliša, a posebice Direktive o staništima</w:t>
      </w:r>
      <w:r w:rsidRPr="004D2D8C">
        <w:rPr>
          <w:rFonts w:ascii="Comic Sans MS" w:hAnsi="Comic Sans MS" w:cs="Comic Sans MS"/>
          <w:b/>
          <w:bCs/>
          <w:sz w:val="20"/>
          <w:szCs w:val="20"/>
        </w:rPr>
        <w:t xml:space="preserve">. </w:t>
      </w:r>
    </w:p>
    <w:p w:rsidR="0072732B" w:rsidRPr="004D2D8C" w:rsidRDefault="0072732B" w:rsidP="0072732B">
      <w:pPr>
        <w:pageBreakBefore/>
        <w:autoSpaceDE w:val="0"/>
        <w:autoSpaceDN w:val="0"/>
        <w:adjustRightInd w:val="0"/>
        <w:spacing w:after="0" w:line="240" w:lineRule="auto"/>
        <w:rPr>
          <w:rFonts w:ascii="Comic Sans MS" w:hAnsi="Comic Sans MS"/>
          <w:sz w:val="24"/>
          <w:szCs w:val="24"/>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72.</w:t>
      </w:r>
      <w:r w:rsidRPr="004D2D8C">
        <w:rPr>
          <w:rFonts w:ascii="Comic Sans MS" w:hAnsi="Comic Sans MS" w:cs="Comic Sans MS"/>
          <w:sz w:val="20"/>
          <w:szCs w:val="20"/>
        </w:rPr>
        <w:tab/>
        <w:t xml:space="preserve">EIB ne financira projekte koji se nalaze na zaštićenim područjima ukoliko nisu u skladu s relevantnim zakonskim uvjetima i planovima za upravljanje lokacijom. Zaštićena područja uključuju Natura 2000 lokacije označene u okviru zakonodavstva EU-a, lokacije koje su prepoznate u okviru Konvencije iz Ramsara, Berna i Bonna te područja koja su nacionalne Vlade označile ili identificirale za oznaku kao zaštićena područja.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73.</w:t>
      </w:r>
      <w:r w:rsidRPr="004D2D8C">
        <w:rPr>
          <w:rFonts w:ascii="Comic Sans MS" w:hAnsi="Comic Sans MS" w:cs="Comic Sans MS"/>
          <w:sz w:val="20"/>
          <w:szCs w:val="20"/>
        </w:rPr>
        <w:tab/>
        <w:t>Vezano za lokalitete Natura 2000, bilo koji projekt za koji je vjerojatno da će imati značajan učinak, bez obzira pojedinačno ili u kombinaciji s drugim projektima, trebao bi biti podložan  režimu zaštite koji je opisan u Članku 6 Direktive o staništima. U okviru toga, Banka zahtijeva da promotor provede odgovarajuću procjenu učinaka na zaštićene vrste ili vrijednosti zaštite lokaliteta</w:t>
      </w:r>
      <w:r w:rsidRPr="004D2D8C">
        <w:rPr>
          <w:rStyle w:val="EndnoteReference"/>
          <w:rFonts w:ascii="Comic Sans MS" w:hAnsi="Comic Sans MS" w:cs="Comic Sans MS"/>
          <w:sz w:val="20"/>
          <w:szCs w:val="20"/>
        </w:rPr>
        <w:endnoteReference w:id="51"/>
      </w:r>
      <w:r w:rsidRPr="004D2D8C">
        <w:rPr>
          <w:rFonts w:ascii="Comic Sans MS" w:hAnsi="Comic Sans MS" w:cs="Comic Sans MS"/>
          <w:sz w:val="20"/>
          <w:szCs w:val="20"/>
        </w:rPr>
        <w:t>, identificirajući alternativu i mjere za ublažavanje. Ukoliko se projekt odnosi na linearne infrastrukture, ova bi ocjena trebala obuhvatiti cjelokupan smjer a ne dijelove pojedinačnog projekta. Ukoliko, u svjetlu ocjene, ostaje značajan učinak na označenu vrstu staništa i/ili vrsta i/ili je ugrožena sveukupna koherencija Natura 2000, Banka će samo financirati projekte ukoliko postoji prvenstveni javni interes, sukladno značenju u Direktivi</w:t>
      </w:r>
      <w:r w:rsidRPr="004D2D8C">
        <w:rPr>
          <w:rStyle w:val="EndnoteReference"/>
          <w:rFonts w:ascii="Comic Sans MS" w:hAnsi="Comic Sans MS" w:cs="Comic Sans MS"/>
          <w:sz w:val="20"/>
          <w:szCs w:val="20"/>
        </w:rPr>
        <w:endnoteReference w:id="52"/>
      </w:r>
      <w:r w:rsidRPr="004D2D8C">
        <w:rPr>
          <w:rFonts w:ascii="Comic Sans MS" w:hAnsi="Comic Sans MS" w:cs="Comic Sans MS"/>
          <w:sz w:val="20"/>
          <w:szCs w:val="20"/>
        </w:rPr>
        <w:t xml:space="preserve">. U takvim slučajevima, trebalo bi informirati Komisiju. Ukoliko se prioritetna načela odnose na zaštićeni lokalitet, potrebno je mišljenje Komisije.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74.</w:t>
      </w:r>
      <w:r w:rsidRPr="004D2D8C">
        <w:rPr>
          <w:rFonts w:ascii="Comic Sans MS" w:hAnsi="Comic Sans MS" w:cs="Comic Sans MS"/>
          <w:sz w:val="20"/>
          <w:szCs w:val="20"/>
        </w:rPr>
        <w:tab/>
        <w:t xml:space="preserve">Od promotora se traži da poduzme mjere kako bi se izbjeglo uvođenje invazivnih vrsta, ukoliko postoji potencijal za značajan negativni učinak na bioraznolikost.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jc w:val="both"/>
        <w:rPr>
          <w:rFonts w:ascii="Comic Sans MS" w:hAnsi="Comic Sans MS" w:cs="Comic Sans MS"/>
          <w:b/>
          <w:bCs/>
          <w:sz w:val="13"/>
          <w:szCs w:val="13"/>
        </w:rPr>
      </w:pPr>
      <w:r w:rsidRPr="004D2D8C">
        <w:rPr>
          <w:rFonts w:ascii="Comic Sans MS" w:hAnsi="Comic Sans MS" w:cs="Comic Sans MS"/>
          <w:b/>
          <w:bCs/>
          <w:sz w:val="23"/>
          <w:szCs w:val="23"/>
        </w:rPr>
        <w:t>KLIMATSKE PROMJENE</w:t>
      </w:r>
      <w:r w:rsidRPr="004D2D8C">
        <w:rPr>
          <w:rStyle w:val="EndnoteReference"/>
          <w:rFonts w:ascii="Comic Sans MS" w:hAnsi="Comic Sans MS" w:cs="Comic Sans MS"/>
          <w:b/>
          <w:bCs/>
          <w:sz w:val="23"/>
          <w:szCs w:val="23"/>
        </w:rPr>
        <w:endnoteReference w:id="53"/>
      </w:r>
      <w:r w:rsidRPr="004D2D8C">
        <w:rPr>
          <w:rFonts w:ascii="Comic Sans MS" w:hAnsi="Comic Sans MS" w:cs="Comic Sans MS"/>
          <w:b/>
          <w:bCs/>
          <w:sz w:val="13"/>
          <w:szCs w:val="13"/>
        </w:rPr>
        <w:t xml:space="preserve"> </w:t>
      </w:r>
    </w:p>
    <w:p w:rsidR="0072732B" w:rsidRPr="004D2D8C" w:rsidRDefault="0072732B" w:rsidP="0072732B">
      <w:pPr>
        <w:autoSpaceDE w:val="0"/>
        <w:autoSpaceDN w:val="0"/>
        <w:adjustRightInd w:val="0"/>
        <w:spacing w:after="0" w:line="240" w:lineRule="auto"/>
        <w:jc w:val="both"/>
        <w:rPr>
          <w:rFonts w:ascii="Comic Sans MS" w:hAnsi="Comic Sans MS" w:cs="Comic Sans MS"/>
          <w:sz w:val="13"/>
          <w:szCs w:val="13"/>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75.</w:t>
      </w:r>
      <w:r w:rsidRPr="004D2D8C">
        <w:rPr>
          <w:rFonts w:ascii="Comic Sans MS" w:hAnsi="Comic Sans MS" w:cs="Comic Sans MS"/>
          <w:sz w:val="20"/>
          <w:szCs w:val="20"/>
        </w:rPr>
        <w:tab/>
        <w:t xml:space="preserve">EIB zagovara rezultate koji se odnose na klimatske promjene sadržane u izvještajima o procjeni UN-ovog Međuvladinog panela o klimatskim promjenama (IPCC), posebice da su klimatske promjene nedvosmislene, te da je najveći dio zagrijavanja u posljednjih 50 godina vrlo vjerojatno posljedica povećanja emisije GHG koje se dobrim dijelom može pripisati ljudskim aktivnostima. Banka prepoznaje da projekti koje ona danas financira imaju ulogu u određivanju koncentracija GHG u atmosferi za nadolazeća desetljeća te stoga i opseg klimatskih promjena u budućnosti.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76.</w:t>
      </w:r>
      <w:r w:rsidRPr="004D2D8C">
        <w:rPr>
          <w:rFonts w:ascii="Comic Sans MS" w:hAnsi="Comic Sans MS" w:cs="Comic Sans MS"/>
          <w:sz w:val="20"/>
          <w:szCs w:val="20"/>
        </w:rPr>
        <w:tab/>
        <w:t xml:space="preserve">EIB podupire borbu protiv klimatskih promjena, usklađujući svoje aktivnosti s politikom EU-a prema klimatskim promjenama. Njegova politika prema klimatskim promjenama se periodično pregledava i revidira.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77.</w:t>
      </w:r>
      <w:r w:rsidRPr="004D2D8C">
        <w:rPr>
          <w:rFonts w:ascii="Comic Sans MS" w:hAnsi="Comic Sans MS" w:cs="Comic Sans MS"/>
          <w:sz w:val="20"/>
          <w:szCs w:val="20"/>
        </w:rPr>
        <w:tab/>
        <w:t xml:space="preserve">EIB promovira sektor obnovljivih izvora energije, optimizira opseg za energetsku učinkovitost u svim projektima koje financira, te usklađuje svoje poslovanje s ostalim investicijskim prioritetima politike EU-a prema klimi, uključujući istraživanje, razvoj i ulaganje u nove tehnologije koje su prihvatljive za klimu. Banka također teži promovirati održive prakse korištenja zemljišta, uključujući održivo šumarstvo, te prepoznaje važnost šuma i njihov doprinos kako ublažavanju klimatskih promjena tako i prilagodbi i zaštiti biološke raznolikosti. Ključne Bančine politike kreditiranja, na primjer, u energetskom sektoru, sektoru voda, prijevoza, otpada i prirodnih resursa također se periodično revidiraju kako bi bile usklađene s politikom EU-a prema klimi i kako bi odražavale razmatranja o klimatskim promjenama u nastajanju.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78.</w:t>
      </w:r>
      <w:r w:rsidRPr="004D2D8C">
        <w:rPr>
          <w:rFonts w:ascii="Comic Sans MS" w:hAnsi="Comic Sans MS" w:cs="Comic Sans MS"/>
          <w:sz w:val="20"/>
          <w:szCs w:val="20"/>
        </w:rPr>
        <w:tab/>
        <w:t xml:space="preserve">U sektorima koji su osjetljivi na intenzivan učinak ugljika, EIB zahtijeva korištenje najučinkovitijih rješenja, te sistematično zahtijeva od promotora da procjenjuju očekivane emisije GHG te identificiraju i primjenjuju odgovarajuće mjere za njihovo ublažavanje. Za projekte koji proizvode značajne količine emisija GHG, EIB inkorporira troškove takvih emisija u financijske i ekonomske analize koje utječu na njegove odluke o financiranju. Pored toga, Banka aktivno identificira i promovira projekte koji rezultiraju značajnim smanjenjem emisija GHG a koristi istih se također uzimaju u obzir u njegovim financijskim i ekonomskim analizama. </w:t>
      </w:r>
    </w:p>
    <w:p w:rsidR="0072732B" w:rsidRPr="004D2D8C" w:rsidRDefault="0072732B" w:rsidP="0072732B">
      <w:pPr>
        <w:autoSpaceDE w:val="0"/>
        <w:autoSpaceDN w:val="0"/>
        <w:adjustRightInd w:val="0"/>
        <w:spacing w:after="0" w:line="240" w:lineRule="auto"/>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79.</w:t>
      </w:r>
      <w:r w:rsidRPr="004D2D8C">
        <w:rPr>
          <w:rFonts w:ascii="Comic Sans MS" w:hAnsi="Comic Sans MS" w:cs="Comic Sans MS"/>
          <w:sz w:val="20"/>
          <w:szCs w:val="20"/>
        </w:rPr>
        <w:tab/>
        <w:t xml:space="preserve">EIB zagovara potporu okolišno održivih načina korištenja čiste energije u zemljama izvan EU-a, uključujući promoviranje prijenosa i razvoja čistih tehnologija, kao i utemeljenje i razvoj financijskih mehanizama za troškovno učinkovito ublažavanje klimatskih promjena, kao što je tržište ugljena.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80.</w:t>
      </w:r>
      <w:r w:rsidRPr="004D2D8C">
        <w:rPr>
          <w:rFonts w:ascii="Comic Sans MS" w:hAnsi="Comic Sans MS" w:cs="Comic Sans MS"/>
          <w:sz w:val="20"/>
          <w:szCs w:val="20"/>
        </w:rPr>
        <w:tab/>
        <w:t xml:space="preserve">Iako je ublažavanje presudno, većina klimatskih promjena koje su projicirane za nadolazeća desetljeća više se ne može izbjeći zbog vremenskog kašnjenja u odgovoru klimatskih sustava na porast GHG-a u atmosferi. Stoga EIB prepoznaje kako je prilagodba neophodna i aktivno promovira projekte prilagodbe kao takve, na primjer na području upravljanja vodnim resursima.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81.</w:t>
      </w:r>
      <w:r w:rsidRPr="004D2D8C">
        <w:rPr>
          <w:rFonts w:ascii="Comic Sans MS" w:hAnsi="Comic Sans MS" w:cs="Comic Sans MS"/>
          <w:sz w:val="20"/>
          <w:szCs w:val="20"/>
        </w:rPr>
        <w:tab/>
        <w:t xml:space="preserve">EIB-ovi projekti mogu biti izloženi klimatskim promjenama u tijeku njihovog ekonomskog trajanja, na primjer zbog podizanja razine mora ili porasta u broju i intenzitetu ekstremnih vremenskih uvjeta. U takvim slučajevima, Banka potiče promotore na identificiranje i upravljanje rizicima klimatskih promjena. Banka kontinuirano razvija svoje vlastito znanje i ekspertizu o upravljanju rizikom klimatskih promjena, a ukoliko su identificirani rizici, Banka traži od promotora da identificira i primjenjuje mjere prilagodbe kako bi se osigurala održivost projekta.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autoSpaceDE w:val="0"/>
        <w:autoSpaceDN w:val="0"/>
        <w:adjustRightInd w:val="0"/>
        <w:spacing w:after="0" w:line="240" w:lineRule="auto"/>
        <w:ind w:left="360" w:hanging="360"/>
        <w:jc w:val="both"/>
        <w:rPr>
          <w:rFonts w:ascii="Comic Sans MS" w:hAnsi="Comic Sans MS" w:cs="Comic Sans MS"/>
          <w:sz w:val="20"/>
          <w:szCs w:val="20"/>
        </w:rPr>
      </w:pPr>
      <w:r w:rsidRPr="004D2D8C">
        <w:rPr>
          <w:rFonts w:ascii="Comic Sans MS" w:hAnsi="Comic Sans MS" w:cs="Comic Sans MS"/>
          <w:sz w:val="20"/>
          <w:szCs w:val="20"/>
        </w:rPr>
        <w:t>82.</w:t>
      </w:r>
      <w:r w:rsidRPr="004D2D8C">
        <w:rPr>
          <w:rFonts w:ascii="Comic Sans MS" w:hAnsi="Comic Sans MS" w:cs="Comic Sans MS"/>
          <w:sz w:val="20"/>
          <w:szCs w:val="20"/>
        </w:rPr>
        <w:tab/>
        <w:t xml:space="preserve">U suradnji s drugim međunarodnim financijskim institucijama, EIB nastavlja istraživati i osmišljavati čitav niz metodologija za složeni zadatak mjerenja i izvještavanja o ugljičnom otisku projekata koje financira kako bi se bolje shvatio klimatski utjecaj Bančinog kreditiranja i kako bi se utjecalo na odabir projekata. Banka će objaviti rezultat ovog rada, kojim se definira metodologija ugljičnog otiska koji preferira i identificiraju odgovarajući pokazatelji uspješnosti kako bi demonstrirao svoju posvećenost ciljevima EU-a za smanjenje emisije GHG.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pStyle w:val="ListParagraph"/>
        <w:jc w:val="both"/>
        <w:rPr>
          <w:rFonts w:ascii="Comic Sans MS" w:hAnsi="Comic Sans MS"/>
          <w:sz w:val="20"/>
          <w:szCs w:val="20"/>
        </w:rPr>
      </w:pPr>
    </w:p>
    <w:p w:rsidR="0036373B" w:rsidRPr="004D2D8C" w:rsidRDefault="0036373B" w:rsidP="0036373B">
      <w:pPr>
        <w:pStyle w:val="ListParagraph"/>
        <w:rPr>
          <w:rFonts w:ascii="Comic Sans MS" w:hAnsi="Comic Sans MS"/>
          <w:sz w:val="20"/>
          <w:szCs w:val="20"/>
        </w:rPr>
      </w:pPr>
    </w:p>
    <w:p w:rsidR="0036373B" w:rsidRPr="004D2D8C" w:rsidRDefault="0036373B">
      <w:pPr>
        <w:rPr>
          <w:rFonts w:ascii="Comic Sans MS" w:hAnsi="Comic Sans MS"/>
          <w:sz w:val="20"/>
          <w:szCs w:val="20"/>
        </w:rPr>
      </w:pPr>
      <w:r w:rsidRPr="004D2D8C">
        <w:rPr>
          <w:rFonts w:ascii="Comic Sans MS" w:hAnsi="Comic Sans MS"/>
          <w:sz w:val="20"/>
          <w:szCs w:val="20"/>
        </w:rPr>
        <w:br w:type="page"/>
      </w:r>
    </w:p>
    <w:p w:rsidR="005F056E" w:rsidRPr="004D2D8C" w:rsidRDefault="005F056E" w:rsidP="0036373B">
      <w:pPr>
        <w:jc w:val="center"/>
        <w:rPr>
          <w:rFonts w:ascii="Comic Sans MS" w:hAnsi="Comic Sans MS"/>
          <w:b/>
          <w:sz w:val="28"/>
          <w:szCs w:val="28"/>
        </w:rPr>
      </w:pPr>
    </w:p>
    <w:p w:rsidR="0036373B" w:rsidRPr="004D2D8C" w:rsidRDefault="0036373B" w:rsidP="0036373B">
      <w:pPr>
        <w:jc w:val="center"/>
        <w:rPr>
          <w:rFonts w:ascii="Comic Sans MS" w:hAnsi="Comic Sans MS"/>
          <w:b/>
          <w:sz w:val="28"/>
          <w:szCs w:val="28"/>
        </w:rPr>
      </w:pPr>
      <w:r w:rsidRPr="004D2D8C">
        <w:rPr>
          <w:rFonts w:ascii="Comic Sans MS" w:hAnsi="Comic Sans MS"/>
          <w:b/>
          <w:sz w:val="28"/>
          <w:szCs w:val="28"/>
        </w:rPr>
        <w:t>GLOSAR</w:t>
      </w:r>
    </w:p>
    <w:p w:rsidR="005F056E" w:rsidRPr="004D2D8C" w:rsidRDefault="005F056E" w:rsidP="0036373B">
      <w:pPr>
        <w:jc w:val="both"/>
        <w:rPr>
          <w:rFonts w:ascii="Comic Sans MS" w:hAnsi="Comic Sans MS"/>
          <w:sz w:val="20"/>
          <w:szCs w:val="20"/>
        </w:rPr>
      </w:pP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 xml:space="preserve">Definicije su prikupljene iz različitih izvora. Kada se koristi </w:t>
      </w:r>
      <w:r w:rsidR="00106206" w:rsidRPr="004D2D8C">
        <w:rPr>
          <w:rFonts w:ascii="Comic Sans MS" w:hAnsi="Comic Sans MS"/>
          <w:sz w:val="20"/>
          <w:szCs w:val="20"/>
        </w:rPr>
        <w:t xml:space="preserve">neka </w:t>
      </w:r>
      <w:r w:rsidRPr="004D2D8C">
        <w:rPr>
          <w:rFonts w:ascii="Comic Sans MS" w:hAnsi="Comic Sans MS"/>
          <w:sz w:val="20"/>
          <w:szCs w:val="20"/>
        </w:rPr>
        <w:t>definicija iz vanjskog alternativnog izvora, poziva se na dotični izvor i ako je moguće daje se i odgovarajuća poveznica na izvorni glosar. Ukoliko takva definicija ne postoji, EIB daje svoju vlastitu</w:t>
      </w:r>
      <w:r w:rsidR="00106206" w:rsidRPr="004D2D8C">
        <w:rPr>
          <w:rFonts w:ascii="Comic Sans MS" w:hAnsi="Comic Sans MS"/>
          <w:sz w:val="20"/>
          <w:szCs w:val="20"/>
        </w:rPr>
        <w:t xml:space="preserve"> definiciju</w:t>
      </w:r>
      <w:r w:rsidRPr="004D2D8C">
        <w:rPr>
          <w:rFonts w:ascii="Comic Sans MS" w:hAnsi="Comic Sans MS"/>
          <w:sz w:val="20"/>
          <w:szCs w:val="20"/>
        </w:rPr>
        <w:t>.</w:t>
      </w:r>
    </w:p>
    <w:p w:rsidR="007A0368" w:rsidRPr="004D2D8C" w:rsidRDefault="007A0368" w:rsidP="0036373B">
      <w:pPr>
        <w:jc w:val="both"/>
        <w:rPr>
          <w:rFonts w:ascii="Comic Sans MS" w:hAnsi="Comic Sans MS"/>
          <w:b/>
          <w:sz w:val="20"/>
          <w:szCs w:val="20"/>
        </w:rPr>
      </w:pPr>
    </w:p>
    <w:p w:rsidR="0036373B" w:rsidRPr="004D2D8C" w:rsidRDefault="0036373B" w:rsidP="0036373B">
      <w:pPr>
        <w:jc w:val="both"/>
        <w:rPr>
          <w:rFonts w:ascii="Comic Sans MS" w:hAnsi="Comic Sans MS"/>
          <w:sz w:val="20"/>
          <w:szCs w:val="20"/>
        </w:rPr>
      </w:pPr>
      <w:r w:rsidRPr="004D2D8C">
        <w:rPr>
          <w:rFonts w:ascii="Comic Sans MS" w:hAnsi="Comic Sans MS"/>
          <w:b/>
          <w:sz w:val="20"/>
          <w:szCs w:val="20"/>
        </w:rPr>
        <w:t>Šesti okolišni akcijski program (6th EAP</w:t>
      </w:r>
      <w:r w:rsidRPr="004D2D8C">
        <w:rPr>
          <w:rFonts w:ascii="Comic Sans MS" w:hAnsi="Comic Sans MS"/>
          <w:sz w:val="20"/>
          <w:szCs w:val="20"/>
        </w:rPr>
        <w:t>)</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Šesti okolišni akcijski progra</w:t>
      </w:r>
      <w:r w:rsidR="007D1BB4" w:rsidRPr="004D2D8C">
        <w:rPr>
          <w:rFonts w:ascii="Comic Sans MS" w:hAnsi="Comic Sans MS"/>
          <w:sz w:val="20"/>
          <w:szCs w:val="20"/>
        </w:rPr>
        <w:t xml:space="preserve">m donesen </w:t>
      </w:r>
      <w:r w:rsidRPr="004D2D8C">
        <w:rPr>
          <w:rFonts w:ascii="Comic Sans MS" w:hAnsi="Comic Sans MS"/>
          <w:sz w:val="20"/>
          <w:szCs w:val="20"/>
        </w:rPr>
        <w:t xml:space="preserve">je odlukom Europskog parlamenta i Vijeća </w:t>
      </w:r>
      <w:r w:rsidR="00D74C7D" w:rsidRPr="004D2D8C">
        <w:rPr>
          <w:rFonts w:ascii="Comic Sans MS" w:hAnsi="Comic Sans MS"/>
          <w:sz w:val="20"/>
          <w:szCs w:val="20"/>
        </w:rPr>
        <w:t xml:space="preserve">dana </w:t>
      </w:r>
      <w:r w:rsidRPr="004D2D8C">
        <w:rPr>
          <w:rFonts w:ascii="Comic Sans MS" w:hAnsi="Comic Sans MS"/>
          <w:sz w:val="20"/>
          <w:szCs w:val="20"/>
        </w:rPr>
        <w:t>22. srpnja 2002</w:t>
      </w:r>
      <w:r w:rsidR="00D74C7D" w:rsidRPr="004D2D8C">
        <w:rPr>
          <w:rFonts w:ascii="Comic Sans MS" w:hAnsi="Comic Sans MS"/>
          <w:sz w:val="20"/>
          <w:szCs w:val="20"/>
        </w:rPr>
        <w:t xml:space="preserve">. godine. Njime se </w:t>
      </w:r>
      <w:r w:rsidR="007D1BB4" w:rsidRPr="004D2D8C">
        <w:rPr>
          <w:rFonts w:ascii="Comic Sans MS" w:hAnsi="Comic Sans MS"/>
          <w:sz w:val="20"/>
          <w:szCs w:val="20"/>
        </w:rPr>
        <w:t xml:space="preserve">uspostavlja </w:t>
      </w:r>
      <w:r w:rsidR="00D74C7D" w:rsidRPr="004D2D8C">
        <w:rPr>
          <w:rFonts w:ascii="Comic Sans MS" w:hAnsi="Comic Sans MS"/>
          <w:sz w:val="20"/>
          <w:szCs w:val="20"/>
        </w:rPr>
        <w:t xml:space="preserve">okvir za donošenje okolišnih politika </w:t>
      </w:r>
      <w:r w:rsidRPr="004D2D8C">
        <w:rPr>
          <w:rFonts w:ascii="Comic Sans MS" w:hAnsi="Comic Sans MS"/>
          <w:sz w:val="20"/>
          <w:szCs w:val="20"/>
        </w:rPr>
        <w:t>Europ</w:t>
      </w:r>
      <w:r w:rsidR="00D74C7D" w:rsidRPr="004D2D8C">
        <w:rPr>
          <w:rFonts w:ascii="Comic Sans MS" w:hAnsi="Comic Sans MS"/>
          <w:sz w:val="20"/>
          <w:szCs w:val="20"/>
        </w:rPr>
        <w:t>sk</w:t>
      </w:r>
      <w:r w:rsidRPr="004D2D8C">
        <w:rPr>
          <w:rFonts w:ascii="Comic Sans MS" w:hAnsi="Comic Sans MS"/>
          <w:sz w:val="20"/>
          <w:szCs w:val="20"/>
        </w:rPr>
        <w:t>e</w:t>
      </w:r>
      <w:r w:rsidR="00D74C7D" w:rsidRPr="004D2D8C">
        <w:rPr>
          <w:rFonts w:ascii="Comic Sans MS" w:hAnsi="Comic Sans MS"/>
          <w:sz w:val="20"/>
          <w:szCs w:val="20"/>
        </w:rPr>
        <w:t xml:space="preserve"> u</w:t>
      </w:r>
      <w:r w:rsidRPr="004D2D8C">
        <w:rPr>
          <w:rFonts w:ascii="Comic Sans MS" w:hAnsi="Comic Sans MS"/>
          <w:sz w:val="20"/>
          <w:szCs w:val="20"/>
        </w:rPr>
        <w:t>ni</w:t>
      </w:r>
      <w:r w:rsidR="00D74C7D" w:rsidRPr="004D2D8C">
        <w:rPr>
          <w:rFonts w:ascii="Comic Sans MS" w:hAnsi="Comic Sans MS"/>
          <w:sz w:val="20"/>
          <w:szCs w:val="20"/>
        </w:rPr>
        <w:t xml:space="preserve">je za razdoblje od </w:t>
      </w:r>
      <w:r w:rsidRPr="004D2D8C">
        <w:rPr>
          <w:rFonts w:ascii="Comic Sans MS" w:hAnsi="Comic Sans MS"/>
          <w:sz w:val="20"/>
          <w:szCs w:val="20"/>
        </w:rPr>
        <w:t>2002</w:t>
      </w:r>
      <w:r w:rsidR="00D74C7D" w:rsidRPr="004D2D8C">
        <w:rPr>
          <w:rFonts w:ascii="Comic Sans MS" w:hAnsi="Comic Sans MS"/>
          <w:sz w:val="20"/>
          <w:szCs w:val="20"/>
        </w:rPr>
        <w:t xml:space="preserve">. do </w:t>
      </w:r>
      <w:r w:rsidRPr="004D2D8C">
        <w:rPr>
          <w:rFonts w:ascii="Comic Sans MS" w:hAnsi="Comic Sans MS"/>
          <w:sz w:val="20"/>
          <w:szCs w:val="20"/>
        </w:rPr>
        <w:t>2012</w:t>
      </w:r>
      <w:r w:rsidR="00D74C7D" w:rsidRPr="004D2D8C">
        <w:rPr>
          <w:rFonts w:ascii="Comic Sans MS" w:hAnsi="Comic Sans MS"/>
          <w:sz w:val="20"/>
          <w:szCs w:val="20"/>
        </w:rPr>
        <w:t>. godine i ocrtavaju</w:t>
      </w:r>
      <w:r w:rsidR="00106206" w:rsidRPr="004D2D8C">
        <w:rPr>
          <w:rFonts w:ascii="Comic Sans MS" w:hAnsi="Comic Sans MS"/>
          <w:sz w:val="20"/>
          <w:szCs w:val="20"/>
        </w:rPr>
        <w:t xml:space="preserve"> se</w:t>
      </w:r>
      <w:r w:rsidR="00D74C7D" w:rsidRPr="004D2D8C">
        <w:rPr>
          <w:rFonts w:ascii="Comic Sans MS" w:hAnsi="Comic Sans MS"/>
          <w:sz w:val="20"/>
          <w:szCs w:val="20"/>
        </w:rPr>
        <w:t xml:space="preserve"> aktivnosti koje je potrebno poduzeti</w:t>
      </w:r>
      <w:r w:rsidRPr="004D2D8C">
        <w:rPr>
          <w:rFonts w:ascii="Comic Sans MS" w:hAnsi="Comic Sans MS"/>
          <w:sz w:val="20"/>
          <w:szCs w:val="20"/>
        </w:rPr>
        <w:t xml:space="preserve">. </w:t>
      </w:r>
      <w:r w:rsidR="007D1BB4" w:rsidRPr="004D2D8C">
        <w:rPr>
          <w:rFonts w:ascii="Comic Sans MS" w:hAnsi="Comic Sans MS"/>
          <w:sz w:val="20"/>
          <w:szCs w:val="20"/>
        </w:rPr>
        <w:t>Šesti okolišni akcijski program utvrđuje četiri prioritetna područja</w:t>
      </w:r>
      <w:r w:rsidRPr="004D2D8C">
        <w:rPr>
          <w:rFonts w:ascii="Comic Sans MS" w:hAnsi="Comic Sans MS"/>
          <w:sz w:val="20"/>
          <w:szCs w:val="20"/>
        </w:rPr>
        <w:t xml:space="preserve">: </w:t>
      </w:r>
      <w:r w:rsidR="007D1BB4" w:rsidRPr="004D2D8C">
        <w:rPr>
          <w:rFonts w:ascii="Comic Sans MS" w:hAnsi="Comic Sans MS"/>
          <w:sz w:val="20"/>
          <w:szCs w:val="20"/>
        </w:rPr>
        <w:t>klimatske promjene, priroda i bio- raznolikost, okoliš i zdravlje, te prirodni resursi i otpad. Šesti okolišni akcijski program poziva na razv</w:t>
      </w:r>
      <w:r w:rsidR="00106206" w:rsidRPr="004D2D8C">
        <w:rPr>
          <w:rFonts w:ascii="Comic Sans MS" w:hAnsi="Comic Sans MS"/>
          <w:sz w:val="20"/>
          <w:szCs w:val="20"/>
        </w:rPr>
        <w:t xml:space="preserve">ijanje </w:t>
      </w:r>
      <w:r w:rsidR="007D1BB4" w:rsidRPr="004D2D8C">
        <w:rPr>
          <w:rFonts w:ascii="Comic Sans MS" w:hAnsi="Comic Sans MS"/>
          <w:sz w:val="20"/>
          <w:szCs w:val="20"/>
        </w:rPr>
        <w:t xml:space="preserve">sedam tematskih strategija na području zaštite tla i morskog okoliša </w:t>
      </w:r>
      <w:r w:rsidRPr="004D2D8C">
        <w:rPr>
          <w:rFonts w:ascii="Comic Sans MS" w:hAnsi="Comic Sans MS"/>
          <w:sz w:val="20"/>
          <w:szCs w:val="20"/>
        </w:rPr>
        <w:t>(</w:t>
      </w:r>
      <w:r w:rsidR="007D1BB4" w:rsidRPr="004D2D8C">
        <w:rPr>
          <w:rFonts w:ascii="Comic Sans MS" w:hAnsi="Comic Sans MS"/>
          <w:sz w:val="20"/>
          <w:szCs w:val="20"/>
        </w:rPr>
        <w:t>prioritetno područje bio-raznolikosti</w:t>
      </w:r>
      <w:r w:rsidRPr="004D2D8C">
        <w:rPr>
          <w:rFonts w:ascii="Comic Sans MS" w:hAnsi="Comic Sans MS"/>
          <w:sz w:val="20"/>
          <w:szCs w:val="20"/>
        </w:rPr>
        <w:t>),</w:t>
      </w:r>
      <w:r w:rsidR="007D1BB4" w:rsidRPr="004D2D8C">
        <w:rPr>
          <w:rFonts w:ascii="Comic Sans MS" w:hAnsi="Comic Sans MS"/>
          <w:sz w:val="20"/>
          <w:szCs w:val="20"/>
        </w:rPr>
        <w:t xml:space="preserve"> zraka, pesticida i urbanog okoliša </w:t>
      </w:r>
      <w:r w:rsidRPr="004D2D8C">
        <w:rPr>
          <w:rFonts w:ascii="Comic Sans MS" w:hAnsi="Comic Sans MS"/>
          <w:sz w:val="20"/>
          <w:szCs w:val="20"/>
        </w:rPr>
        <w:t>(</w:t>
      </w:r>
      <w:r w:rsidR="007D1BB4" w:rsidRPr="004D2D8C">
        <w:rPr>
          <w:rFonts w:ascii="Comic Sans MS" w:hAnsi="Comic Sans MS"/>
          <w:sz w:val="20"/>
          <w:szCs w:val="20"/>
        </w:rPr>
        <w:t>prioritetno područje okoliša i zdravlja</w:t>
      </w:r>
      <w:r w:rsidRPr="004D2D8C">
        <w:rPr>
          <w:rFonts w:ascii="Comic Sans MS" w:hAnsi="Comic Sans MS"/>
          <w:sz w:val="20"/>
          <w:szCs w:val="20"/>
        </w:rPr>
        <w:t xml:space="preserve">) </w:t>
      </w:r>
      <w:r w:rsidR="007D1BB4" w:rsidRPr="004D2D8C">
        <w:rPr>
          <w:rFonts w:ascii="Comic Sans MS" w:hAnsi="Comic Sans MS"/>
          <w:sz w:val="20"/>
          <w:szCs w:val="20"/>
        </w:rPr>
        <w:t>te</w:t>
      </w:r>
      <w:r w:rsidRPr="004D2D8C">
        <w:rPr>
          <w:rFonts w:ascii="Comic Sans MS" w:hAnsi="Comic Sans MS"/>
          <w:sz w:val="20"/>
          <w:szCs w:val="20"/>
        </w:rPr>
        <w:t xml:space="preserve"> </w:t>
      </w:r>
      <w:r w:rsidR="007D1BB4" w:rsidRPr="004D2D8C">
        <w:rPr>
          <w:rFonts w:ascii="Comic Sans MS" w:hAnsi="Comic Sans MS"/>
          <w:sz w:val="20"/>
          <w:szCs w:val="20"/>
        </w:rPr>
        <w:t xml:space="preserve">prirodnih resursa i recikliranja otpada </w:t>
      </w:r>
      <w:r w:rsidRPr="004D2D8C">
        <w:rPr>
          <w:rFonts w:ascii="Comic Sans MS" w:hAnsi="Comic Sans MS"/>
          <w:sz w:val="20"/>
          <w:szCs w:val="20"/>
        </w:rPr>
        <w:t>(</w:t>
      </w:r>
      <w:r w:rsidR="007D1BB4" w:rsidRPr="004D2D8C">
        <w:rPr>
          <w:rFonts w:ascii="Comic Sans MS" w:hAnsi="Comic Sans MS"/>
          <w:sz w:val="20"/>
          <w:szCs w:val="20"/>
        </w:rPr>
        <w:t>prioritetno područje prirodnih resursa i otpada</w:t>
      </w:r>
      <w:r w:rsidRPr="004D2D8C">
        <w:rPr>
          <w:rFonts w:ascii="Comic Sans MS" w:hAnsi="Comic Sans MS"/>
          <w:sz w:val="20"/>
          <w:szCs w:val="20"/>
        </w:rPr>
        <w:t>).</w:t>
      </w:r>
      <w:r w:rsidR="007D1BB4" w:rsidRPr="004D2D8C">
        <w:rPr>
          <w:rFonts w:ascii="Comic Sans MS" w:hAnsi="Comic Sans MS"/>
          <w:sz w:val="20"/>
          <w:szCs w:val="20"/>
        </w:rPr>
        <w:t xml:space="preserve"> Izvor</w:t>
      </w:r>
      <w:r w:rsidRPr="004D2D8C">
        <w:rPr>
          <w:rFonts w:ascii="Comic Sans MS" w:hAnsi="Comic Sans MS"/>
          <w:sz w:val="20"/>
          <w:szCs w:val="20"/>
        </w:rPr>
        <w:t>: E</w:t>
      </w:r>
      <w:r w:rsidR="007D1BB4" w:rsidRPr="004D2D8C">
        <w:rPr>
          <w:rFonts w:ascii="Comic Sans MS" w:hAnsi="Comic Sans MS"/>
          <w:sz w:val="20"/>
          <w:szCs w:val="20"/>
        </w:rPr>
        <w:t>K</w:t>
      </w:r>
      <w:r w:rsidRPr="004D2D8C">
        <w:rPr>
          <w:rFonts w:ascii="Comic Sans MS" w:hAnsi="Comic Sans MS"/>
          <w:sz w:val="20"/>
          <w:szCs w:val="20"/>
        </w:rPr>
        <w:t>-</w:t>
      </w:r>
      <w:r w:rsidR="007D1BB4" w:rsidRPr="004D2D8C">
        <w:rPr>
          <w:rFonts w:ascii="Comic Sans MS" w:hAnsi="Comic Sans MS"/>
          <w:sz w:val="20"/>
          <w:szCs w:val="20"/>
        </w:rPr>
        <w:t>Opća uprava za okoliš</w:t>
      </w:r>
    </w:p>
    <w:p w:rsidR="0036373B" w:rsidRPr="004D2D8C" w:rsidRDefault="0036373B" w:rsidP="0036373B">
      <w:pPr>
        <w:jc w:val="both"/>
        <w:rPr>
          <w:rFonts w:ascii="Comic Sans MS" w:hAnsi="Comic Sans MS"/>
          <w:b/>
          <w:sz w:val="20"/>
          <w:szCs w:val="20"/>
        </w:rPr>
      </w:pPr>
      <w:r w:rsidRPr="004D2D8C">
        <w:rPr>
          <w:rFonts w:ascii="Comic Sans MS" w:hAnsi="Comic Sans MS"/>
          <w:b/>
          <w:sz w:val="20"/>
          <w:szCs w:val="20"/>
        </w:rPr>
        <w:t>Aarhu</w:t>
      </w:r>
      <w:r w:rsidR="00D74C7D" w:rsidRPr="004D2D8C">
        <w:rPr>
          <w:rFonts w:ascii="Comic Sans MS" w:hAnsi="Comic Sans MS"/>
          <w:b/>
          <w:sz w:val="20"/>
          <w:szCs w:val="20"/>
        </w:rPr>
        <w:t>ška konvencija</w:t>
      </w:r>
    </w:p>
    <w:p w:rsidR="0036373B" w:rsidRPr="004D2D8C" w:rsidRDefault="00D74C7D" w:rsidP="0036373B">
      <w:pPr>
        <w:jc w:val="both"/>
        <w:rPr>
          <w:rFonts w:ascii="Comic Sans MS" w:hAnsi="Comic Sans MS"/>
          <w:sz w:val="20"/>
          <w:szCs w:val="20"/>
        </w:rPr>
      </w:pPr>
      <w:r w:rsidRPr="004D2D8C">
        <w:rPr>
          <w:rFonts w:ascii="Comic Sans MS" w:hAnsi="Comic Sans MS"/>
          <w:sz w:val="20"/>
          <w:szCs w:val="20"/>
        </w:rPr>
        <w:t xml:space="preserve">Kratica za </w:t>
      </w:r>
      <w:r w:rsidR="00323586" w:rsidRPr="004D2D8C">
        <w:rPr>
          <w:rFonts w:ascii="Comic Sans MS" w:hAnsi="Comic Sans MS"/>
          <w:sz w:val="20"/>
          <w:szCs w:val="20"/>
        </w:rPr>
        <w:t>Konvenciju UNECE (</w:t>
      </w:r>
      <w:r w:rsidRPr="004D2D8C">
        <w:rPr>
          <w:rFonts w:ascii="Comic Sans MS" w:hAnsi="Comic Sans MS"/>
          <w:sz w:val="20"/>
          <w:szCs w:val="20"/>
        </w:rPr>
        <w:t>Ekonomsk</w:t>
      </w:r>
      <w:r w:rsidR="00323586" w:rsidRPr="004D2D8C">
        <w:rPr>
          <w:rFonts w:ascii="Comic Sans MS" w:hAnsi="Comic Sans MS"/>
          <w:sz w:val="20"/>
          <w:szCs w:val="20"/>
        </w:rPr>
        <w:t>a</w:t>
      </w:r>
      <w:r w:rsidRPr="004D2D8C">
        <w:rPr>
          <w:rFonts w:ascii="Comic Sans MS" w:hAnsi="Comic Sans MS"/>
          <w:sz w:val="20"/>
          <w:szCs w:val="20"/>
        </w:rPr>
        <w:t xml:space="preserve"> komisij</w:t>
      </w:r>
      <w:r w:rsidR="00323586" w:rsidRPr="004D2D8C">
        <w:rPr>
          <w:rFonts w:ascii="Comic Sans MS" w:hAnsi="Comic Sans MS"/>
          <w:sz w:val="20"/>
          <w:szCs w:val="20"/>
        </w:rPr>
        <w:t>a</w:t>
      </w:r>
      <w:r w:rsidRPr="004D2D8C">
        <w:rPr>
          <w:rFonts w:ascii="Comic Sans MS" w:hAnsi="Comic Sans MS"/>
          <w:sz w:val="20"/>
          <w:szCs w:val="20"/>
        </w:rPr>
        <w:t xml:space="preserve"> Ujedinjenih naroda za Europu</w:t>
      </w:r>
      <w:r w:rsidR="00323586" w:rsidRPr="004D2D8C">
        <w:rPr>
          <w:rFonts w:ascii="Comic Sans MS" w:hAnsi="Comic Sans MS"/>
          <w:sz w:val="20"/>
          <w:szCs w:val="20"/>
        </w:rPr>
        <w:t xml:space="preserve">) </w:t>
      </w:r>
      <w:r w:rsidRPr="004D2D8C">
        <w:rPr>
          <w:rFonts w:ascii="Comic Sans MS" w:hAnsi="Comic Sans MS"/>
          <w:sz w:val="20"/>
          <w:szCs w:val="20"/>
        </w:rPr>
        <w:t xml:space="preserve">o pristupu informacijama, sudjelovanju javnosti u odlučivanju i pristupu pravosuđu u pitanjima okoliša </w:t>
      </w:r>
      <w:r w:rsidR="00323586" w:rsidRPr="004D2D8C">
        <w:rPr>
          <w:rFonts w:ascii="Comic Sans MS" w:hAnsi="Comic Sans MS"/>
          <w:sz w:val="20"/>
          <w:szCs w:val="20"/>
        </w:rPr>
        <w:t xml:space="preserve">koja je usvojena u </w:t>
      </w:r>
      <w:r w:rsidR="0036373B" w:rsidRPr="004D2D8C">
        <w:rPr>
          <w:rFonts w:ascii="Comic Sans MS" w:hAnsi="Comic Sans MS"/>
          <w:sz w:val="20"/>
          <w:szCs w:val="20"/>
        </w:rPr>
        <w:t>Aarhus</w:t>
      </w:r>
      <w:r w:rsidR="00323586" w:rsidRPr="004D2D8C">
        <w:rPr>
          <w:rFonts w:ascii="Comic Sans MS" w:hAnsi="Comic Sans MS"/>
          <w:sz w:val="20"/>
          <w:szCs w:val="20"/>
        </w:rPr>
        <w:t>u</w:t>
      </w:r>
      <w:r w:rsidR="0036373B" w:rsidRPr="004D2D8C">
        <w:rPr>
          <w:rFonts w:ascii="Comic Sans MS" w:hAnsi="Comic Sans MS"/>
          <w:sz w:val="20"/>
          <w:szCs w:val="20"/>
        </w:rPr>
        <w:t>, D</w:t>
      </w:r>
      <w:r w:rsidR="00323586" w:rsidRPr="004D2D8C">
        <w:rPr>
          <w:rFonts w:ascii="Comic Sans MS" w:hAnsi="Comic Sans MS"/>
          <w:sz w:val="20"/>
          <w:szCs w:val="20"/>
        </w:rPr>
        <w:t>a</w:t>
      </w:r>
      <w:r w:rsidR="0036373B" w:rsidRPr="004D2D8C">
        <w:rPr>
          <w:rFonts w:ascii="Comic Sans MS" w:hAnsi="Comic Sans MS"/>
          <w:sz w:val="20"/>
          <w:szCs w:val="20"/>
        </w:rPr>
        <w:t>n</w:t>
      </w:r>
      <w:r w:rsidR="00323586" w:rsidRPr="004D2D8C">
        <w:rPr>
          <w:rFonts w:ascii="Comic Sans MS" w:hAnsi="Comic Sans MS"/>
          <w:sz w:val="20"/>
          <w:szCs w:val="20"/>
        </w:rPr>
        <w:t>s</w:t>
      </w:r>
      <w:r w:rsidR="0036373B" w:rsidRPr="004D2D8C">
        <w:rPr>
          <w:rFonts w:ascii="Comic Sans MS" w:hAnsi="Comic Sans MS"/>
          <w:sz w:val="20"/>
          <w:szCs w:val="20"/>
        </w:rPr>
        <w:t>k</w:t>
      </w:r>
      <w:r w:rsidR="00323586" w:rsidRPr="004D2D8C">
        <w:rPr>
          <w:rFonts w:ascii="Comic Sans MS" w:hAnsi="Comic Sans MS"/>
          <w:sz w:val="20"/>
          <w:szCs w:val="20"/>
        </w:rPr>
        <w:t>a</w:t>
      </w:r>
      <w:r w:rsidR="0036373B" w:rsidRPr="004D2D8C">
        <w:rPr>
          <w:rFonts w:ascii="Comic Sans MS" w:hAnsi="Comic Sans MS"/>
          <w:sz w:val="20"/>
          <w:szCs w:val="20"/>
        </w:rPr>
        <w:t xml:space="preserve"> 1998</w:t>
      </w:r>
      <w:r w:rsidR="00323586" w:rsidRPr="004D2D8C">
        <w:rPr>
          <w:rFonts w:ascii="Comic Sans MS" w:hAnsi="Comic Sans MS"/>
          <w:sz w:val="20"/>
          <w:szCs w:val="20"/>
        </w:rPr>
        <w:t xml:space="preserve">. godine i koja je stupila na snagu </w:t>
      </w:r>
      <w:r w:rsidR="0036373B" w:rsidRPr="004D2D8C">
        <w:rPr>
          <w:rFonts w:ascii="Comic Sans MS" w:hAnsi="Comic Sans MS"/>
          <w:sz w:val="20"/>
          <w:szCs w:val="20"/>
        </w:rPr>
        <w:t>2001</w:t>
      </w:r>
      <w:r w:rsidR="00323586" w:rsidRPr="004D2D8C">
        <w:rPr>
          <w:rFonts w:ascii="Comic Sans MS" w:hAnsi="Comic Sans MS"/>
          <w:sz w:val="20"/>
          <w:szCs w:val="20"/>
        </w:rPr>
        <w:t>. godine</w:t>
      </w:r>
      <w:r w:rsidR="0036373B" w:rsidRPr="004D2D8C">
        <w:rPr>
          <w:rFonts w:ascii="Comic Sans MS" w:hAnsi="Comic Sans MS"/>
          <w:sz w:val="20"/>
          <w:szCs w:val="20"/>
        </w:rPr>
        <w:t xml:space="preserve">. </w:t>
      </w:r>
      <w:r w:rsidR="00323586" w:rsidRPr="004D2D8C">
        <w:rPr>
          <w:rFonts w:ascii="Comic Sans MS" w:hAnsi="Comic Sans MS"/>
          <w:sz w:val="20"/>
          <w:szCs w:val="20"/>
        </w:rPr>
        <w:t>Izvor</w:t>
      </w:r>
      <w:r w:rsidR="0036373B" w:rsidRPr="004D2D8C">
        <w:rPr>
          <w:rFonts w:ascii="Comic Sans MS" w:hAnsi="Comic Sans MS"/>
          <w:sz w:val="20"/>
          <w:szCs w:val="20"/>
        </w:rPr>
        <w:t xml:space="preserve">: UNECE </w:t>
      </w:r>
      <w:r w:rsidR="00323586" w:rsidRPr="004D2D8C">
        <w:rPr>
          <w:rFonts w:ascii="Comic Sans MS" w:hAnsi="Comic Sans MS"/>
          <w:sz w:val="20"/>
          <w:szCs w:val="20"/>
        </w:rPr>
        <w:t>web stranice</w:t>
      </w:r>
      <w:r w:rsidR="0036373B" w:rsidRPr="004D2D8C">
        <w:rPr>
          <w:rFonts w:ascii="Comic Sans MS" w:hAnsi="Comic Sans MS"/>
          <w:sz w:val="20"/>
          <w:szCs w:val="20"/>
        </w:rPr>
        <w:t xml:space="preserve"> </w:t>
      </w:r>
      <w:r w:rsidR="00323586" w:rsidRPr="004D2D8C">
        <w:rPr>
          <w:rFonts w:ascii="Comic Sans MS" w:hAnsi="Comic Sans MS"/>
          <w:sz w:val="20"/>
          <w:szCs w:val="20"/>
        </w:rPr>
        <w:t>–</w:t>
      </w:r>
      <w:r w:rsidR="0036373B" w:rsidRPr="004D2D8C">
        <w:rPr>
          <w:rFonts w:ascii="Comic Sans MS" w:hAnsi="Comic Sans MS"/>
          <w:sz w:val="20"/>
          <w:szCs w:val="20"/>
        </w:rPr>
        <w:t xml:space="preserve"> </w:t>
      </w:r>
      <w:r w:rsidR="00323586" w:rsidRPr="004D2D8C">
        <w:rPr>
          <w:rFonts w:ascii="Comic Sans MS" w:hAnsi="Comic Sans MS"/>
          <w:sz w:val="20"/>
          <w:szCs w:val="20"/>
        </w:rPr>
        <w:t xml:space="preserve">Vidi također </w:t>
      </w:r>
      <w:r w:rsidR="0036373B" w:rsidRPr="004D2D8C">
        <w:rPr>
          <w:rFonts w:ascii="Comic Sans MS" w:hAnsi="Comic Sans MS"/>
          <w:sz w:val="20"/>
          <w:szCs w:val="20"/>
        </w:rPr>
        <w:t>EIB</w:t>
      </w:r>
      <w:r w:rsidR="00323586" w:rsidRPr="004D2D8C">
        <w:rPr>
          <w:rFonts w:ascii="Comic Sans MS" w:hAnsi="Comic Sans MS"/>
          <w:sz w:val="20"/>
          <w:szCs w:val="20"/>
        </w:rPr>
        <w:t xml:space="preserve">-ovu Politiku javnog objavljivanja </w:t>
      </w:r>
      <w:r w:rsidR="0036373B" w:rsidRPr="004D2D8C">
        <w:rPr>
          <w:rFonts w:ascii="Comic Sans MS" w:hAnsi="Comic Sans MS"/>
          <w:sz w:val="20"/>
          <w:szCs w:val="20"/>
        </w:rPr>
        <w:t xml:space="preserve">– </w:t>
      </w:r>
      <w:r w:rsidR="00323586" w:rsidRPr="004D2D8C">
        <w:rPr>
          <w:rFonts w:ascii="Comic Sans MS" w:hAnsi="Comic Sans MS"/>
          <w:sz w:val="20"/>
          <w:szCs w:val="20"/>
        </w:rPr>
        <w:t>srpanj</w:t>
      </w:r>
      <w:r w:rsidR="0036373B" w:rsidRPr="004D2D8C">
        <w:rPr>
          <w:rFonts w:ascii="Comic Sans MS" w:hAnsi="Comic Sans MS"/>
          <w:sz w:val="20"/>
          <w:szCs w:val="20"/>
        </w:rPr>
        <w:t xml:space="preserve"> 2007</w:t>
      </w:r>
      <w:r w:rsidR="00323586" w:rsidRPr="004D2D8C">
        <w:rPr>
          <w:rFonts w:ascii="Comic Sans MS" w:hAnsi="Comic Sans MS"/>
          <w:sz w:val="20"/>
          <w:szCs w:val="20"/>
        </w:rPr>
        <w:t>.</w:t>
      </w:r>
    </w:p>
    <w:p w:rsidR="0036373B" w:rsidRPr="004D2D8C" w:rsidRDefault="0036373B" w:rsidP="0036373B">
      <w:pPr>
        <w:jc w:val="both"/>
        <w:rPr>
          <w:rFonts w:ascii="Comic Sans MS" w:hAnsi="Comic Sans MS"/>
          <w:b/>
          <w:sz w:val="20"/>
          <w:szCs w:val="20"/>
        </w:rPr>
      </w:pPr>
      <w:r w:rsidRPr="004D2D8C">
        <w:rPr>
          <w:rFonts w:ascii="Comic Sans MS" w:hAnsi="Comic Sans MS"/>
          <w:b/>
          <w:sz w:val="20"/>
          <w:szCs w:val="20"/>
        </w:rPr>
        <w:t>Aarhu</w:t>
      </w:r>
      <w:r w:rsidR="00D74C7D" w:rsidRPr="004D2D8C">
        <w:rPr>
          <w:rFonts w:ascii="Comic Sans MS" w:hAnsi="Comic Sans MS"/>
          <w:b/>
          <w:sz w:val="20"/>
          <w:szCs w:val="20"/>
        </w:rPr>
        <w:t>ška uredba</w:t>
      </w:r>
    </w:p>
    <w:p w:rsidR="0036373B" w:rsidRPr="004D2D8C" w:rsidRDefault="00D74C7D" w:rsidP="0036373B">
      <w:pPr>
        <w:jc w:val="both"/>
        <w:rPr>
          <w:rFonts w:ascii="Comic Sans MS" w:hAnsi="Comic Sans MS"/>
          <w:sz w:val="20"/>
          <w:szCs w:val="20"/>
        </w:rPr>
      </w:pPr>
      <w:r w:rsidRPr="004D2D8C">
        <w:rPr>
          <w:rFonts w:ascii="Comic Sans MS" w:hAnsi="Comic Sans MS"/>
          <w:sz w:val="20"/>
          <w:szCs w:val="20"/>
        </w:rPr>
        <w:t xml:space="preserve">Uredba </w:t>
      </w:r>
      <w:r w:rsidR="0036373B" w:rsidRPr="004D2D8C">
        <w:rPr>
          <w:rFonts w:ascii="Comic Sans MS" w:hAnsi="Comic Sans MS"/>
          <w:sz w:val="20"/>
          <w:szCs w:val="20"/>
        </w:rPr>
        <w:t>(E</w:t>
      </w:r>
      <w:r w:rsidRPr="004D2D8C">
        <w:rPr>
          <w:rFonts w:ascii="Comic Sans MS" w:hAnsi="Comic Sans MS"/>
          <w:sz w:val="20"/>
          <w:szCs w:val="20"/>
        </w:rPr>
        <w:t>Z</w:t>
      </w:r>
      <w:r w:rsidR="0036373B" w:rsidRPr="004D2D8C">
        <w:rPr>
          <w:rFonts w:ascii="Comic Sans MS" w:hAnsi="Comic Sans MS"/>
          <w:sz w:val="20"/>
          <w:szCs w:val="20"/>
        </w:rPr>
        <w:t xml:space="preserve">) </w:t>
      </w:r>
      <w:r w:rsidRPr="004D2D8C">
        <w:rPr>
          <w:rFonts w:ascii="Comic Sans MS" w:hAnsi="Comic Sans MS"/>
          <w:sz w:val="20"/>
          <w:szCs w:val="20"/>
        </w:rPr>
        <w:t>br.</w:t>
      </w:r>
      <w:r w:rsidR="0036373B" w:rsidRPr="004D2D8C">
        <w:rPr>
          <w:rFonts w:ascii="Comic Sans MS" w:hAnsi="Comic Sans MS"/>
          <w:sz w:val="20"/>
          <w:szCs w:val="20"/>
        </w:rPr>
        <w:t xml:space="preserve"> 1367/2006 Europ</w:t>
      </w:r>
      <w:r w:rsidRPr="004D2D8C">
        <w:rPr>
          <w:rFonts w:ascii="Comic Sans MS" w:hAnsi="Comic Sans MS"/>
          <w:sz w:val="20"/>
          <w:szCs w:val="20"/>
        </w:rPr>
        <w:t xml:space="preserve">skog parlamenta i Vijeća od </w:t>
      </w:r>
      <w:r w:rsidR="0036373B" w:rsidRPr="004D2D8C">
        <w:rPr>
          <w:rFonts w:ascii="Comic Sans MS" w:hAnsi="Comic Sans MS"/>
          <w:sz w:val="20"/>
          <w:szCs w:val="20"/>
        </w:rPr>
        <w:t>6</w:t>
      </w:r>
      <w:r w:rsidRPr="004D2D8C">
        <w:rPr>
          <w:rFonts w:ascii="Comic Sans MS" w:hAnsi="Comic Sans MS"/>
          <w:sz w:val="20"/>
          <w:szCs w:val="20"/>
        </w:rPr>
        <w:t xml:space="preserve">. rujna </w:t>
      </w:r>
      <w:r w:rsidR="0036373B" w:rsidRPr="004D2D8C">
        <w:rPr>
          <w:rFonts w:ascii="Comic Sans MS" w:hAnsi="Comic Sans MS"/>
          <w:sz w:val="20"/>
          <w:szCs w:val="20"/>
        </w:rPr>
        <w:t>2006</w:t>
      </w:r>
      <w:r w:rsidRPr="004D2D8C">
        <w:rPr>
          <w:rFonts w:ascii="Comic Sans MS" w:hAnsi="Comic Sans MS"/>
          <w:sz w:val="20"/>
          <w:szCs w:val="20"/>
        </w:rPr>
        <w:t>.</w:t>
      </w:r>
      <w:r w:rsidR="0036373B" w:rsidRPr="004D2D8C">
        <w:rPr>
          <w:rFonts w:ascii="Comic Sans MS" w:hAnsi="Comic Sans MS"/>
          <w:sz w:val="20"/>
          <w:szCs w:val="20"/>
        </w:rPr>
        <w:t xml:space="preserve"> o</w:t>
      </w:r>
      <w:r w:rsidRPr="004D2D8C">
        <w:rPr>
          <w:rFonts w:ascii="Comic Sans MS" w:hAnsi="Comic Sans MS"/>
          <w:sz w:val="20"/>
          <w:szCs w:val="20"/>
        </w:rPr>
        <w:t xml:space="preserve"> primjeni odredaba Aarhuške konvencije o pristupu informacijama, sudjelovanju javnosti u odlučivanju i pristupu pravosuđu u pitanjima okoliša na institucije i tijela Zajednice</w:t>
      </w:r>
      <w:r w:rsidR="0036373B" w:rsidRPr="004D2D8C">
        <w:rPr>
          <w:rFonts w:ascii="Comic Sans MS" w:hAnsi="Comic Sans MS"/>
          <w:sz w:val="20"/>
          <w:szCs w:val="20"/>
        </w:rPr>
        <w:t xml:space="preserve">. </w:t>
      </w:r>
      <w:r w:rsidRPr="004D2D8C">
        <w:rPr>
          <w:rFonts w:ascii="Comic Sans MS" w:hAnsi="Comic Sans MS"/>
          <w:sz w:val="20"/>
          <w:szCs w:val="20"/>
        </w:rPr>
        <w:t>Izvor</w:t>
      </w:r>
      <w:r w:rsidR="0036373B" w:rsidRPr="004D2D8C">
        <w:rPr>
          <w:rFonts w:ascii="Comic Sans MS" w:hAnsi="Comic Sans MS"/>
          <w:sz w:val="20"/>
          <w:szCs w:val="20"/>
        </w:rPr>
        <w:t>: E</w:t>
      </w:r>
      <w:r w:rsidRPr="004D2D8C">
        <w:rPr>
          <w:rFonts w:ascii="Comic Sans MS" w:hAnsi="Comic Sans MS"/>
          <w:sz w:val="20"/>
          <w:szCs w:val="20"/>
        </w:rPr>
        <w:t>K</w:t>
      </w:r>
      <w:r w:rsidR="0036373B" w:rsidRPr="004D2D8C">
        <w:rPr>
          <w:rFonts w:ascii="Comic Sans MS" w:hAnsi="Comic Sans MS"/>
          <w:sz w:val="20"/>
          <w:szCs w:val="20"/>
        </w:rPr>
        <w:t>-</w:t>
      </w:r>
      <w:r w:rsidRPr="004D2D8C">
        <w:rPr>
          <w:rFonts w:ascii="Comic Sans MS" w:hAnsi="Comic Sans MS"/>
          <w:sz w:val="20"/>
          <w:szCs w:val="20"/>
        </w:rPr>
        <w:t xml:space="preserve">Opća uprava za okoliš – Vidi također </w:t>
      </w:r>
      <w:r w:rsidR="0036373B" w:rsidRPr="004D2D8C">
        <w:rPr>
          <w:rFonts w:ascii="Comic Sans MS" w:hAnsi="Comic Sans MS"/>
          <w:sz w:val="20"/>
          <w:szCs w:val="20"/>
        </w:rPr>
        <w:t>EIB</w:t>
      </w:r>
      <w:r w:rsidRPr="004D2D8C">
        <w:rPr>
          <w:rFonts w:ascii="Comic Sans MS" w:hAnsi="Comic Sans MS"/>
          <w:sz w:val="20"/>
          <w:szCs w:val="20"/>
        </w:rPr>
        <w:t>-ov</w:t>
      </w:r>
      <w:r w:rsidR="00323586" w:rsidRPr="004D2D8C">
        <w:rPr>
          <w:rFonts w:ascii="Comic Sans MS" w:hAnsi="Comic Sans MS"/>
          <w:sz w:val="20"/>
          <w:szCs w:val="20"/>
        </w:rPr>
        <w:t>u P</w:t>
      </w:r>
      <w:r w:rsidRPr="004D2D8C">
        <w:rPr>
          <w:rFonts w:ascii="Comic Sans MS" w:hAnsi="Comic Sans MS"/>
          <w:sz w:val="20"/>
          <w:szCs w:val="20"/>
        </w:rPr>
        <w:t>olitik</w:t>
      </w:r>
      <w:r w:rsidR="00323586" w:rsidRPr="004D2D8C">
        <w:rPr>
          <w:rFonts w:ascii="Comic Sans MS" w:hAnsi="Comic Sans MS"/>
          <w:sz w:val="20"/>
          <w:szCs w:val="20"/>
        </w:rPr>
        <w:t>u</w:t>
      </w:r>
      <w:r w:rsidRPr="004D2D8C">
        <w:rPr>
          <w:rFonts w:ascii="Comic Sans MS" w:hAnsi="Comic Sans MS"/>
          <w:sz w:val="20"/>
          <w:szCs w:val="20"/>
        </w:rPr>
        <w:t xml:space="preserve"> javnog objavljivanja </w:t>
      </w:r>
      <w:r w:rsidR="0036373B" w:rsidRPr="004D2D8C">
        <w:rPr>
          <w:rFonts w:ascii="Comic Sans MS" w:hAnsi="Comic Sans MS"/>
          <w:sz w:val="20"/>
          <w:szCs w:val="20"/>
        </w:rPr>
        <w:t>(</w:t>
      </w:r>
      <w:r w:rsidRPr="004D2D8C">
        <w:rPr>
          <w:rFonts w:ascii="Comic Sans MS" w:hAnsi="Comic Sans MS"/>
          <w:sz w:val="20"/>
          <w:szCs w:val="20"/>
        </w:rPr>
        <w:t>srpanj</w:t>
      </w:r>
      <w:r w:rsidR="0036373B" w:rsidRPr="004D2D8C">
        <w:rPr>
          <w:rFonts w:ascii="Comic Sans MS" w:hAnsi="Comic Sans MS"/>
          <w:sz w:val="20"/>
          <w:szCs w:val="20"/>
        </w:rPr>
        <w:t xml:space="preserve"> 2007</w:t>
      </w:r>
      <w:r w:rsidRPr="004D2D8C">
        <w:rPr>
          <w:rFonts w:ascii="Comic Sans MS" w:hAnsi="Comic Sans MS"/>
          <w:sz w:val="20"/>
          <w:szCs w:val="20"/>
        </w:rPr>
        <w:t>.</w:t>
      </w:r>
      <w:r w:rsidR="0036373B" w:rsidRPr="004D2D8C">
        <w:rPr>
          <w:rFonts w:ascii="Comic Sans MS" w:hAnsi="Comic Sans MS"/>
          <w:sz w:val="20"/>
          <w:szCs w:val="20"/>
        </w:rPr>
        <w:t>).</w:t>
      </w:r>
    </w:p>
    <w:p w:rsidR="0036373B" w:rsidRPr="004D2D8C" w:rsidRDefault="0036373B" w:rsidP="0036373B">
      <w:pPr>
        <w:jc w:val="both"/>
        <w:rPr>
          <w:rFonts w:ascii="Comic Sans MS" w:hAnsi="Comic Sans MS"/>
          <w:b/>
          <w:sz w:val="20"/>
          <w:szCs w:val="20"/>
        </w:rPr>
      </w:pPr>
      <w:r w:rsidRPr="004D2D8C">
        <w:rPr>
          <w:rFonts w:ascii="Comic Sans MS" w:hAnsi="Comic Sans MS"/>
          <w:b/>
          <w:sz w:val="20"/>
          <w:szCs w:val="20"/>
        </w:rPr>
        <w:t>Acquis Communautaire</w:t>
      </w:r>
      <w:r w:rsidR="00A3791D" w:rsidRPr="004D2D8C">
        <w:rPr>
          <w:rFonts w:ascii="Comic Sans MS" w:hAnsi="Comic Sans MS"/>
          <w:b/>
          <w:sz w:val="20"/>
          <w:szCs w:val="20"/>
        </w:rPr>
        <w:t xml:space="preserve"> (pravna stečevina)</w:t>
      </w:r>
    </w:p>
    <w:p w:rsidR="0036373B" w:rsidRPr="004D2D8C" w:rsidRDefault="00A3791D" w:rsidP="0036373B">
      <w:pPr>
        <w:jc w:val="both"/>
        <w:rPr>
          <w:rFonts w:ascii="Comic Sans MS" w:hAnsi="Comic Sans MS"/>
          <w:sz w:val="20"/>
          <w:szCs w:val="20"/>
        </w:rPr>
      </w:pPr>
      <w:r w:rsidRPr="004D2D8C">
        <w:rPr>
          <w:rFonts w:ascii="Comic Sans MS" w:hAnsi="Comic Sans MS"/>
          <w:sz w:val="20"/>
          <w:szCs w:val="20"/>
        </w:rPr>
        <w:t>Prava i obveze</w:t>
      </w:r>
      <w:r w:rsidR="00953DFC" w:rsidRPr="004D2D8C">
        <w:rPr>
          <w:rFonts w:ascii="Comic Sans MS" w:hAnsi="Comic Sans MS"/>
          <w:sz w:val="20"/>
          <w:szCs w:val="20"/>
        </w:rPr>
        <w:t xml:space="preserve"> koje dijele </w:t>
      </w:r>
      <w:r w:rsidR="00291F92" w:rsidRPr="004D2D8C">
        <w:rPr>
          <w:rFonts w:ascii="Comic Sans MS" w:hAnsi="Comic Sans MS"/>
          <w:sz w:val="20"/>
          <w:szCs w:val="20"/>
        </w:rPr>
        <w:t xml:space="preserve">države </w:t>
      </w:r>
      <w:r w:rsidR="00953DFC" w:rsidRPr="004D2D8C">
        <w:rPr>
          <w:rFonts w:ascii="Comic Sans MS" w:hAnsi="Comic Sans MS"/>
          <w:sz w:val="20"/>
          <w:szCs w:val="20"/>
        </w:rPr>
        <w:t xml:space="preserve">članice </w:t>
      </w:r>
      <w:r w:rsidR="0036373B" w:rsidRPr="004D2D8C">
        <w:rPr>
          <w:rFonts w:ascii="Comic Sans MS" w:hAnsi="Comic Sans MS"/>
          <w:sz w:val="20"/>
          <w:szCs w:val="20"/>
        </w:rPr>
        <w:t>EU</w:t>
      </w:r>
      <w:r w:rsidR="00953DFC" w:rsidRPr="004D2D8C">
        <w:rPr>
          <w:rFonts w:ascii="Comic Sans MS" w:hAnsi="Comic Sans MS"/>
          <w:sz w:val="20"/>
          <w:szCs w:val="20"/>
        </w:rPr>
        <w:t>-a</w:t>
      </w:r>
      <w:r w:rsidR="0036373B" w:rsidRPr="004D2D8C">
        <w:rPr>
          <w:rFonts w:ascii="Comic Sans MS" w:hAnsi="Comic Sans MS"/>
          <w:sz w:val="20"/>
          <w:szCs w:val="20"/>
        </w:rPr>
        <w:t xml:space="preserve">. </w:t>
      </w:r>
      <w:r w:rsidR="00953DFC" w:rsidRPr="004D2D8C">
        <w:rPr>
          <w:rFonts w:ascii="Comic Sans MS" w:hAnsi="Comic Sans MS"/>
          <w:sz w:val="20"/>
          <w:szCs w:val="20"/>
        </w:rPr>
        <w:t>„A</w:t>
      </w:r>
      <w:r w:rsidR="0036373B" w:rsidRPr="004D2D8C">
        <w:rPr>
          <w:rFonts w:ascii="Comic Sans MS" w:hAnsi="Comic Sans MS"/>
          <w:sz w:val="20"/>
          <w:szCs w:val="20"/>
        </w:rPr>
        <w:t>cquis</w:t>
      </w:r>
      <w:r w:rsidR="00953DFC" w:rsidRPr="004D2D8C">
        <w:rPr>
          <w:rFonts w:ascii="Comic Sans MS" w:hAnsi="Comic Sans MS"/>
          <w:sz w:val="20"/>
          <w:szCs w:val="20"/>
        </w:rPr>
        <w:t>“</w:t>
      </w:r>
      <w:r w:rsidR="0036373B" w:rsidRPr="004D2D8C">
        <w:rPr>
          <w:rFonts w:ascii="Comic Sans MS" w:hAnsi="Comic Sans MS"/>
          <w:sz w:val="20"/>
          <w:szCs w:val="20"/>
        </w:rPr>
        <w:t xml:space="preserve"> </w:t>
      </w:r>
      <w:r w:rsidR="00953DFC" w:rsidRPr="004D2D8C">
        <w:rPr>
          <w:rFonts w:ascii="Comic Sans MS" w:hAnsi="Comic Sans MS"/>
          <w:sz w:val="20"/>
          <w:szCs w:val="20"/>
        </w:rPr>
        <w:t xml:space="preserve">obuhvaća sve ugovore i zakone </w:t>
      </w:r>
      <w:r w:rsidR="0036373B" w:rsidRPr="004D2D8C">
        <w:rPr>
          <w:rFonts w:ascii="Comic Sans MS" w:hAnsi="Comic Sans MS"/>
          <w:sz w:val="20"/>
          <w:szCs w:val="20"/>
        </w:rPr>
        <w:t>EU</w:t>
      </w:r>
      <w:r w:rsidR="00953DFC" w:rsidRPr="004D2D8C">
        <w:rPr>
          <w:rFonts w:ascii="Comic Sans MS" w:hAnsi="Comic Sans MS"/>
          <w:sz w:val="20"/>
          <w:szCs w:val="20"/>
        </w:rPr>
        <w:t>-a</w:t>
      </w:r>
      <w:r w:rsidR="0036373B" w:rsidRPr="004D2D8C">
        <w:rPr>
          <w:rFonts w:ascii="Comic Sans MS" w:hAnsi="Comic Sans MS"/>
          <w:sz w:val="20"/>
          <w:szCs w:val="20"/>
        </w:rPr>
        <w:t xml:space="preserve">, </w:t>
      </w:r>
      <w:r w:rsidR="00953DFC" w:rsidRPr="004D2D8C">
        <w:rPr>
          <w:rFonts w:ascii="Comic Sans MS" w:hAnsi="Comic Sans MS"/>
          <w:sz w:val="20"/>
          <w:szCs w:val="20"/>
        </w:rPr>
        <w:t xml:space="preserve">deklaracije i rezolucije te međunarodne sporazume o pitanjima </w:t>
      </w:r>
      <w:r w:rsidR="0036373B" w:rsidRPr="004D2D8C">
        <w:rPr>
          <w:rFonts w:ascii="Comic Sans MS" w:hAnsi="Comic Sans MS"/>
          <w:sz w:val="20"/>
          <w:szCs w:val="20"/>
        </w:rPr>
        <w:t>EU</w:t>
      </w:r>
      <w:r w:rsidR="00953DFC" w:rsidRPr="004D2D8C">
        <w:rPr>
          <w:rFonts w:ascii="Comic Sans MS" w:hAnsi="Comic Sans MS"/>
          <w:sz w:val="20"/>
          <w:szCs w:val="20"/>
        </w:rPr>
        <w:t xml:space="preserve">-a </w:t>
      </w:r>
      <w:r w:rsidR="00106206" w:rsidRPr="004D2D8C">
        <w:rPr>
          <w:rFonts w:ascii="Comic Sans MS" w:hAnsi="Comic Sans MS"/>
          <w:sz w:val="20"/>
          <w:szCs w:val="20"/>
        </w:rPr>
        <w:t>kao i</w:t>
      </w:r>
      <w:r w:rsidR="00953DFC" w:rsidRPr="004D2D8C">
        <w:rPr>
          <w:rFonts w:ascii="Comic Sans MS" w:hAnsi="Comic Sans MS"/>
          <w:sz w:val="20"/>
          <w:szCs w:val="20"/>
        </w:rPr>
        <w:t xml:space="preserve"> presude Europskog suda</w:t>
      </w:r>
      <w:r w:rsidR="0036373B" w:rsidRPr="004D2D8C">
        <w:rPr>
          <w:rFonts w:ascii="Comic Sans MS" w:hAnsi="Comic Sans MS"/>
          <w:sz w:val="20"/>
          <w:szCs w:val="20"/>
        </w:rPr>
        <w:t>.</w:t>
      </w:r>
      <w:r w:rsidR="00953DFC" w:rsidRPr="004D2D8C">
        <w:rPr>
          <w:rFonts w:ascii="Comic Sans MS" w:hAnsi="Comic Sans MS"/>
          <w:sz w:val="20"/>
          <w:szCs w:val="20"/>
        </w:rPr>
        <w:t xml:space="preserve"> </w:t>
      </w:r>
      <w:r w:rsidR="00291F92" w:rsidRPr="004D2D8C">
        <w:rPr>
          <w:rFonts w:ascii="Comic Sans MS" w:hAnsi="Comic Sans MS"/>
          <w:sz w:val="20"/>
          <w:szCs w:val="20"/>
        </w:rPr>
        <w:t xml:space="preserve">Države </w:t>
      </w:r>
      <w:r w:rsidR="00953DFC" w:rsidRPr="004D2D8C">
        <w:rPr>
          <w:rFonts w:ascii="Comic Sans MS" w:hAnsi="Comic Sans MS"/>
          <w:sz w:val="20"/>
          <w:szCs w:val="20"/>
        </w:rPr>
        <w:t>kandidatkinje moraju prihvatiti „</w:t>
      </w:r>
      <w:r w:rsidR="0036373B" w:rsidRPr="004D2D8C">
        <w:rPr>
          <w:rFonts w:ascii="Comic Sans MS" w:hAnsi="Comic Sans MS"/>
          <w:sz w:val="20"/>
          <w:szCs w:val="20"/>
        </w:rPr>
        <w:t>acquis</w:t>
      </w:r>
      <w:r w:rsidR="00953DFC" w:rsidRPr="004D2D8C">
        <w:rPr>
          <w:rFonts w:ascii="Comic Sans MS" w:hAnsi="Comic Sans MS"/>
          <w:sz w:val="20"/>
          <w:szCs w:val="20"/>
        </w:rPr>
        <w:t>“ prije pristupanja Europskoj uniji i moraju zakonodavstvo EU-a unijeti u svoja vlastita zakonodavstva</w:t>
      </w:r>
      <w:r w:rsidR="0036373B" w:rsidRPr="004D2D8C">
        <w:rPr>
          <w:rFonts w:ascii="Comic Sans MS" w:hAnsi="Comic Sans MS"/>
          <w:sz w:val="20"/>
          <w:szCs w:val="20"/>
        </w:rPr>
        <w:t xml:space="preserve">. </w:t>
      </w:r>
      <w:r w:rsidR="00953DFC" w:rsidRPr="004D2D8C">
        <w:rPr>
          <w:rFonts w:ascii="Comic Sans MS" w:hAnsi="Comic Sans MS"/>
          <w:sz w:val="20"/>
          <w:szCs w:val="20"/>
        </w:rPr>
        <w:t>Izvor</w:t>
      </w:r>
      <w:r w:rsidR="0036373B" w:rsidRPr="004D2D8C">
        <w:rPr>
          <w:rFonts w:ascii="Comic Sans MS" w:hAnsi="Comic Sans MS"/>
          <w:sz w:val="20"/>
          <w:szCs w:val="20"/>
        </w:rPr>
        <w:t>: Europa Glossary.</w:t>
      </w:r>
    </w:p>
    <w:p w:rsidR="0036373B" w:rsidRPr="004D2D8C" w:rsidRDefault="00953DFC" w:rsidP="00953DFC">
      <w:pPr>
        <w:jc w:val="both"/>
        <w:rPr>
          <w:rFonts w:ascii="Comic Sans MS" w:hAnsi="Comic Sans MS"/>
          <w:sz w:val="20"/>
          <w:szCs w:val="20"/>
        </w:rPr>
      </w:pPr>
      <w:r w:rsidRPr="004D2D8C">
        <w:rPr>
          <w:rFonts w:ascii="Comic Sans MS" w:hAnsi="Comic Sans MS"/>
          <w:sz w:val="20"/>
          <w:szCs w:val="20"/>
          <w:u w:val="single"/>
        </w:rPr>
        <w:t xml:space="preserve">Okolišni </w:t>
      </w:r>
      <w:r w:rsidR="0036373B" w:rsidRPr="004D2D8C">
        <w:rPr>
          <w:rFonts w:ascii="Comic Sans MS" w:hAnsi="Comic Sans MS"/>
          <w:sz w:val="20"/>
          <w:szCs w:val="20"/>
          <w:u w:val="single"/>
        </w:rPr>
        <w:t>Acquis</w:t>
      </w:r>
      <w:r w:rsidRPr="004D2D8C">
        <w:rPr>
          <w:rFonts w:ascii="Comic Sans MS" w:hAnsi="Comic Sans MS"/>
          <w:sz w:val="20"/>
          <w:szCs w:val="20"/>
        </w:rPr>
        <w:t xml:space="preserve"> sadržava oko </w:t>
      </w:r>
      <w:r w:rsidR="0036373B" w:rsidRPr="004D2D8C">
        <w:rPr>
          <w:rFonts w:ascii="Comic Sans MS" w:hAnsi="Comic Sans MS"/>
          <w:sz w:val="20"/>
          <w:szCs w:val="20"/>
        </w:rPr>
        <w:t xml:space="preserve">300 </w:t>
      </w:r>
      <w:r w:rsidRPr="004D2D8C">
        <w:rPr>
          <w:rFonts w:ascii="Comic Sans MS" w:hAnsi="Comic Sans MS"/>
          <w:sz w:val="20"/>
          <w:szCs w:val="20"/>
        </w:rPr>
        <w:t>direktiva i pokriva aktivnosti vezane za zaštitu okoliša, zagađenje i druge aktivnosti, proizvodne procese</w:t>
      </w:r>
      <w:r w:rsidR="0036373B" w:rsidRPr="004D2D8C">
        <w:rPr>
          <w:rFonts w:ascii="Comic Sans MS" w:hAnsi="Comic Sans MS"/>
          <w:sz w:val="20"/>
          <w:szCs w:val="20"/>
        </w:rPr>
        <w:t>, p</w:t>
      </w:r>
      <w:r w:rsidRPr="004D2D8C">
        <w:rPr>
          <w:rFonts w:ascii="Comic Sans MS" w:hAnsi="Comic Sans MS"/>
          <w:sz w:val="20"/>
          <w:szCs w:val="20"/>
        </w:rPr>
        <w:t>rocedure i proceduralna prava te</w:t>
      </w:r>
      <w:r w:rsidR="0036373B" w:rsidRPr="004D2D8C">
        <w:rPr>
          <w:rFonts w:ascii="Comic Sans MS" w:hAnsi="Comic Sans MS"/>
          <w:sz w:val="20"/>
          <w:szCs w:val="20"/>
        </w:rPr>
        <w:t xml:space="preserve"> pro</w:t>
      </w:r>
      <w:r w:rsidRPr="004D2D8C">
        <w:rPr>
          <w:rFonts w:ascii="Comic Sans MS" w:hAnsi="Comic Sans MS"/>
          <w:sz w:val="20"/>
          <w:szCs w:val="20"/>
        </w:rPr>
        <w:t xml:space="preserve">izvode i unakrsna pitanja </w:t>
      </w:r>
      <w:r w:rsidR="0036373B" w:rsidRPr="004D2D8C">
        <w:rPr>
          <w:rFonts w:ascii="Comic Sans MS" w:hAnsi="Comic Sans MS"/>
          <w:sz w:val="20"/>
          <w:szCs w:val="20"/>
        </w:rPr>
        <w:t>(</w:t>
      </w:r>
      <w:r w:rsidR="00097E35" w:rsidRPr="004D2D8C">
        <w:rPr>
          <w:rFonts w:ascii="Comic Sans MS" w:hAnsi="Comic Sans MS"/>
          <w:sz w:val="20"/>
          <w:szCs w:val="20"/>
        </w:rPr>
        <w:t xml:space="preserve">npr. </w:t>
      </w:r>
      <w:r w:rsidR="00566ED1" w:rsidRPr="004D2D8C">
        <w:rPr>
          <w:rFonts w:ascii="Comic Sans MS" w:hAnsi="Comic Sans MS"/>
          <w:sz w:val="20"/>
          <w:szCs w:val="20"/>
        </w:rPr>
        <w:t>p</w:t>
      </w:r>
      <w:r w:rsidR="00097E35" w:rsidRPr="004D2D8C">
        <w:rPr>
          <w:rFonts w:ascii="Comic Sans MS" w:hAnsi="Comic Sans MS"/>
          <w:sz w:val="20"/>
          <w:szCs w:val="20"/>
        </w:rPr>
        <w:t xml:space="preserve">rocjena </w:t>
      </w:r>
      <w:r w:rsidRPr="004D2D8C">
        <w:rPr>
          <w:rFonts w:ascii="Comic Sans MS" w:hAnsi="Comic Sans MS"/>
          <w:sz w:val="20"/>
          <w:szCs w:val="20"/>
        </w:rPr>
        <w:t>utjecaja na okoliš</w:t>
      </w:r>
      <w:r w:rsidR="0036373B" w:rsidRPr="004D2D8C">
        <w:rPr>
          <w:rFonts w:ascii="Comic Sans MS" w:hAnsi="Comic Sans MS"/>
          <w:sz w:val="20"/>
          <w:szCs w:val="20"/>
        </w:rPr>
        <w:t>,</w:t>
      </w:r>
      <w:r w:rsidR="00AD7447" w:rsidRPr="004D2D8C">
        <w:rPr>
          <w:rFonts w:ascii="Comic Sans MS" w:hAnsi="Comic Sans MS"/>
          <w:sz w:val="20"/>
          <w:szCs w:val="20"/>
        </w:rPr>
        <w:t xml:space="preserve"> dostupnost informacija o okolišu i suzbijanje klimatskih promjena</w:t>
      </w:r>
      <w:r w:rsidR="0036373B" w:rsidRPr="004D2D8C">
        <w:rPr>
          <w:rFonts w:ascii="Comic Sans MS" w:hAnsi="Comic Sans MS"/>
          <w:sz w:val="20"/>
          <w:szCs w:val="20"/>
        </w:rPr>
        <w:t xml:space="preserve">). </w:t>
      </w:r>
      <w:r w:rsidR="005F056E" w:rsidRPr="004D2D8C">
        <w:rPr>
          <w:rFonts w:ascii="Comic Sans MS" w:hAnsi="Comic Sans MS"/>
          <w:sz w:val="20"/>
          <w:szCs w:val="20"/>
        </w:rPr>
        <w:t xml:space="preserve">Utvrđeni su standardi kvalitete i s tim povezani standardi emisija </w:t>
      </w:r>
      <w:r w:rsidR="008F52E8" w:rsidRPr="004D2D8C">
        <w:rPr>
          <w:rFonts w:ascii="Comic Sans MS" w:hAnsi="Comic Sans MS"/>
          <w:sz w:val="20"/>
          <w:szCs w:val="20"/>
        </w:rPr>
        <w:t xml:space="preserve">vezano </w:t>
      </w:r>
      <w:r w:rsidR="005F056E" w:rsidRPr="004D2D8C">
        <w:rPr>
          <w:rFonts w:ascii="Comic Sans MS" w:hAnsi="Comic Sans MS"/>
          <w:sz w:val="20"/>
          <w:szCs w:val="20"/>
        </w:rPr>
        <w:t>za zrak, gospodarenje otpadom, vode, zaštitu prirode, kontrolu industrijskog zagađenja, kemijske proizvode i genetski modificirane organizme</w:t>
      </w:r>
      <w:r w:rsidR="0036373B" w:rsidRPr="004D2D8C">
        <w:rPr>
          <w:rFonts w:ascii="Comic Sans MS" w:hAnsi="Comic Sans MS"/>
          <w:sz w:val="20"/>
          <w:szCs w:val="20"/>
        </w:rPr>
        <w:t xml:space="preserve">, </w:t>
      </w:r>
      <w:r w:rsidR="005F056E" w:rsidRPr="004D2D8C">
        <w:rPr>
          <w:rFonts w:ascii="Comic Sans MS" w:hAnsi="Comic Sans MS"/>
          <w:sz w:val="20"/>
          <w:szCs w:val="20"/>
        </w:rPr>
        <w:t>buku i nuklearnu sigurnost te zaštitu od zračenja</w:t>
      </w:r>
      <w:r w:rsidR="0036373B" w:rsidRPr="004D2D8C">
        <w:rPr>
          <w:rFonts w:ascii="Comic Sans MS" w:hAnsi="Comic Sans MS"/>
          <w:sz w:val="20"/>
          <w:szCs w:val="20"/>
        </w:rPr>
        <w:t xml:space="preserve">. </w:t>
      </w:r>
      <w:r w:rsidR="005F056E" w:rsidRPr="004D2D8C">
        <w:rPr>
          <w:rFonts w:ascii="Comic Sans MS" w:hAnsi="Comic Sans MS"/>
          <w:sz w:val="20"/>
          <w:szCs w:val="20"/>
        </w:rPr>
        <w:t xml:space="preserve">Ključne okolišne direktive </w:t>
      </w:r>
      <w:r w:rsidR="0036373B" w:rsidRPr="004D2D8C">
        <w:rPr>
          <w:rFonts w:ascii="Comic Sans MS" w:hAnsi="Comic Sans MS"/>
          <w:sz w:val="20"/>
          <w:szCs w:val="20"/>
        </w:rPr>
        <w:t>EU</w:t>
      </w:r>
      <w:r w:rsidR="005F056E" w:rsidRPr="004D2D8C">
        <w:rPr>
          <w:rFonts w:ascii="Comic Sans MS" w:hAnsi="Comic Sans MS"/>
          <w:sz w:val="20"/>
          <w:szCs w:val="20"/>
        </w:rPr>
        <w:t xml:space="preserve">-a koje su sastavni dio </w:t>
      </w:r>
      <w:r w:rsidR="0036373B" w:rsidRPr="004D2D8C">
        <w:rPr>
          <w:rFonts w:ascii="Comic Sans MS" w:hAnsi="Comic Sans MS"/>
          <w:sz w:val="20"/>
          <w:szCs w:val="20"/>
        </w:rPr>
        <w:t>Acquis</w:t>
      </w:r>
      <w:r w:rsidR="005F056E" w:rsidRPr="004D2D8C">
        <w:rPr>
          <w:rFonts w:ascii="Comic Sans MS" w:hAnsi="Comic Sans MS"/>
          <w:sz w:val="20"/>
          <w:szCs w:val="20"/>
        </w:rPr>
        <w:t xml:space="preserve">a navedene su na </w:t>
      </w:r>
      <w:r w:rsidR="0036373B" w:rsidRPr="004D2D8C">
        <w:rPr>
          <w:rFonts w:ascii="Comic Sans MS" w:hAnsi="Comic Sans MS"/>
          <w:sz w:val="20"/>
          <w:szCs w:val="20"/>
        </w:rPr>
        <w:t>EPE web</w:t>
      </w:r>
      <w:r w:rsidR="005F056E" w:rsidRPr="004D2D8C">
        <w:rPr>
          <w:rFonts w:ascii="Comic Sans MS" w:hAnsi="Comic Sans MS"/>
          <w:sz w:val="20"/>
          <w:szCs w:val="20"/>
        </w:rPr>
        <w:t xml:space="preserve"> </w:t>
      </w:r>
      <w:r w:rsidR="0036373B" w:rsidRPr="004D2D8C">
        <w:rPr>
          <w:rFonts w:ascii="Comic Sans MS" w:hAnsi="Comic Sans MS"/>
          <w:sz w:val="20"/>
          <w:szCs w:val="20"/>
        </w:rPr>
        <w:t>st</w:t>
      </w:r>
      <w:r w:rsidR="005F056E" w:rsidRPr="004D2D8C">
        <w:rPr>
          <w:rFonts w:ascii="Comic Sans MS" w:hAnsi="Comic Sans MS"/>
          <w:sz w:val="20"/>
          <w:szCs w:val="20"/>
        </w:rPr>
        <w:t>ranicama</w:t>
      </w:r>
      <w:r w:rsidR="0036373B" w:rsidRPr="004D2D8C">
        <w:rPr>
          <w:rFonts w:ascii="Comic Sans MS" w:hAnsi="Comic Sans MS"/>
          <w:sz w:val="20"/>
          <w:szCs w:val="20"/>
        </w:rPr>
        <w:t xml:space="preserve">. </w:t>
      </w:r>
      <w:r w:rsidR="005F056E" w:rsidRPr="004D2D8C">
        <w:rPr>
          <w:rFonts w:ascii="Comic Sans MS" w:hAnsi="Comic Sans MS"/>
          <w:sz w:val="20"/>
          <w:szCs w:val="20"/>
        </w:rPr>
        <w:t xml:space="preserve">Iscrpniji popis nalazi se na </w:t>
      </w:r>
      <w:r w:rsidR="0036373B" w:rsidRPr="004D2D8C">
        <w:rPr>
          <w:rFonts w:ascii="Comic Sans MS" w:hAnsi="Comic Sans MS"/>
          <w:sz w:val="20"/>
          <w:szCs w:val="20"/>
        </w:rPr>
        <w:t>Eurolex web</w:t>
      </w:r>
      <w:r w:rsidR="005F056E" w:rsidRPr="004D2D8C">
        <w:rPr>
          <w:rFonts w:ascii="Comic Sans MS" w:hAnsi="Comic Sans MS"/>
          <w:sz w:val="20"/>
          <w:szCs w:val="20"/>
        </w:rPr>
        <w:t xml:space="preserve"> </w:t>
      </w:r>
      <w:r w:rsidR="0036373B" w:rsidRPr="004D2D8C">
        <w:rPr>
          <w:rFonts w:ascii="Comic Sans MS" w:hAnsi="Comic Sans MS"/>
          <w:sz w:val="20"/>
          <w:szCs w:val="20"/>
        </w:rPr>
        <w:t>st</w:t>
      </w:r>
      <w:r w:rsidR="005F056E" w:rsidRPr="004D2D8C">
        <w:rPr>
          <w:rFonts w:ascii="Comic Sans MS" w:hAnsi="Comic Sans MS"/>
          <w:sz w:val="20"/>
          <w:szCs w:val="20"/>
        </w:rPr>
        <w:t>ranicama</w:t>
      </w:r>
      <w:r w:rsidR="0036373B" w:rsidRPr="004D2D8C">
        <w:rPr>
          <w:rFonts w:ascii="Comic Sans MS" w:hAnsi="Comic Sans MS"/>
          <w:sz w:val="20"/>
          <w:szCs w:val="20"/>
        </w:rPr>
        <w:t>.</w:t>
      </w:r>
    </w:p>
    <w:p w:rsidR="0036373B" w:rsidRPr="004D2D8C" w:rsidRDefault="0036373B" w:rsidP="0036373B">
      <w:pPr>
        <w:jc w:val="both"/>
        <w:rPr>
          <w:rFonts w:ascii="Comic Sans MS" w:hAnsi="Comic Sans MS"/>
          <w:b/>
          <w:sz w:val="20"/>
          <w:szCs w:val="20"/>
        </w:rPr>
      </w:pPr>
      <w:r w:rsidRPr="004D2D8C">
        <w:rPr>
          <w:rFonts w:ascii="Comic Sans MS" w:hAnsi="Comic Sans MS"/>
          <w:b/>
          <w:sz w:val="20"/>
          <w:szCs w:val="20"/>
        </w:rPr>
        <w:t>Bern</w:t>
      </w:r>
      <w:r w:rsidR="00A3791D" w:rsidRPr="004D2D8C">
        <w:rPr>
          <w:rFonts w:ascii="Comic Sans MS" w:hAnsi="Comic Sans MS"/>
          <w:b/>
          <w:sz w:val="20"/>
          <w:szCs w:val="20"/>
        </w:rPr>
        <w:t>ska konvencija</w:t>
      </w:r>
    </w:p>
    <w:p w:rsidR="0036373B" w:rsidRPr="004D2D8C" w:rsidRDefault="00A3791D" w:rsidP="0036373B">
      <w:pPr>
        <w:jc w:val="both"/>
        <w:rPr>
          <w:rFonts w:ascii="Comic Sans MS" w:hAnsi="Comic Sans MS"/>
          <w:sz w:val="20"/>
          <w:szCs w:val="20"/>
        </w:rPr>
      </w:pPr>
      <w:r w:rsidRPr="004D2D8C">
        <w:rPr>
          <w:rFonts w:ascii="Comic Sans MS" w:hAnsi="Comic Sans MS"/>
          <w:sz w:val="20"/>
          <w:szCs w:val="20"/>
        </w:rPr>
        <w:t xml:space="preserve">Konvencija o zaštiti europskih divljih vrsta i prirodnih staništa donesena je u </w:t>
      </w:r>
      <w:r w:rsidR="0036373B" w:rsidRPr="004D2D8C">
        <w:rPr>
          <w:rFonts w:ascii="Comic Sans MS" w:hAnsi="Comic Sans MS"/>
          <w:sz w:val="20"/>
          <w:szCs w:val="20"/>
        </w:rPr>
        <w:t>Bern</w:t>
      </w:r>
      <w:r w:rsidRPr="004D2D8C">
        <w:rPr>
          <w:rFonts w:ascii="Comic Sans MS" w:hAnsi="Comic Sans MS"/>
          <w:sz w:val="20"/>
          <w:szCs w:val="20"/>
        </w:rPr>
        <w:t>u</w:t>
      </w:r>
      <w:r w:rsidR="0036373B" w:rsidRPr="004D2D8C">
        <w:rPr>
          <w:rFonts w:ascii="Comic Sans MS" w:hAnsi="Comic Sans MS"/>
          <w:sz w:val="20"/>
          <w:szCs w:val="20"/>
        </w:rPr>
        <w:t xml:space="preserve"> 19</w:t>
      </w:r>
      <w:r w:rsidRPr="004D2D8C">
        <w:rPr>
          <w:rFonts w:ascii="Comic Sans MS" w:hAnsi="Comic Sans MS"/>
          <w:sz w:val="20"/>
          <w:szCs w:val="20"/>
        </w:rPr>
        <w:t xml:space="preserve">. rujna </w:t>
      </w:r>
      <w:r w:rsidR="0036373B" w:rsidRPr="004D2D8C">
        <w:rPr>
          <w:rFonts w:ascii="Comic Sans MS" w:hAnsi="Comic Sans MS"/>
          <w:sz w:val="20"/>
          <w:szCs w:val="20"/>
        </w:rPr>
        <w:t>1979</w:t>
      </w:r>
      <w:r w:rsidRPr="004D2D8C">
        <w:rPr>
          <w:rFonts w:ascii="Comic Sans MS" w:hAnsi="Comic Sans MS"/>
          <w:sz w:val="20"/>
          <w:szCs w:val="20"/>
        </w:rPr>
        <w:t xml:space="preserve">. godine i stupila je na snagu </w:t>
      </w:r>
      <w:r w:rsidR="0036373B" w:rsidRPr="004D2D8C">
        <w:rPr>
          <w:rFonts w:ascii="Comic Sans MS" w:hAnsi="Comic Sans MS"/>
          <w:sz w:val="20"/>
          <w:szCs w:val="20"/>
        </w:rPr>
        <w:t>1</w:t>
      </w:r>
      <w:r w:rsidRPr="004D2D8C">
        <w:rPr>
          <w:rFonts w:ascii="Comic Sans MS" w:hAnsi="Comic Sans MS"/>
          <w:sz w:val="20"/>
          <w:szCs w:val="20"/>
        </w:rPr>
        <w:t xml:space="preserve">. lipnja </w:t>
      </w:r>
      <w:r w:rsidR="0036373B" w:rsidRPr="004D2D8C">
        <w:rPr>
          <w:rFonts w:ascii="Comic Sans MS" w:hAnsi="Comic Sans MS"/>
          <w:sz w:val="20"/>
          <w:szCs w:val="20"/>
        </w:rPr>
        <w:t xml:space="preserve">1982. </w:t>
      </w:r>
      <w:r w:rsidRPr="004D2D8C">
        <w:rPr>
          <w:rFonts w:ascii="Comic Sans MS" w:hAnsi="Comic Sans MS"/>
          <w:sz w:val="20"/>
          <w:szCs w:val="20"/>
        </w:rPr>
        <w:t>Četrdeset pet europskih i afričkih zemalja te E</w:t>
      </w:r>
      <w:r w:rsidR="0036373B" w:rsidRPr="004D2D8C">
        <w:rPr>
          <w:rFonts w:ascii="Comic Sans MS" w:hAnsi="Comic Sans MS"/>
          <w:sz w:val="20"/>
          <w:szCs w:val="20"/>
        </w:rPr>
        <w:t>urop</w:t>
      </w:r>
      <w:r w:rsidRPr="004D2D8C">
        <w:rPr>
          <w:rFonts w:ascii="Comic Sans MS" w:hAnsi="Comic Sans MS"/>
          <w:sz w:val="20"/>
          <w:szCs w:val="20"/>
        </w:rPr>
        <w:t>sk</w:t>
      </w:r>
      <w:r w:rsidR="0036373B" w:rsidRPr="004D2D8C">
        <w:rPr>
          <w:rFonts w:ascii="Comic Sans MS" w:hAnsi="Comic Sans MS"/>
          <w:sz w:val="20"/>
          <w:szCs w:val="20"/>
        </w:rPr>
        <w:t>a</w:t>
      </w:r>
      <w:r w:rsidRPr="004D2D8C">
        <w:rPr>
          <w:rFonts w:ascii="Comic Sans MS" w:hAnsi="Comic Sans MS"/>
          <w:sz w:val="20"/>
          <w:szCs w:val="20"/>
        </w:rPr>
        <w:t xml:space="preserve"> zajednica </w:t>
      </w:r>
      <w:r w:rsidR="00953DFC" w:rsidRPr="004D2D8C">
        <w:rPr>
          <w:rFonts w:ascii="Comic Sans MS" w:hAnsi="Comic Sans MS"/>
          <w:sz w:val="20"/>
          <w:szCs w:val="20"/>
        </w:rPr>
        <w:t>potpisnice su Konvencije</w:t>
      </w:r>
      <w:r w:rsidR="0036373B" w:rsidRPr="004D2D8C">
        <w:rPr>
          <w:rFonts w:ascii="Comic Sans MS" w:hAnsi="Comic Sans MS"/>
          <w:sz w:val="20"/>
          <w:szCs w:val="20"/>
        </w:rPr>
        <w:t xml:space="preserve">. </w:t>
      </w:r>
      <w:r w:rsidR="00953DFC" w:rsidRPr="004D2D8C">
        <w:rPr>
          <w:rFonts w:ascii="Comic Sans MS" w:hAnsi="Comic Sans MS"/>
          <w:sz w:val="20"/>
          <w:szCs w:val="20"/>
        </w:rPr>
        <w:t>Ona ima trostruki cilj</w:t>
      </w:r>
      <w:r w:rsidR="0036373B" w:rsidRPr="004D2D8C">
        <w:rPr>
          <w:rFonts w:ascii="Comic Sans MS" w:hAnsi="Comic Sans MS"/>
          <w:sz w:val="20"/>
          <w:szCs w:val="20"/>
        </w:rPr>
        <w:t xml:space="preserve">: </w:t>
      </w:r>
      <w:r w:rsidR="00953DFC" w:rsidRPr="004D2D8C">
        <w:rPr>
          <w:rFonts w:ascii="Comic Sans MS" w:hAnsi="Comic Sans MS"/>
          <w:sz w:val="20"/>
          <w:szCs w:val="20"/>
        </w:rPr>
        <w:t xml:space="preserve">očuvanje divlje flore i faune i njihovih prirodnih staništa, </w:t>
      </w:r>
      <w:r w:rsidR="0036373B" w:rsidRPr="004D2D8C">
        <w:rPr>
          <w:rFonts w:ascii="Comic Sans MS" w:hAnsi="Comic Sans MS"/>
          <w:sz w:val="20"/>
          <w:szCs w:val="20"/>
        </w:rPr>
        <w:t>promo</w:t>
      </w:r>
      <w:r w:rsidR="00953DFC" w:rsidRPr="004D2D8C">
        <w:rPr>
          <w:rFonts w:ascii="Comic Sans MS" w:hAnsi="Comic Sans MS"/>
          <w:sz w:val="20"/>
          <w:szCs w:val="20"/>
        </w:rPr>
        <w:t>cija suradnje između država, stavljanje posebnog naglaska na ugrožene i osjetljive vrste</w:t>
      </w:r>
      <w:r w:rsidR="0036373B" w:rsidRPr="004D2D8C">
        <w:rPr>
          <w:rFonts w:ascii="Comic Sans MS" w:hAnsi="Comic Sans MS"/>
          <w:sz w:val="20"/>
          <w:szCs w:val="20"/>
        </w:rPr>
        <w:t>,</w:t>
      </w:r>
      <w:r w:rsidR="00953DFC" w:rsidRPr="004D2D8C">
        <w:rPr>
          <w:rFonts w:ascii="Comic Sans MS" w:hAnsi="Comic Sans MS"/>
          <w:sz w:val="20"/>
          <w:szCs w:val="20"/>
        </w:rPr>
        <w:t xml:space="preserve"> uključujući ugrožene i osjetljive migratorne vrste</w:t>
      </w:r>
      <w:r w:rsidR="0036373B" w:rsidRPr="004D2D8C">
        <w:rPr>
          <w:rFonts w:ascii="Comic Sans MS" w:hAnsi="Comic Sans MS"/>
          <w:sz w:val="20"/>
          <w:szCs w:val="20"/>
        </w:rPr>
        <w:t xml:space="preserve">. </w:t>
      </w:r>
      <w:r w:rsidR="00953DFC" w:rsidRPr="004D2D8C">
        <w:rPr>
          <w:rFonts w:ascii="Comic Sans MS" w:hAnsi="Comic Sans MS"/>
          <w:sz w:val="20"/>
          <w:szCs w:val="20"/>
        </w:rPr>
        <w:t>Izvor</w:t>
      </w:r>
      <w:r w:rsidR="0036373B" w:rsidRPr="004D2D8C">
        <w:rPr>
          <w:rFonts w:ascii="Comic Sans MS" w:hAnsi="Comic Sans MS"/>
          <w:sz w:val="20"/>
          <w:szCs w:val="20"/>
        </w:rPr>
        <w:t xml:space="preserve">: </w:t>
      </w:r>
      <w:r w:rsidR="00953DFC" w:rsidRPr="004D2D8C">
        <w:rPr>
          <w:rFonts w:ascii="Comic Sans MS" w:hAnsi="Comic Sans MS"/>
          <w:sz w:val="20"/>
          <w:szCs w:val="20"/>
        </w:rPr>
        <w:t xml:space="preserve">Vijeće </w:t>
      </w:r>
      <w:r w:rsidR="0036373B" w:rsidRPr="004D2D8C">
        <w:rPr>
          <w:rFonts w:ascii="Comic Sans MS" w:hAnsi="Comic Sans MS"/>
          <w:sz w:val="20"/>
          <w:szCs w:val="20"/>
        </w:rPr>
        <w:t>Europe / EEA.</w:t>
      </w:r>
    </w:p>
    <w:p w:rsidR="0036373B" w:rsidRPr="004D2D8C" w:rsidRDefault="00D0512F" w:rsidP="0036373B">
      <w:pPr>
        <w:jc w:val="both"/>
        <w:rPr>
          <w:rFonts w:ascii="Comic Sans MS" w:hAnsi="Comic Sans MS"/>
          <w:b/>
          <w:sz w:val="20"/>
          <w:szCs w:val="20"/>
        </w:rPr>
      </w:pPr>
      <w:r w:rsidRPr="004D2D8C">
        <w:rPr>
          <w:rFonts w:ascii="Comic Sans MS" w:hAnsi="Comic Sans MS"/>
          <w:b/>
          <w:sz w:val="20"/>
          <w:szCs w:val="20"/>
        </w:rPr>
        <w:t>Najbolja raspoloživa tehnologija (B</w:t>
      </w:r>
      <w:r w:rsidR="0036373B" w:rsidRPr="004D2D8C">
        <w:rPr>
          <w:rFonts w:ascii="Comic Sans MS" w:hAnsi="Comic Sans MS"/>
          <w:b/>
          <w:sz w:val="20"/>
          <w:szCs w:val="20"/>
        </w:rPr>
        <w:t>est Available Technology</w:t>
      </w:r>
      <w:r w:rsidRPr="004D2D8C">
        <w:rPr>
          <w:rFonts w:ascii="Comic Sans MS" w:hAnsi="Comic Sans MS"/>
          <w:b/>
          <w:sz w:val="20"/>
          <w:szCs w:val="20"/>
        </w:rPr>
        <w:t xml:space="preserve"> - </w:t>
      </w:r>
      <w:r w:rsidR="0036373B" w:rsidRPr="004D2D8C">
        <w:rPr>
          <w:rFonts w:ascii="Comic Sans MS" w:hAnsi="Comic Sans MS"/>
          <w:b/>
          <w:sz w:val="20"/>
          <w:szCs w:val="20"/>
        </w:rPr>
        <w:t>BATs)</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“BAT</w:t>
      </w:r>
      <w:r w:rsidR="00B5721F" w:rsidRPr="004D2D8C">
        <w:rPr>
          <w:rFonts w:ascii="Comic Sans MS" w:hAnsi="Comic Sans MS"/>
          <w:sz w:val="20"/>
          <w:szCs w:val="20"/>
        </w:rPr>
        <w:t>s</w:t>
      </w:r>
      <w:r w:rsidRPr="004D2D8C">
        <w:rPr>
          <w:rFonts w:ascii="Comic Sans MS" w:hAnsi="Comic Sans MS"/>
          <w:sz w:val="20"/>
          <w:szCs w:val="20"/>
        </w:rPr>
        <w:t xml:space="preserve">” </w:t>
      </w:r>
      <w:r w:rsidR="0006790D" w:rsidRPr="004D2D8C">
        <w:rPr>
          <w:rFonts w:ascii="Comic Sans MS" w:hAnsi="Comic Sans MS"/>
          <w:sz w:val="20"/>
          <w:szCs w:val="20"/>
        </w:rPr>
        <w:t>– najbolja</w:t>
      </w:r>
      <w:r w:rsidR="00F55A68" w:rsidRPr="004D2D8C">
        <w:rPr>
          <w:rFonts w:ascii="Comic Sans MS" w:hAnsi="Comic Sans MS"/>
          <w:sz w:val="20"/>
          <w:szCs w:val="20"/>
        </w:rPr>
        <w:t xml:space="preserve"> </w:t>
      </w:r>
      <w:r w:rsidR="0006790D" w:rsidRPr="004D2D8C">
        <w:rPr>
          <w:rFonts w:ascii="Comic Sans MS" w:hAnsi="Comic Sans MS"/>
          <w:sz w:val="20"/>
          <w:szCs w:val="20"/>
        </w:rPr>
        <w:t xml:space="preserve">raspoloživa tehnologija – definirana je u </w:t>
      </w:r>
      <w:r w:rsidRPr="004D2D8C">
        <w:rPr>
          <w:rFonts w:ascii="Comic Sans MS" w:hAnsi="Comic Sans MS"/>
          <w:sz w:val="20"/>
          <w:szCs w:val="20"/>
        </w:rPr>
        <w:t xml:space="preserve">IPPC </w:t>
      </w:r>
      <w:r w:rsidR="0006790D" w:rsidRPr="004D2D8C">
        <w:rPr>
          <w:rFonts w:ascii="Comic Sans MS" w:hAnsi="Comic Sans MS"/>
          <w:sz w:val="20"/>
          <w:szCs w:val="20"/>
        </w:rPr>
        <w:t>d</w:t>
      </w:r>
      <w:r w:rsidRPr="004D2D8C">
        <w:rPr>
          <w:rFonts w:ascii="Comic Sans MS" w:hAnsi="Comic Sans MS"/>
          <w:sz w:val="20"/>
          <w:szCs w:val="20"/>
        </w:rPr>
        <w:t>ire</w:t>
      </w:r>
      <w:r w:rsidR="0006790D" w:rsidRPr="004D2D8C">
        <w:rPr>
          <w:rFonts w:ascii="Comic Sans MS" w:hAnsi="Comic Sans MS"/>
          <w:sz w:val="20"/>
          <w:szCs w:val="20"/>
        </w:rPr>
        <w:t xml:space="preserve">ktivi kao najučinkovitija tehnika za postizanje </w:t>
      </w:r>
      <w:r w:rsidR="00B5721F" w:rsidRPr="004D2D8C">
        <w:rPr>
          <w:rFonts w:ascii="Comic Sans MS" w:hAnsi="Comic Sans MS"/>
          <w:sz w:val="20"/>
          <w:szCs w:val="20"/>
        </w:rPr>
        <w:t xml:space="preserve">visoke zaštite okoliša uz uvažavanje troškova i prednosti. BATs se ne odnosi samo na tehnologiju </w:t>
      </w:r>
      <w:r w:rsidR="00293647" w:rsidRPr="004D2D8C">
        <w:rPr>
          <w:rFonts w:ascii="Comic Sans MS" w:hAnsi="Comic Sans MS"/>
          <w:sz w:val="20"/>
          <w:szCs w:val="20"/>
        </w:rPr>
        <w:t xml:space="preserve">koja se </w:t>
      </w:r>
      <w:r w:rsidR="00B5721F" w:rsidRPr="004D2D8C">
        <w:rPr>
          <w:rFonts w:ascii="Comic Sans MS" w:hAnsi="Comic Sans MS"/>
          <w:sz w:val="20"/>
          <w:szCs w:val="20"/>
        </w:rPr>
        <w:t>kori</w:t>
      </w:r>
      <w:r w:rsidR="00293647" w:rsidRPr="004D2D8C">
        <w:rPr>
          <w:rFonts w:ascii="Comic Sans MS" w:hAnsi="Comic Sans MS"/>
          <w:sz w:val="20"/>
          <w:szCs w:val="20"/>
        </w:rPr>
        <w:t>s</w:t>
      </w:r>
      <w:r w:rsidR="00B5721F" w:rsidRPr="004D2D8C">
        <w:rPr>
          <w:rFonts w:ascii="Comic Sans MS" w:hAnsi="Comic Sans MS"/>
          <w:sz w:val="20"/>
          <w:szCs w:val="20"/>
        </w:rPr>
        <w:t>t</w:t>
      </w:r>
      <w:r w:rsidR="00293647" w:rsidRPr="004D2D8C">
        <w:rPr>
          <w:rFonts w:ascii="Comic Sans MS" w:hAnsi="Comic Sans MS"/>
          <w:sz w:val="20"/>
          <w:szCs w:val="20"/>
        </w:rPr>
        <w:t>i</w:t>
      </w:r>
      <w:r w:rsidR="00B5721F" w:rsidRPr="004D2D8C">
        <w:rPr>
          <w:rFonts w:ascii="Comic Sans MS" w:hAnsi="Comic Sans MS"/>
          <w:sz w:val="20"/>
          <w:szCs w:val="20"/>
        </w:rPr>
        <w:t xml:space="preserve"> kod instal</w:t>
      </w:r>
      <w:r w:rsidR="008F52E8" w:rsidRPr="004D2D8C">
        <w:rPr>
          <w:rFonts w:ascii="Comic Sans MS" w:hAnsi="Comic Sans MS"/>
          <w:sz w:val="20"/>
          <w:szCs w:val="20"/>
        </w:rPr>
        <w:t xml:space="preserve">iranja </w:t>
      </w:r>
      <w:r w:rsidR="00B5721F" w:rsidRPr="004D2D8C">
        <w:rPr>
          <w:rFonts w:ascii="Comic Sans MS" w:hAnsi="Comic Sans MS"/>
          <w:sz w:val="20"/>
          <w:szCs w:val="20"/>
        </w:rPr>
        <w:t xml:space="preserve">nego i na način projektiranja, </w:t>
      </w:r>
      <w:r w:rsidR="008F52E8" w:rsidRPr="004D2D8C">
        <w:rPr>
          <w:rFonts w:ascii="Comic Sans MS" w:hAnsi="Comic Sans MS"/>
          <w:sz w:val="20"/>
          <w:szCs w:val="20"/>
        </w:rPr>
        <w:t>iz</w:t>
      </w:r>
      <w:r w:rsidR="00B5721F" w:rsidRPr="004D2D8C">
        <w:rPr>
          <w:rFonts w:ascii="Comic Sans MS" w:hAnsi="Comic Sans MS"/>
          <w:sz w:val="20"/>
          <w:szCs w:val="20"/>
        </w:rPr>
        <w:t>gradnje, vođenja i održavanja instalacij</w:t>
      </w:r>
      <w:r w:rsidR="008F52E8" w:rsidRPr="004D2D8C">
        <w:rPr>
          <w:rFonts w:ascii="Comic Sans MS" w:hAnsi="Comic Sans MS"/>
          <w:sz w:val="20"/>
          <w:szCs w:val="20"/>
        </w:rPr>
        <w:t>a</w:t>
      </w:r>
      <w:r w:rsidR="00B5721F" w:rsidRPr="004D2D8C">
        <w:rPr>
          <w:rFonts w:ascii="Comic Sans MS" w:hAnsi="Comic Sans MS"/>
          <w:sz w:val="20"/>
          <w:szCs w:val="20"/>
        </w:rPr>
        <w:t xml:space="preserve">. Kod određivanja BATs-a, organi vlasti koji izdaju dozvole moraju u obzir uzeti referentne dokumente </w:t>
      </w:r>
      <w:r w:rsidR="0006790D" w:rsidRPr="004D2D8C">
        <w:rPr>
          <w:rFonts w:ascii="Comic Sans MS" w:hAnsi="Comic Sans MS"/>
          <w:sz w:val="20"/>
          <w:szCs w:val="20"/>
        </w:rPr>
        <w:t xml:space="preserve">za izbor najboljih raspoloživih tehnika (BREFs) koje </w:t>
      </w:r>
      <w:r w:rsidR="00293647" w:rsidRPr="004D2D8C">
        <w:rPr>
          <w:rFonts w:ascii="Comic Sans MS" w:hAnsi="Comic Sans MS"/>
          <w:sz w:val="20"/>
          <w:szCs w:val="20"/>
        </w:rPr>
        <w:t xml:space="preserve">donosi </w:t>
      </w:r>
      <w:r w:rsidR="0006790D" w:rsidRPr="004D2D8C">
        <w:rPr>
          <w:rFonts w:ascii="Comic Sans MS" w:hAnsi="Comic Sans MS"/>
          <w:sz w:val="20"/>
          <w:szCs w:val="20"/>
        </w:rPr>
        <w:t xml:space="preserve">Europska </w:t>
      </w:r>
      <w:r w:rsidR="00293647" w:rsidRPr="004D2D8C">
        <w:rPr>
          <w:rFonts w:ascii="Comic Sans MS" w:hAnsi="Comic Sans MS"/>
          <w:sz w:val="20"/>
          <w:szCs w:val="20"/>
        </w:rPr>
        <w:t xml:space="preserve">komisija. </w:t>
      </w:r>
      <w:r w:rsidRPr="004D2D8C">
        <w:rPr>
          <w:rFonts w:ascii="Comic Sans MS" w:hAnsi="Comic Sans MS"/>
          <w:sz w:val="20"/>
          <w:szCs w:val="20"/>
        </w:rPr>
        <w:t>BREFs</w:t>
      </w:r>
      <w:r w:rsidR="00054027" w:rsidRPr="004D2D8C">
        <w:rPr>
          <w:rFonts w:ascii="Comic Sans MS" w:hAnsi="Comic Sans MS"/>
          <w:sz w:val="20"/>
          <w:szCs w:val="20"/>
        </w:rPr>
        <w:t xml:space="preserve"> dokumenti temelje se na razmjeni informacija putem tehničkih radnih skupina</w:t>
      </w:r>
      <w:r w:rsidR="00291F92" w:rsidRPr="004D2D8C">
        <w:rPr>
          <w:rFonts w:ascii="Comic Sans MS" w:hAnsi="Comic Sans MS"/>
          <w:sz w:val="20"/>
          <w:szCs w:val="20"/>
        </w:rPr>
        <w:t xml:space="preserve"> koje se sastoje od stručnjaka </w:t>
      </w:r>
      <w:r w:rsidR="00DA4538" w:rsidRPr="004D2D8C">
        <w:rPr>
          <w:rFonts w:ascii="Comic Sans MS" w:hAnsi="Comic Sans MS"/>
          <w:sz w:val="20"/>
          <w:szCs w:val="20"/>
        </w:rPr>
        <w:t>iz</w:t>
      </w:r>
      <w:r w:rsidR="00291F92" w:rsidRPr="004D2D8C">
        <w:rPr>
          <w:rFonts w:ascii="Comic Sans MS" w:hAnsi="Comic Sans MS"/>
          <w:sz w:val="20"/>
          <w:szCs w:val="20"/>
        </w:rPr>
        <w:t xml:space="preserve"> područja industrije, organa vlasti država članic</w:t>
      </w:r>
      <w:r w:rsidR="00DA4538" w:rsidRPr="004D2D8C">
        <w:rPr>
          <w:rFonts w:ascii="Comic Sans MS" w:hAnsi="Comic Sans MS"/>
          <w:sz w:val="20"/>
          <w:szCs w:val="20"/>
        </w:rPr>
        <w:t>a</w:t>
      </w:r>
      <w:r w:rsidRPr="004D2D8C">
        <w:rPr>
          <w:rFonts w:ascii="Comic Sans MS" w:hAnsi="Comic Sans MS"/>
          <w:sz w:val="20"/>
          <w:szCs w:val="20"/>
        </w:rPr>
        <w:t xml:space="preserve">, </w:t>
      </w:r>
      <w:r w:rsidR="00DA4538" w:rsidRPr="004D2D8C">
        <w:rPr>
          <w:rFonts w:ascii="Comic Sans MS" w:hAnsi="Comic Sans MS"/>
          <w:sz w:val="20"/>
          <w:szCs w:val="20"/>
        </w:rPr>
        <w:t>istraživačkih instituta i nevladinih organizacija uz koordinaciju Ureda Komisije za I</w:t>
      </w:r>
      <w:r w:rsidRPr="004D2D8C">
        <w:rPr>
          <w:rFonts w:ascii="Comic Sans MS" w:hAnsi="Comic Sans MS"/>
          <w:sz w:val="20"/>
          <w:szCs w:val="20"/>
        </w:rPr>
        <w:t>PPC</w:t>
      </w:r>
      <w:r w:rsidR="00DA4538" w:rsidRPr="004D2D8C">
        <w:rPr>
          <w:rFonts w:ascii="Comic Sans MS" w:hAnsi="Comic Sans MS"/>
          <w:sz w:val="20"/>
          <w:szCs w:val="20"/>
        </w:rPr>
        <w:t xml:space="preserve">, </w:t>
      </w:r>
      <w:r w:rsidRPr="004D2D8C">
        <w:rPr>
          <w:rFonts w:ascii="Comic Sans MS" w:hAnsi="Comic Sans MS"/>
          <w:sz w:val="20"/>
          <w:szCs w:val="20"/>
        </w:rPr>
        <w:t>Seville (http://eippcb.jrc.es/), (</w:t>
      </w:r>
      <w:r w:rsidR="00DA4538" w:rsidRPr="004D2D8C">
        <w:rPr>
          <w:rFonts w:ascii="Comic Sans MS" w:hAnsi="Comic Sans MS"/>
          <w:sz w:val="20"/>
          <w:szCs w:val="20"/>
        </w:rPr>
        <w:t xml:space="preserve">dio </w:t>
      </w:r>
      <w:r w:rsidRPr="004D2D8C">
        <w:rPr>
          <w:rFonts w:ascii="Comic Sans MS" w:hAnsi="Comic Sans MS"/>
          <w:sz w:val="20"/>
          <w:szCs w:val="20"/>
        </w:rPr>
        <w:t>Institut</w:t>
      </w:r>
      <w:r w:rsidR="00DA4538" w:rsidRPr="004D2D8C">
        <w:rPr>
          <w:rFonts w:ascii="Comic Sans MS" w:hAnsi="Comic Sans MS"/>
          <w:sz w:val="20"/>
          <w:szCs w:val="20"/>
        </w:rPr>
        <w:t xml:space="preserve">e </w:t>
      </w:r>
      <w:r w:rsidRPr="004D2D8C">
        <w:rPr>
          <w:rFonts w:ascii="Comic Sans MS" w:hAnsi="Comic Sans MS"/>
          <w:sz w:val="20"/>
          <w:szCs w:val="20"/>
        </w:rPr>
        <w:t xml:space="preserve">for Prospective Technology Studies </w:t>
      </w:r>
      <w:r w:rsidR="00DA4538" w:rsidRPr="004D2D8C">
        <w:rPr>
          <w:rFonts w:ascii="Comic Sans MS" w:hAnsi="Comic Sans MS"/>
          <w:sz w:val="20"/>
          <w:szCs w:val="20"/>
        </w:rPr>
        <w:t>pri</w:t>
      </w:r>
      <w:r w:rsidRPr="004D2D8C">
        <w:rPr>
          <w:rFonts w:ascii="Comic Sans MS" w:hAnsi="Comic Sans MS"/>
          <w:sz w:val="20"/>
          <w:szCs w:val="20"/>
        </w:rPr>
        <w:t xml:space="preserve"> </w:t>
      </w:r>
      <w:r w:rsidR="00DA4538" w:rsidRPr="004D2D8C">
        <w:rPr>
          <w:rFonts w:ascii="Comic Sans MS" w:hAnsi="Comic Sans MS"/>
          <w:sz w:val="20"/>
          <w:szCs w:val="20"/>
        </w:rPr>
        <w:t xml:space="preserve">Zajedničkom istraživačkom centru </w:t>
      </w:r>
      <w:r w:rsidRPr="004D2D8C">
        <w:rPr>
          <w:rFonts w:ascii="Comic Sans MS" w:hAnsi="Comic Sans MS"/>
          <w:sz w:val="20"/>
          <w:szCs w:val="20"/>
        </w:rPr>
        <w:t>EU</w:t>
      </w:r>
      <w:r w:rsidR="00DA4538" w:rsidRPr="004D2D8C">
        <w:rPr>
          <w:rFonts w:ascii="Comic Sans MS" w:hAnsi="Comic Sans MS"/>
          <w:sz w:val="20"/>
          <w:szCs w:val="20"/>
        </w:rPr>
        <w:t>-a u Sevilji, Španjolska</w:t>
      </w:r>
      <w:r w:rsidRPr="004D2D8C">
        <w:rPr>
          <w:rFonts w:ascii="Comic Sans MS" w:hAnsi="Comic Sans MS"/>
          <w:sz w:val="20"/>
          <w:szCs w:val="20"/>
        </w:rPr>
        <w:t xml:space="preserve">). </w:t>
      </w:r>
      <w:r w:rsidR="00DA4538" w:rsidRPr="004D2D8C">
        <w:rPr>
          <w:rFonts w:ascii="Comic Sans MS" w:hAnsi="Comic Sans MS"/>
          <w:sz w:val="20"/>
          <w:szCs w:val="20"/>
        </w:rPr>
        <w:t>Izvor</w:t>
      </w:r>
      <w:r w:rsidRPr="004D2D8C">
        <w:rPr>
          <w:rFonts w:ascii="Comic Sans MS" w:hAnsi="Comic Sans MS"/>
          <w:sz w:val="20"/>
          <w:szCs w:val="20"/>
        </w:rPr>
        <w:t xml:space="preserve">: </w:t>
      </w:r>
      <w:r w:rsidR="00DA4538" w:rsidRPr="004D2D8C">
        <w:rPr>
          <w:rFonts w:ascii="Comic Sans MS" w:hAnsi="Comic Sans MS"/>
          <w:sz w:val="20"/>
          <w:szCs w:val="20"/>
        </w:rPr>
        <w:t xml:space="preserve">Pitanja i odgovori o prijedlogu direktive </w:t>
      </w:r>
      <w:r w:rsidRPr="004D2D8C">
        <w:rPr>
          <w:rFonts w:ascii="Comic Sans MS" w:hAnsi="Comic Sans MS"/>
          <w:sz w:val="20"/>
          <w:szCs w:val="20"/>
        </w:rPr>
        <w:t>o industri</w:t>
      </w:r>
      <w:r w:rsidR="00DA4538" w:rsidRPr="004D2D8C">
        <w:rPr>
          <w:rFonts w:ascii="Comic Sans MS" w:hAnsi="Comic Sans MS"/>
          <w:sz w:val="20"/>
          <w:szCs w:val="20"/>
        </w:rPr>
        <w:t xml:space="preserve">jskim </w:t>
      </w:r>
      <w:r w:rsidRPr="004D2D8C">
        <w:rPr>
          <w:rFonts w:ascii="Comic Sans MS" w:hAnsi="Comic Sans MS"/>
          <w:sz w:val="20"/>
          <w:szCs w:val="20"/>
        </w:rPr>
        <w:t>emisi</w:t>
      </w:r>
      <w:r w:rsidR="00DA4538" w:rsidRPr="004D2D8C">
        <w:rPr>
          <w:rFonts w:ascii="Comic Sans MS" w:hAnsi="Comic Sans MS"/>
          <w:sz w:val="20"/>
          <w:szCs w:val="20"/>
        </w:rPr>
        <w:t xml:space="preserve">jama </w:t>
      </w:r>
      <w:r w:rsidRPr="004D2D8C">
        <w:rPr>
          <w:rFonts w:ascii="Comic Sans MS" w:hAnsi="Comic Sans MS"/>
          <w:sz w:val="20"/>
          <w:szCs w:val="20"/>
        </w:rPr>
        <w:t xml:space="preserve">(21/12/07) </w:t>
      </w:r>
      <w:r w:rsidR="00DA4538" w:rsidRPr="004D2D8C">
        <w:rPr>
          <w:rFonts w:ascii="Comic Sans MS" w:hAnsi="Comic Sans MS"/>
          <w:sz w:val="20"/>
          <w:szCs w:val="20"/>
        </w:rPr>
        <w:t>koji pot</w:t>
      </w:r>
      <w:r w:rsidR="00556A35" w:rsidRPr="004D2D8C">
        <w:rPr>
          <w:rFonts w:ascii="Comic Sans MS" w:hAnsi="Comic Sans MS"/>
          <w:sz w:val="20"/>
          <w:szCs w:val="20"/>
        </w:rPr>
        <w:t xml:space="preserve">ječe </w:t>
      </w:r>
      <w:r w:rsidR="00DA4538" w:rsidRPr="004D2D8C">
        <w:rPr>
          <w:rFonts w:ascii="Comic Sans MS" w:hAnsi="Comic Sans MS"/>
          <w:sz w:val="20"/>
          <w:szCs w:val="20"/>
        </w:rPr>
        <w:t xml:space="preserve">iz spajanja </w:t>
      </w:r>
      <w:r w:rsidRPr="004D2D8C">
        <w:rPr>
          <w:rFonts w:ascii="Comic Sans MS" w:hAnsi="Comic Sans MS"/>
          <w:sz w:val="20"/>
          <w:szCs w:val="20"/>
        </w:rPr>
        <w:t xml:space="preserve">IPCC </w:t>
      </w:r>
      <w:r w:rsidR="00DA4538" w:rsidRPr="004D2D8C">
        <w:rPr>
          <w:rFonts w:ascii="Comic Sans MS" w:hAnsi="Comic Sans MS"/>
          <w:sz w:val="20"/>
          <w:szCs w:val="20"/>
        </w:rPr>
        <w:t>direktive i šest drugih sektorskih direktiva</w:t>
      </w:r>
      <w:r w:rsidRPr="004D2D8C">
        <w:rPr>
          <w:rFonts w:ascii="Comic Sans MS" w:hAnsi="Comic Sans MS"/>
          <w:sz w:val="20"/>
          <w:szCs w:val="20"/>
        </w:rPr>
        <w:t>.</w:t>
      </w:r>
    </w:p>
    <w:p w:rsidR="0036373B" w:rsidRPr="004D2D8C" w:rsidRDefault="0036373B" w:rsidP="0036373B">
      <w:pPr>
        <w:jc w:val="both"/>
        <w:rPr>
          <w:rFonts w:ascii="Comic Sans MS" w:hAnsi="Comic Sans MS"/>
          <w:b/>
          <w:sz w:val="20"/>
          <w:szCs w:val="20"/>
        </w:rPr>
      </w:pPr>
      <w:r w:rsidRPr="004D2D8C">
        <w:rPr>
          <w:rFonts w:ascii="Comic Sans MS" w:hAnsi="Comic Sans MS"/>
          <w:b/>
          <w:sz w:val="20"/>
          <w:szCs w:val="20"/>
        </w:rPr>
        <w:t>Biolo</w:t>
      </w:r>
      <w:r w:rsidR="001D1288" w:rsidRPr="004D2D8C">
        <w:rPr>
          <w:rFonts w:ascii="Comic Sans MS" w:hAnsi="Comic Sans MS"/>
          <w:b/>
          <w:sz w:val="20"/>
          <w:szCs w:val="20"/>
        </w:rPr>
        <w:t>ška raznolikost</w:t>
      </w:r>
      <w:r w:rsidRPr="004D2D8C">
        <w:rPr>
          <w:rFonts w:ascii="Comic Sans MS" w:hAnsi="Comic Sans MS"/>
          <w:b/>
          <w:sz w:val="20"/>
          <w:szCs w:val="20"/>
        </w:rPr>
        <w:t xml:space="preserve"> (</w:t>
      </w:r>
      <w:r w:rsidR="001D1288" w:rsidRPr="004D2D8C">
        <w:rPr>
          <w:rFonts w:ascii="Comic Sans MS" w:hAnsi="Comic Sans MS"/>
          <w:b/>
          <w:sz w:val="20"/>
          <w:szCs w:val="20"/>
        </w:rPr>
        <w:t>b</w:t>
      </w:r>
      <w:r w:rsidRPr="004D2D8C">
        <w:rPr>
          <w:rFonts w:ascii="Comic Sans MS" w:hAnsi="Comic Sans MS"/>
          <w:b/>
          <w:sz w:val="20"/>
          <w:szCs w:val="20"/>
        </w:rPr>
        <w:t>io</w:t>
      </w:r>
      <w:r w:rsidR="001D1288" w:rsidRPr="004D2D8C">
        <w:rPr>
          <w:rFonts w:ascii="Comic Sans MS" w:hAnsi="Comic Sans MS"/>
          <w:b/>
          <w:sz w:val="20"/>
          <w:szCs w:val="20"/>
        </w:rPr>
        <w:t>raznolikost</w:t>
      </w:r>
      <w:r w:rsidRPr="004D2D8C">
        <w:rPr>
          <w:rFonts w:ascii="Comic Sans MS" w:hAnsi="Comic Sans MS"/>
          <w:b/>
          <w:sz w:val="20"/>
          <w:szCs w:val="20"/>
        </w:rPr>
        <w:t>)</w:t>
      </w:r>
    </w:p>
    <w:p w:rsidR="0036373B" w:rsidRPr="004D2D8C" w:rsidRDefault="00556A35" w:rsidP="0036373B">
      <w:pPr>
        <w:jc w:val="both"/>
        <w:rPr>
          <w:rFonts w:ascii="Comic Sans MS" w:hAnsi="Comic Sans MS"/>
          <w:sz w:val="20"/>
          <w:szCs w:val="20"/>
        </w:rPr>
      </w:pPr>
      <w:r w:rsidRPr="004D2D8C">
        <w:rPr>
          <w:rFonts w:ascii="Comic Sans MS" w:hAnsi="Comic Sans MS"/>
          <w:sz w:val="20"/>
          <w:szCs w:val="20"/>
        </w:rPr>
        <w:t>Varijabilnost među živim organizmima svih podrijetla, uključujući, između ostalih, kopnene, morske i druge vodene ekosustave i ekološke komplekse</w:t>
      </w:r>
      <w:r w:rsidR="005F2300" w:rsidRPr="004D2D8C">
        <w:rPr>
          <w:rFonts w:ascii="Comic Sans MS" w:hAnsi="Comic Sans MS"/>
          <w:sz w:val="20"/>
          <w:szCs w:val="20"/>
        </w:rPr>
        <w:t xml:space="preserve"> kojim</w:t>
      </w:r>
      <w:r w:rsidR="00B83F8B" w:rsidRPr="004D2D8C">
        <w:rPr>
          <w:rFonts w:ascii="Comic Sans MS" w:hAnsi="Comic Sans MS"/>
          <w:sz w:val="20"/>
          <w:szCs w:val="20"/>
        </w:rPr>
        <w:t>a</w:t>
      </w:r>
      <w:r w:rsidR="005F2300" w:rsidRPr="004D2D8C">
        <w:rPr>
          <w:rFonts w:ascii="Comic Sans MS" w:hAnsi="Comic Sans MS"/>
          <w:sz w:val="20"/>
          <w:szCs w:val="20"/>
        </w:rPr>
        <w:t xml:space="preserve"> pripadaju</w:t>
      </w:r>
      <w:r w:rsidR="0036373B" w:rsidRPr="004D2D8C">
        <w:rPr>
          <w:rFonts w:ascii="Comic Sans MS" w:hAnsi="Comic Sans MS"/>
          <w:sz w:val="20"/>
          <w:szCs w:val="20"/>
        </w:rPr>
        <w:t xml:space="preserve">; </w:t>
      </w:r>
      <w:r w:rsidR="005F2300" w:rsidRPr="004D2D8C">
        <w:rPr>
          <w:rFonts w:ascii="Comic Sans MS" w:hAnsi="Comic Sans MS"/>
          <w:sz w:val="20"/>
          <w:szCs w:val="20"/>
        </w:rPr>
        <w:t>to obuhvaća raznolikost unutar vrsta, između vrsta te ekosustava</w:t>
      </w:r>
      <w:r w:rsidR="0036373B" w:rsidRPr="004D2D8C">
        <w:rPr>
          <w:rFonts w:ascii="Comic Sans MS" w:hAnsi="Comic Sans MS"/>
          <w:sz w:val="20"/>
          <w:szCs w:val="20"/>
        </w:rPr>
        <w:t xml:space="preserve">. </w:t>
      </w:r>
      <w:r w:rsidR="005F2300" w:rsidRPr="004D2D8C">
        <w:rPr>
          <w:rFonts w:ascii="Comic Sans MS" w:hAnsi="Comic Sans MS"/>
          <w:sz w:val="20"/>
          <w:szCs w:val="20"/>
        </w:rPr>
        <w:t>Izvor</w:t>
      </w:r>
      <w:r w:rsidR="0036373B" w:rsidRPr="004D2D8C">
        <w:rPr>
          <w:rFonts w:ascii="Comic Sans MS" w:hAnsi="Comic Sans MS"/>
          <w:sz w:val="20"/>
          <w:szCs w:val="20"/>
        </w:rPr>
        <w:t xml:space="preserve">: </w:t>
      </w:r>
      <w:r w:rsidR="005F2300" w:rsidRPr="004D2D8C">
        <w:rPr>
          <w:rFonts w:ascii="Comic Sans MS" w:hAnsi="Comic Sans MS"/>
          <w:sz w:val="20"/>
          <w:szCs w:val="20"/>
        </w:rPr>
        <w:t>Konvencija o biološkoj raznolikosti (</w:t>
      </w:r>
      <w:r w:rsidR="0036373B" w:rsidRPr="004D2D8C">
        <w:rPr>
          <w:rFonts w:ascii="Comic Sans MS" w:hAnsi="Comic Sans MS"/>
          <w:sz w:val="20"/>
          <w:szCs w:val="20"/>
        </w:rPr>
        <w:t>CBD Convention</w:t>
      </w:r>
      <w:r w:rsidR="005F2300" w:rsidRPr="004D2D8C">
        <w:rPr>
          <w:rFonts w:ascii="Comic Sans MS" w:hAnsi="Comic Sans MS"/>
          <w:sz w:val="20"/>
          <w:szCs w:val="20"/>
        </w:rPr>
        <w:t>)</w:t>
      </w:r>
      <w:r w:rsidR="0036373B" w:rsidRPr="004D2D8C">
        <w:rPr>
          <w:rFonts w:ascii="Comic Sans MS" w:hAnsi="Comic Sans MS"/>
          <w:sz w:val="20"/>
          <w:szCs w:val="20"/>
        </w:rPr>
        <w:t xml:space="preserve"> </w:t>
      </w:r>
      <w:r w:rsidR="005F2300" w:rsidRPr="004D2D8C">
        <w:rPr>
          <w:rFonts w:ascii="Comic Sans MS" w:hAnsi="Comic Sans MS"/>
          <w:sz w:val="20"/>
          <w:szCs w:val="20"/>
        </w:rPr>
        <w:t>–</w:t>
      </w:r>
      <w:r w:rsidR="0036373B" w:rsidRPr="004D2D8C">
        <w:rPr>
          <w:rFonts w:ascii="Comic Sans MS" w:hAnsi="Comic Sans MS"/>
          <w:sz w:val="20"/>
          <w:szCs w:val="20"/>
        </w:rPr>
        <w:t xml:space="preserve"> </w:t>
      </w:r>
      <w:r w:rsidR="005F2300" w:rsidRPr="004D2D8C">
        <w:rPr>
          <w:rFonts w:ascii="Comic Sans MS" w:hAnsi="Comic Sans MS"/>
          <w:sz w:val="20"/>
          <w:szCs w:val="20"/>
        </w:rPr>
        <w:t>Vidi i početnu stranicu Opće uprave za okoliš – zaštita prirode</w:t>
      </w:r>
      <w:r w:rsidR="0036373B" w:rsidRPr="004D2D8C">
        <w:rPr>
          <w:rFonts w:ascii="Comic Sans MS" w:hAnsi="Comic Sans MS"/>
          <w:sz w:val="20"/>
          <w:szCs w:val="20"/>
        </w:rPr>
        <w:t xml:space="preserve">, </w:t>
      </w:r>
      <w:r w:rsidR="005F2300" w:rsidRPr="004D2D8C">
        <w:rPr>
          <w:rFonts w:ascii="Comic Sans MS" w:hAnsi="Comic Sans MS"/>
          <w:sz w:val="20"/>
          <w:szCs w:val="20"/>
        </w:rPr>
        <w:t>uključujući i poveznice na Direktivu o staništima i Direktivu o zaštiti ptica.</w:t>
      </w:r>
    </w:p>
    <w:p w:rsidR="0036373B" w:rsidRPr="004D2D8C" w:rsidRDefault="0036373B" w:rsidP="0036373B">
      <w:pPr>
        <w:jc w:val="both"/>
        <w:rPr>
          <w:rFonts w:ascii="Comic Sans MS" w:hAnsi="Comic Sans MS"/>
          <w:b/>
          <w:sz w:val="20"/>
          <w:szCs w:val="20"/>
        </w:rPr>
      </w:pPr>
      <w:r w:rsidRPr="004D2D8C">
        <w:rPr>
          <w:rFonts w:ascii="Comic Sans MS" w:hAnsi="Comic Sans MS"/>
          <w:b/>
          <w:sz w:val="20"/>
          <w:szCs w:val="20"/>
        </w:rPr>
        <w:t>Bonn</w:t>
      </w:r>
      <w:r w:rsidR="00556A35" w:rsidRPr="004D2D8C">
        <w:rPr>
          <w:rFonts w:ascii="Comic Sans MS" w:hAnsi="Comic Sans MS"/>
          <w:b/>
          <w:sz w:val="20"/>
          <w:szCs w:val="20"/>
        </w:rPr>
        <w:t>ska konvencija</w:t>
      </w:r>
    </w:p>
    <w:p w:rsidR="0036373B" w:rsidRPr="004D2D8C" w:rsidRDefault="007430BC" w:rsidP="0036373B">
      <w:pPr>
        <w:jc w:val="both"/>
        <w:rPr>
          <w:rFonts w:ascii="Comic Sans MS" w:hAnsi="Comic Sans MS"/>
          <w:sz w:val="20"/>
          <w:szCs w:val="20"/>
        </w:rPr>
      </w:pPr>
      <w:r w:rsidRPr="004D2D8C">
        <w:rPr>
          <w:rFonts w:ascii="Comic Sans MS" w:hAnsi="Comic Sans MS"/>
          <w:sz w:val="20"/>
          <w:szCs w:val="20"/>
        </w:rPr>
        <w:t xml:space="preserve">Cilj </w:t>
      </w:r>
      <w:r w:rsidR="005F2300" w:rsidRPr="004D2D8C">
        <w:rPr>
          <w:rFonts w:ascii="Comic Sans MS" w:hAnsi="Comic Sans MS"/>
          <w:sz w:val="20"/>
          <w:szCs w:val="20"/>
        </w:rPr>
        <w:t>Konvencij</w:t>
      </w:r>
      <w:r w:rsidRPr="004D2D8C">
        <w:rPr>
          <w:rFonts w:ascii="Comic Sans MS" w:hAnsi="Comic Sans MS"/>
          <w:sz w:val="20"/>
          <w:szCs w:val="20"/>
        </w:rPr>
        <w:t>e</w:t>
      </w:r>
      <w:r w:rsidR="005F2300" w:rsidRPr="004D2D8C">
        <w:rPr>
          <w:rFonts w:ascii="Comic Sans MS" w:hAnsi="Comic Sans MS"/>
          <w:sz w:val="20"/>
          <w:szCs w:val="20"/>
        </w:rPr>
        <w:t xml:space="preserve"> o zaštiti migratornih vrsta divljih životinja</w:t>
      </w:r>
      <w:r w:rsidR="0036373B" w:rsidRPr="004D2D8C">
        <w:rPr>
          <w:rFonts w:ascii="Comic Sans MS" w:hAnsi="Comic Sans MS"/>
          <w:sz w:val="20"/>
          <w:szCs w:val="20"/>
        </w:rPr>
        <w:t xml:space="preserve">, </w:t>
      </w:r>
      <w:r w:rsidRPr="004D2D8C">
        <w:rPr>
          <w:rFonts w:ascii="Comic Sans MS" w:hAnsi="Comic Sans MS"/>
          <w:sz w:val="20"/>
          <w:szCs w:val="20"/>
        </w:rPr>
        <w:t xml:space="preserve">također poznate i kao </w:t>
      </w:r>
      <w:r w:rsidR="0036373B" w:rsidRPr="004D2D8C">
        <w:rPr>
          <w:rFonts w:ascii="Comic Sans MS" w:hAnsi="Comic Sans MS"/>
          <w:sz w:val="20"/>
          <w:szCs w:val="20"/>
        </w:rPr>
        <w:t xml:space="preserve">CMS, </w:t>
      </w:r>
      <w:r w:rsidRPr="004D2D8C">
        <w:rPr>
          <w:rFonts w:ascii="Comic Sans MS" w:hAnsi="Comic Sans MS"/>
          <w:sz w:val="20"/>
          <w:szCs w:val="20"/>
        </w:rPr>
        <w:t>očuvati je kopnene, morske i zračne migratorne vrste kao i njihova staništa gdje god postoje na globalnoj razini</w:t>
      </w:r>
      <w:r w:rsidR="0036373B" w:rsidRPr="004D2D8C">
        <w:rPr>
          <w:rFonts w:ascii="Comic Sans MS" w:hAnsi="Comic Sans MS"/>
          <w:sz w:val="20"/>
          <w:szCs w:val="20"/>
        </w:rPr>
        <w:t xml:space="preserve">. 104 </w:t>
      </w:r>
      <w:r w:rsidRPr="004D2D8C">
        <w:rPr>
          <w:rFonts w:ascii="Comic Sans MS" w:hAnsi="Comic Sans MS"/>
          <w:sz w:val="20"/>
          <w:szCs w:val="20"/>
        </w:rPr>
        <w:t xml:space="preserve">potpisnice iz </w:t>
      </w:r>
      <w:r w:rsidR="0036373B" w:rsidRPr="004D2D8C">
        <w:rPr>
          <w:rFonts w:ascii="Comic Sans MS" w:hAnsi="Comic Sans MS"/>
          <w:sz w:val="20"/>
          <w:szCs w:val="20"/>
        </w:rPr>
        <w:t>Afri</w:t>
      </w:r>
      <w:r w:rsidRPr="004D2D8C">
        <w:rPr>
          <w:rFonts w:ascii="Comic Sans MS" w:hAnsi="Comic Sans MS"/>
          <w:sz w:val="20"/>
          <w:szCs w:val="20"/>
        </w:rPr>
        <w:t>ke</w:t>
      </w:r>
      <w:r w:rsidR="0036373B" w:rsidRPr="004D2D8C">
        <w:rPr>
          <w:rFonts w:ascii="Comic Sans MS" w:hAnsi="Comic Sans MS"/>
          <w:sz w:val="20"/>
          <w:szCs w:val="20"/>
        </w:rPr>
        <w:t>,</w:t>
      </w:r>
      <w:r w:rsidRPr="004D2D8C">
        <w:rPr>
          <w:rFonts w:ascii="Comic Sans MS" w:hAnsi="Comic Sans MS"/>
          <w:sz w:val="20"/>
          <w:szCs w:val="20"/>
        </w:rPr>
        <w:t xml:space="preserve"> Srednje i Južne </w:t>
      </w:r>
      <w:r w:rsidR="0036373B" w:rsidRPr="004D2D8C">
        <w:rPr>
          <w:rFonts w:ascii="Comic Sans MS" w:hAnsi="Comic Sans MS"/>
          <w:sz w:val="20"/>
          <w:szCs w:val="20"/>
        </w:rPr>
        <w:t>Ameri</w:t>
      </w:r>
      <w:r w:rsidRPr="004D2D8C">
        <w:rPr>
          <w:rFonts w:ascii="Comic Sans MS" w:hAnsi="Comic Sans MS"/>
          <w:sz w:val="20"/>
          <w:szCs w:val="20"/>
        </w:rPr>
        <w:t xml:space="preserve">ke, Azije, </w:t>
      </w:r>
      <w:r w:rsidR="0036373B" w:rsidRPr="004D2D8C">
        <w:rPr>
          <w:rFonts w:ascii="Comic Sans MS" w:hAnsi="Comic Sans MS"/>
          <w:sz w:val="20"/>
          <w:szCs w:val="20"/>
        </w:rPr>
        <w:t xml:space="preserve">Europe </w:t>
      </w:r>
      <w:r w:rsidRPr="004D2D8C">
        <w:rPr>
          <w:rFonts w:ascii="Comic Sans MS" w:hAnsi="Comic Sans MS"/>
          <w:sz w:val="20"/>
          <w:szCs w:val="20"/>
        </w:rPr>
        <w:t>i</w:t>
      </w:r>
      <w:r w:rsidR="0036373B" w:rsidRPr="004D2D8C">
        <w:rPr>
          <w:rFonts w:ascii="Comic Sans MS" w:hAnsi="Comic Sans MS"/>
          <w:sz w:val="20"/>
          <w:szCs w:val="20"/>
        </w:rPr>
        <w:t xml:space="preserve"> Oceani</w:t>
      </w:r>
      <w:r w:rsidRPr="004D2D8C">
        <w:rPr>
          <w:rFonts w:ascii="Comic Sans MS" w:hAnsi="Comic Sans MS"/>
          <w:sz w:val="20"/>
          <w:szCs w:val="20"/>
        </w:rPr>
        <w:t>je</w:t>
      </w:r>
      <w:r w:rsidR="0036373B" w:rsidRPr="004D2D8C">
        <w:rPr>
          <w:rFonts w:ascii="Comic Sans MS" w:hAnsi="Comic Sans MS"/>
          <w:sz w:val="20"/>
          <w:szCs w:val="20"/>
        </w:rPr>
        <w:t xml:space="preserve"> (</w:t>
      </w:r>
      <w:r w:rsidRPr="004D2D8C">
        <w:rPr>
          <w:rFonts w:ascii="Comic Sans MS" w:hAnsi="Comic Sans MS"/>
          <w:sz w:val="20"/>
          <w:szCs w:val="20"/>
        </w:rPr>
        <w:t xml:space="preserve">na dan </w:t>
      </w:r>
      <w:r w:rsidR="0036373B" w:rsidRPr="004D2D8C">
        <w:rPr>
          <w:rFonts w:ascii="Comic Sans MS" w:hAnsi="Comic Sans MS"/>
          <w:sz w:val="20"/>
          <w:szCs w:val="20"/>
        </w:rPr>
        <w:t xml:space="preserve">01/01/08) </w:t>
      </w:r>
      <w:r w:rsidRPr="004D2D8C">
        <w:rPr>
          <w:rFonts w:ascii="Comic Sans MS" w:hAnsi="Comic Sans MS"/>
          <w:sz w:val="20"/>
          <w:szCs w:val="20"/>
        </w:rPr>
        <w:t xml:space="preserve">potpisale su ovaj međudržavni ugovor koji je stupio na snagu </w:t>
      </w:r>
      <w:r w:rsidR="0036373B" w:rsidRPr="004D2D8C">
        <w:rPr>
          <w:rFonts w:ascii="Comic Sans MS" w:hAnsi="Comic Sans MS"/>
          <w:sz w:val="20"/>
          <w:szCs w:val="20"/>
        </w:rPr>
        <w:t>1983</w:t>
      </w:r>
      <w:r w:rsidRPr="004D2D8C">
        <w:rPr>
          <w:rFonts w:ascii="Comic Sans MS" w:hAnsi="Comic Sans MS"/>
          <w:sz w:val="20"/>
          <w:szCs w:val="20"/>
        </w:rPr>
        <w:t>. godine</w:t>
      </w:r>
      <w:r w:rsidR="0036373B" w:rsidRPr="004D2D8C">
        <w:rPr>
          <w:rFonts w:ascii="Comic Sans MS" w:hAnsi="Comic Sans MS"/>
          <w:sz w:val="20"/>
          <w:szCs w:val="20"/>
        </w:rPr>
        <w:t>.</w:t>
      </w:r>
      <w:r w:rsidRPr="004D2D8C">
        <w:rPr>
          <w:rFonts w:ascii="Comic Sans MS" w:hAnsi="Comic Sans MS"/>
          <w:sz w:val="20"/>
          <w:szCs w:val="20"/>
        </w:rPr>
        <w:t xml:space="preserve"> Izvor</w:t>
      </w:r>
      <w:r w:rsidR="0036373B" w:rsidRPr="004D2D8C">
        <w:rPr>
          <w:rFonts w:ascii="Comic Sans MS" w:hAnsi="Comic Sans MS"/>
          <w:sz w:val="20"/>
          <w:szCs w:val="20"/>
        </w:rPr>
        <w:t xml:space="preserve">: </w:t>
      </w:r>
      <w:r w:rsidRPr="004D2D8C">
        <w:rPr>
          <w:rFonts w:ascii="Comic Sans MS" w:hAnsi="Comic Sans MS"/>
          <w:sz w:val="20"/>
          <w:szCs w:val="20"/>
        </w:rPr>
        <w:t>web stranice Konvencije o migratornim vrstama.</w:t>
      </w:r>
    </w:p>
    <w:p w:rsidR="0036373B" w:rsidRPr="004D2D8C" w:rsidRDefault="005F2300" w:rsidP="0036373B">
      <w:pPr>
        <w:jc w:val="both"/>
        <w:rPr>
          <w:rFonts w:ascii="Comic Sans MS" w:hAnsi="Comic Sans MS"/>
          <w:b/>
          <w:sz w:val="20"/>
          <w:szCs w:val="20"/>
        </w:rPr>
      </w:pPr>
      <w:r w:rsidRPr="004D2D8C">
        <w:rPr>
          <w:rFonts w:ascii="Comic Sans MS" w:hAnsi="Comic Sans MS"/>
          <w:b/>
          <w:sz w:val="20"/>
          <w:szCs w:val="20"/>
        </w:rPr>
        <w:t xml:space="preserve">Povelja o temeljnim pravima </w:t>
      </w:r>
      <w:r w:rsidR="00556A35" w:rsidRPr="004D2D8C">
        <w:rPr>
          <w:rFonts w:ascii="Comic Sans MS" w:hAnsi="Comic Sans MS"/>
          <w:b/>
          <w:sz w:val="20"/>
          <w:szCs w:val="20"/>
        </w:rPr>
        <w:t xml:space="preserve"> </w:t>
      </w:r>
    </w:p>
    <w:p w:rsidR="0036373B" w:rsidRPr="004D2D8C" w:rsidRDefault="00556A35" w:rsidP="0036373B">
      <w:pPr>
        <w:jc w:val="both"/>
        <w:rPr>
          <w:rFonts w:ascii="Comic Sans MS" w:hAnsi="Comic Sans MS"/>
          <w:sz w:val="20"/>
          <w:szCs w:val="20"/>
        </w:rPr>
      </w:pPr>
      <w:r w:rsidRPr="004D2D8C">
        <w:rPr>
          <w:rFonts w:ascii="Comic Sans MS" w:hAnsi="Comic Sans MS"/>
          <w:sz w:val="20"/>
          <w:szCs w:val="20"/>
        </w:rPr>
        <w:t xml:space="preserve">Povelja Europske unije o temeljnim pravima </w:t>
      </w:r>
      <w:r w:rsidR="0036373B" w:rsidRPr="004D2D8C">
        <w:rPr>
          <w:rFonts w:ascii="Comic Sans MS" w:hAnsi="Comic Sans MS"/>
          <w:sz w:val="20"/>
          <w:szCs w:val="20"/>
        </w:rPr>
        <w:t>(</w:t>
      </w:r>
      <w:r w:rsidR="002A5D17" w:rsidRPr="004D2D8C">
        <w:rPr>
          <w:rFonts w:ascii="Comic Sans MS" w:hAnsi="Comic Sans MS"/>
          <w:sz w:val="20"/>
          <w:szCs w:val="20"/>
        </w:rPr>
        <w:t xml:space="preserve">Službeni list </w:t>
      </w:r>
      <w:r w:rsidR="0036373B" w:rsidRPr="004D2D8C">
        <w:rPr>
          <w:rFonts w:ascii="Comic Sans MS" w:hAnsi="Comic Sans MS"/>
          <w:sz w:val="20"/>
          <w:szCs w:val="20"/>
        </w:rPr>
        <w:t>Europ</w:t>
      </w:r>
      <w:r w:rsidR="002A5D17" w:rsidRPr="004D2D8C">
        <w:rPr>
          <w:rFonts w:ascii="Comic Sans MS" w:hAnsi="Comic Sans MS"/>
          <w:sz w:val="20"/>
          <w:szCs w:val="20"/>
        </w:rPr>
        <w:t>sk</w:t>
      </w:r>
      <w:r w:rsidR="0036373B" w:rsidRPr="004D2D8C">
        <w:rPr>
          <w:rFonts w:ascii="Comic Sans MS" w:hAnsi="Comic Sans MS"/>
          <w:sz w:val="20"/>
          <w:szCs w:val="20"/>
        </w:rPr>
        <w:t>e</w:t>
      </w:r>
      <w:r w:rsidR="002A5D17" w:rsidRPr="004D2D8C">
        <w:rPr>
          <w:rFonts w:ascii="Comic Sans MS" w:hAnsi="Comic Sans MS"/>
          <w:sz w:val="20"/>
          <w:szCs w:val="20"/>
        </w:rPr>
        <w:t xml:space="preserve"> u</w:t>
      </w:r>
      <w:r w:rsidR="0036373B" w:rsidRPr="004D2D8C">
        <w:rPr>
          <w:rFonts w:ascii="Comic Sans MS" w:hAnsi="Comic Sans MS"/>
          <w:sz w:val="20"/>
          <w:szCs w:val="20"/>
        </w:rPr>
        <w:t>ni</w:t>
      </w:r>
      <w:r w:rsidR="002A5D17" w:rsidRPr="004D2D8C">
        <w:rPr>
          <w:rFonts w:ascii="Comic Sans MS" w:hAnsi="Comic Sans MS"/>
          <w:sz w:val="20"/>
          <w:szCs w:val="20"/>
        </w:rPr>
        <w:t>je</w:t>
      </w:r>
      <w:r w:rsidR="0036373B" w:rsidRPr="004D2D8C">
        <w:rPr>
          <w:rFonts w:ascii="Comic Sans MS" w:hAnsi="Comic Sans MS"/>
          <w:sz w:val="20"/>
          <w:szCs w:val="20"/>
        </w:rPr>
        <w:t xml:space="preserve"> 2000/C 364/01) </w:t>
      </w:r>
      <w:r w:rsidR="002A5D17" w:rsidRPr="004D2D8C">
        <w:rPr>
          <w:rFonts w:ascii="Comic Sans MS" w:hAnsi="Comic Sans MS"/>
          <w:sz w:val="20"/>
          <w:szCs w:val="20"/>
        </w:rPr>
        <w:t xml:space="preserve">dokument je koji sadržava odredbe o ljudskim pravima koji su svečano proglasili </w:t>
      </w:r>
      <w:r w:rsidR="0036373B" w:rsidRPr="004D2D8C">
        <w:rPr>
          <w:rFonts w:ascii="Comic Sans MS" w:hAnsi="Comic Sans MS"/>
          <w:sz w:val="20"/>
          <w:szCs w:val="20"/>
        </w:rPr>
        <w:t>Europ</w:t>
      </w:r>
      <w:r w:rsidR="002A5D17" w:rsidRPr="004D2D8C">
        <w:rPr>
          <w:rFonts w:ascii="Comic Sans MS" w:hAnsi="Comic Sans MS"/>
          <w:sz w:val="20"/>
          <w:szCs w:val="20"/>
        </w:rPr>
        <w:t>ski p</w:t>
      </w:r>
      <w:r w:rsidR="0036373B" w:rsidRPr="004D2D8C">
        <w:rPr>
          <w:rFonts w:ascii="Comic Sans MS" w:hAnsi="Comic Sans MS"/>
          <w:sz w:val="20"/>
          <w:szCs w:val="20"/>
        </w:rPr>
        <w:t xml:space="preserve">arlament, </w:t>
      </w:r>
      <w:r w:rsidR="002A5D17" w:rsidRPr="004D2D8C">
        <w:rPr>
          <w:rFonts w:ascii="Comic Sans MS" w:hAnsi="Comic Sans MS"/>
          <w:sz w:val="20"/>
          <w:szCs w:val="20"/>
        </w:rPr>
        <w:t xml:space="preserve">Vijeće </w:t>
      </w:r>
      <w:r w:rsidR="0036373B" w:rsidRPr="004D2D8C">
        <w:rPr>
          <w:rFonts w:ascii="Comic Sans MS" w:hAnsi="Comic Sans MS"/>
          <w:sz w:val="20"/>
          <w:szCs w:val="20"/>
        </w:rPr>
        <w:t>EU</w:t>
      </w:r>
      <w:r w:rsidR="002A5D17" w:rsidRPr="004D2D8C">
        <w:rPr>
          <w:rFonts w:ascii="Comic Sans MS" w:hAnsi="Comic Sans MS"/>
          <w:sz w:val="20"/>
          <w:szCs w:val="20"/>
        </w:rPr>
        <w:t xml:space="preserve">-e i </w:t>
      </w:r>
      <w:r w:rsidR="0036373B" w:rsidRPr="004D2D8C">
        <w:rPr>
          <w:rFonts w:ascii="Comic Sans MS" w:hAnsi="Comic Sans MS"/>
          <w:sz w:val="20"/>
          <w:szCs w:val="20"/>
        </w:rPr>
        <w:t>Europ</w:t>
      </w:r>
      <w:r w:rsidR="002A5D17" w:rsidRPr="004D2D8C">
        <w:rPr>
          <w:rFonts w:ascii="Comic Sans MS" w:hAnsi="Comic Sans MS"/>
          <w:sz w:val="20"/>
          <w:szCs w:val="20"/>
        </w:rPr>
        <w:t xml:space="preserve">ska komisija u prosincu </w:t>
      </w:r>
      <w:r w:rsidR="0036373B" w:rsidRPr="004D2D8C">
        <w:rPr>
          <w:rFonts w:ascii="Comic Sans MS" w:hAnsi="Comic Sans MS"/>
          <w:sz w:val="20"/>
          <w:szCs w:val="20"/>
        </w:rPr>
        <w:t>2000.</w:t>
      </w:r>
      <w:r w:rsidR="002A5D17" w:rsidRPr="004D2D8C">
        <w:rPr>
          <w:rFonts w:ascii="Comic Sans MS" w:hAnsi="Comic Sans MS"/>
          <w:sz w:val="20"/>
          <w:szCs w:val="20"/>
        </w:rPr>
        <w:t xml:space="preserve"> Izmijenjena verzija proglašena je </w:t>
      </w:r>
      <w:r w:rsidR="0036373B" w:rsidRPr="004D2D8C">
        <w:rPr>
          <w:rFonts w:ascii="Comic Sans MS" w:hAnsi="Comic Sans MS"/>
          <w:sz w:val="20"/>
          <w:szCs w:val="20"/>
        </w:rPr>
        <w:t>12</w:t>
      </w:r>
      <w:r w:rsidR="002A5D17" w:rsidRPr="004D2D8C">
        <w:rPr>
          <w:rFonts w:ascii="Comic Sans MS" w:hAnsi="Comic Sans MS"/>
          <w:sz w:val="20"/>
          <w:szCs w:val="20"/>
        </w:rPr>
        <w:t xml:space="preserve">. prosinca </w:t>
      </w:r>
      <w:r w:rsidR="0036373B" w:rsidRPr="004D2D8C">
        <w:rPr>
          <w:rFonts w:ascii="Comic Sans MS" w:hAnsi="Comic Sans MS"/>
          <w:sz w:val="20"/>
          <w:szCs w:val="20"/>
        </w:rPr>
        <w:t>2007</w:t>
      </w:r>
      <w:r w:rsidR="002A5D17" w:rsidRPr="004D2D8C">
        <w:rPr>
          <w:rFonts w:ascii="Comic Sans MS" w:hAnsi="Comic Sans MS"/>
          <w:sz w:val="20"/>
          <w:szCs w:val="20"/>
        </w:rPr>
        <w:t>. godine u Strasbourgu</w:t>
      </w:r>
      <w:r w:rsidR="0036373B" w:rsidRPr="004D2D8C">
        <w:rPr>
          <w:rFonts w:ascii="Comic Sans MS" w:hAnsi="Comic Sans MS"/>
          <w:sz w:val="20"/>
          <w:szCs w:val="20"/>
        </w:rPr>
        <w:t xml:space="preserve"> (OJEU 2007/C 303/01)</w:t>
      </w:r>
      <w:r w:rsidR="002A5D17" w:rsidRPr="004D2D8C">
        <w:rPr>
          <w:rFonts w:ascii="Comic Sans MS" w:hAnsi="Comic Sans MS"/>
          <w:sz w:val="20"/>
          <w:szCs w:val="20"/>
        </w:rPr>
        <w:t xml:space="preserve"> i uvrštena kao referenca u Ugovor iz Lisabona</w:t>
      </w:r>
      <w:r w:rsidR="0036373B" w:rsidRPr="004D2D8C">
        <w:rPr>
          <w:rFonts w:ascii="Comic Sans MS" w:hAnsi="Comic Sans MS"/>
          <w:sz w:val="20"/>
          <w:szCs w:val="20"/>
        </w:rPr>
        <w:t xml:space="preserve"> (2007</w:t>
      </w:r>
      <w:r w:rsidR="002A5D17" w:rsidRPr="004D2D8C">
        <w:rPr>
          <w:rFonts w:ascii="Comic Sans MS" w:hAnsi="Comic Sans MS"/>
          <w:sz w:val="20"/>
          <w:szCs w:val="20"/>
        </w:rPr>
        <w:t>.</w:t>
      </w:r>
      <w:r w:rsidR="0036373B" w:rsidRPr="004D2D8C">
        <w:rPr>
          <w:rFonts w:ascii="Comic Sans MS" w:hAnsi="Comic Sans MS"/>
          <w:sz w:val="20"/>
          <w:szCs w:val="20"/>
        </w:rPr>
        <w:t xml:space="preserve">). </w:t>
      </w:r>
      <w:r w:rsidR="002A5D17" w:rsidRPr="004D2D8C">
        <w:rPr>
          <w:rFonts w:ascii="Comic Sans MS" w:hAnsi="Comic Sans MS"/>
          <w:sz w:val="20"/>
          <w:szCs w:val="20"/>
        </w:rPr>
        <w:t>Povelja utvrđuje civilna, politička, ekonomska i socijalna prava eu</w:t>
      </w:r>
      <w:r w:rsidR="0036373B" w:rsidRPr="004D2D8C">
        <w:rPr>
          <w:rFonts w:ascii="Comic Sans MS" w:hAnsi="Comic Sans MS"/>
          <w:sz w:val="20"/>
          <w:szCs w:val="20"/>
        </w:rPr>
        <w:t>rop</w:t>
      </w:r>
      <w:r w:rsidR="002A5D17" w:rsidRPr="004D2D8C">
        <w:rPr>
          <w:rFonts w:ascii="Comic Sans MS" w:hAnsi="Comic Sans MS"/>
          <w:sz w:val="20"/>
          <w:szCs w:val="20"/>
        </w:rPr>
        <w:t xml:space="preserve">skih građana i svih osoba koje žive u </w:t>
      </w:r>
      <w:r w:rsidR="0036373B" w:rsidRPr="004D2D8C">
        <w:rPr>
          <w:rFonts w:ascii="Comic Sans MS" w:hAnsi="Comic Sans MS"/>
          <w:sz w:val="20"/>
          <w:szCs w:val="20"/>
        </w:rPr>
        <w:t>E</w:t>
      </w:r>
      <w:r w:rsidR="002A5D17" w:rsidRPr="004D2D8C">
        <w:rPr>
          <w:rFonts w:ascii="Comic Sans MS" w:hAnsi="Comic Sans MS"/>
          <w:sz w:val="20"/>
          <w:szCs w:val="20"/>
        </w:rPr>
        <w:t>uropskoj uniji i definira ih kao zajedničke vrijednosti EU-a</w:t>
      </w:r>
      <w:r w:rsidR="0036373B" w:rsidRPr="004D2D8C">
        <w:rPr>
          <w:rFonts w:ascii="Comic Sans MS" w:hAnsi="Comic Sans MS"/>
          <w:sz w:val="20"/>
          <w:szCs w:val="20"/>
        </w:rPr>
        <w:t xml:space="preserve">. </w:t>
      </w:r>
      <w:r w:rsidR="002A5D17" w:rsidRPr="004D2D8C">
        <w:rPr>
          <w:rFonts w:ascii="Comic Sans MS" w:hAnsi="Comic Sans MS"/>
          <w:sz w:val="20"/>
          <w:szCs w:val="20"/>
        </w:rPr>
        <w:t xml:space="preserve">Podijeljena je na </w:t>
      </w:r>
      <w:r w:rsidR="0036373B" w:rsidRPr="004D2D8C">
        <w:rPr>
          <w:rFonts w:ascii="Comic Sans MS" w:hAnsi="Comic Sans MS"/>
          <w:sz w:val="20"/>
          <w:szCs w:val="20"/>
        </w:rPr>
        <w:t xml:space="preserve">6 </w:t>
      </w:r>
      <w:r w:rsidR="002A5D17" w:rsidRPr="004D2D8C">
        <w:rPr>
          <w:rFonts w:ascii="Comic Sans MS" w:hAnsi="Comic Sans MS"/>
          <w:sz w:val="20"/>
          <w:szCs w:val="20"/>
        </w:rPr>
        <w:t>glavnih kategorija prava</w:t>
      </w:r>
      <w:r w:rsidR="0036373B" w:rsidRPr="004D2D8C">
        <w:rPr>
          <w:rFonts w:ascii="Comic Sans MS" w:hAnsi="Comic Sans MS"/>
          <w:sz w:val="20"/>
          <w:szCs w:val="20"/>
        </w:rPr>
        <w:t>:</w:t>
      </w:r>
      <w:r w:rsidR="002A5D17" w:rsidRPr="004D2D8C">
        <w:rPr>
          <w:rFonts w:ascii="Comic Sans MS" w:hAnsi="Comic Sans MS"/>
          <w:sz w:val="20"/>
          <w:szCs w:val="20"/>
        </w:rPr>
        <w:t xml:space="preserve"> ljudsko dostojanstvo, temeljne slobode, jednakost, solidarnost,</w:t>
      </w:r>
      <w:r w:rsidR="007C78E8" w:rsidRPr="004D2D8C">
        <w:rPr>
          <w:rFonts w:ascii="Comic Sans MS" w:hAnsi="Comic Sans MS"/>
          <w:sz w:val="20"/>
          <w:szCs w:val="20"/>
        </w:rPr>
        <w:t xml:space="preserve"> građanska prava i pravda</w:t>
      </w:r>
      <w:r w:rsidR="0036373B" w:rsidRPr="004D2D8C">
        <w:rPr>
          <w:rFonts w:ascii="Comic Sans MS" w:hAnsi="Comic Sans MS"/>
          <w:sz w:val="20"/>
          <w:szCs w:val="20"/>
        </w:rPr>
        <w:t xml:space="preserve">. </w:t>
      </w:r>
      <w:r w:rsidR="007C78E8" w:rsidRPr="004D2D8C">
        <w:rPr>
          <w:rFonts w:ascii="Comic Sans MS" w:hAnsi="Comic Sans MS"/>
          <w:sz w:val="20"/>
          <w:szCs w:val="20"/>
        </w:rPr>
        <w:t xml:space="preserve">Odredbe se odnose na institucije i tijela </w:t>
      </w:r>
      <w:r w:rsidR="0036373B" w:rsidRPr="004D2D8C">
        <w:rPr>
          <w:rFonts w:ascii="Comic Sans MS" w:hAnsi="Comic Sans MS"/>
          <w:sz w:val="20"/>
          <w:szCs w:val="20"/>
        </w:rPr>
        <w:t>EU</w:t>
      </w:r>
      <w:r w:rsidR="007C78E8" w:rsidRPr="004D2D8C">
        <w:rPr>
          <w:rFonts w:ascii="Comic Sans MS" w:hAnsi="Comic Sans MS"/>
          <w:sz w:val="20"/>
          <w:szCs w:val="20"/>
        </w:rPr>
        <w:t xml:space="preserve">-a i na države članice kada provode zakone </w:t>
      </w:r>
      <w:r w:rsidR="0036373B" w:rsidRPr="004D2D8C">
        <w:rPr>
          <w:rFonts w:ascii="Comic Sans MS" w:hAnsi="Comic Sans MS"/>
          <w:sz w:val="20"/>
          <w:szCs w:val="20"/>
        </w:rPr>
        <w:t>EU</w:t>
      </w:r>
      <w:r w:rsidR="007C78E8" w:rsidRPr="004D2D8C">
        <w:rPr>
          <w:rFonts w:ascii="Comic Sans MS" w:hAnsi="Comic Sans MS"/>
          <w:sz w:val="20"/>
          <w:szCs w:val="20"/>
        </w:rPr>
        <w:t>-a</w:t>
      </w:r>
      <w:r w:rsidR="0036373B" w:rsidRPr="004D2D8C">
        <w:rPr>
          <w:rFonts w:ascii="Comic Sans MS" w:hAnsi="Comic Sans MS"/>
          <w:sz w:val="20"/>
          <w:szCs w:val="20"/>
        </w:rPr>
        <w:t xml:space="preserve">. </w:t>
      </w:r>
      <w:r w:rsidR="007C78E8" w:rsidRPr="004D2D8C">
        <w:rPr>
          <w:rFonts w:ascii="Comic Sans MS" w:hAnsi="Comic Sans MS"/>
          <w:sz w:val="20"/>
          <w:szCs w:val="20"/>
        </w:rPr>
        <w:t>Izvor</w:t>
      </w:r>
      <w:r w:rsidR="0036373B" w:rsidRPr="004D2D8C">
        <w:rPr>
          <w:rFonts w:ascii="Comic Sans MS" w:hAnsi="Comic Sans MS"/>
          <w:sz w:val="20"/>
          <w:szCs w:val="20"/>
        </w:rPr>
        <w:t xml:space="preserve">: </w:t>
      </w:r>
      <w:r w:rsidR="007C78E8" w:rsidRPr="004D2D8C">
        <w:rPr>
          <w:rFonts w:ascii="Comic Sans MS" w:hAnsi="Comic Sans MS"/>
          <w:sz w:val="20"/>
          <w:szCs w:val="20"/>
        </w:rPr>
        <w:t xml:space="preserve">web stranice </w:t>
      </w:r>
      <w:r w:rsidR="0036373B" w:rsidRPr="004D2D8C">
        <w:rPr>
          <w:rFonts w:ascii="Comic Sans MS" w:hAnsi="Comic Sans MS"/>
          <w:sz w:val="20"/>
          <w:szCs w:val="20"/>
        </w:rPr>
        <w:t>Europ</w:t>
      </w:r>
      <w:r w:rsidR="007C78E8" w:rsidRPr="004D2D8C">
        <w:rPr>
          <w:rFonts w:ascii="Comic Sans MS" w:hAnsi="Comic Sans MS"/>
          <w:sz w:val="20"/>
          <w:szCs w:val="20"/>
        </w:rPr>
        <w:t>skog p</w:t>
      </w:r>
      <w:r w:rsidR="0036373B" w:rsidRPr="004D2D8C">
        <w:rPr>
          <w:rFonts w:ascii="Comic Sans MS" w:hAnsi="Comic Sans MS"/>
          <w:sz w:val="20"/>
          <w:szCs w:val="20"/>
        </w:rPr>
        <w:t>arlament</w:t>
      </w:r>
      <w:r w:rsidR="007C78E8" w:rsidRPr="004D2D8C">
        <w:rPr>
          <w:rFonts w:ascii="Comic Sans MS" w:hAnsi="Comic Sans MS"/>
          <w:sz w:val="20"/>
          <w:szCs w:val="20"/>
        </w:rPr>
        <w:t>a</w:t>
      </w:r>
      <w:r w:rsidR="0036373B" w:rsidRPr="004D2D8C">
        <w:rPr>
          <w:rFonts w:ascii="Comic Sans MS" w:hAnsi="Comic Sans MS"/>
          <w:sz w:val="20"/>
          <w:szCs w:val="20"/>
        </w:rPr>
        <w:t>.</w:t>
      </w:r>
    </w:p>
    <w:p w:rsidR="0036373B" w:rsidRPr="004D2D8C" w:rsidRDefault="0036373B" w:rsidP="0036373B">
      <w:pPr>
        <w:jc w:val="both"/>
        <w:rPr>
          <w:rFonts w:ascii="Comic Sans MS" w:hAnsi="Comic Sans MS"/>
          <w:b/>
          <w:sz w:val="20"/>
          <w:szCs w:val="20"/>
        </w:rPr>
      </w:pPr>
      <w:r w:rsidRPr="004D2D8C">
        <w:rPr>
          <w:rFonts w:ascii="Comic Sans MS" w:hAnsi="Comic Sans MS"/>
          <w:b/>
          <w:sz w:val="20"/>
          <w:szCs w:val="20"/>
        </w:rPr>
        <w:t>Organi</w:t>
      </w:r>
      <w:r w:rsidR="007430BC" w:rsidRPr="004D2D8C">
        <w:rPr>
          <w:rFonts w:ascii="Comic Sans MS" w:hAnsi="Comic Sans MS"/>
          <w:b/>
          <w:sz w:val="20"/>
          <w:szCs w:val="20"/>
        </w:rPr>
        <w:t xml:space="preserve">zacije civilnog društva </w:t>
      </w:r>
      <w:r w:rsidRPr="004D2D8C">
        <w:rPr>
          <w:rFonts w:ascii="Comic Sans MS" w:hAnsi="Comic Sans MS"/>
          <w:b/>
          <w:sz w:val="20"/>
          <w:szCs w:val="20"/>
        </w:rPr>
        <w:t>(CSOs)</w:t>
      </w:r>
    </w:p>
    <w:p w:rsidR="0036373B" w:rsidRPr="004D2D8C" w:rsidRDefault="00930062" w:rsidP="0036373B">
      <w:pPr>
        <w:jc w:val="both"/>
        <w:rPr>
          <w:rFonts w:ascii="Comic Sans MS" w:hAnsi="Comic Sans MS"/>
          <w:sz w:val="20"/>
          <w:szCs w:val="20"/>
        </w:rPr>
      </w:pPr>
      <w:r w:rsidRPr="004D2D8C">
        <w:rPr>
          <w:rFonts w:ascii="Comic Sans MS" w:hAnsi="Comic Sans MS"/>
          <w:sz w:val="20"/>
          <w:szCs w:val="20"/>
        </w:rPr>
        <w:t xml:space="preserve">Veliki broj udruga putem kojih se građani dobrovoljno organiziraju i koje predstavljaju široki raspon interesa i veza, od etničkih i religijskih preko zajedničkih profesionalnih i razvojnih </w:t>
      </w:r>
      <w:r w:rsidR="0036373B" w:rsidRPr="004D2D8C">
        <w:rPr>
          <w:rFonts w:ascii="Comic Sans MS" w:hAnsi="Comic Sans MS"/>
          <w:sz w:val="20"/>
          <w:szCs w:val="20"/>
        </w:rPr>
        <w:t xml:space="preserve"> </w:t>
      </w:r>
      <w:r w:rsidRPr="004D2D8C">
        <w:rPr>
          <w:rFonts w:ascii="Comic Sans MS" w:hAnsi="Comic Sans MS"/>
          <w:sz w:val="20"/>
          <w:szCs w:val="20"/>
        </w:rPr>
        <w:t>sadržaja i sadržaja za slobodno vrijeme do pitanja kao što su zaštita okoliša i ljudskih prava. Izvor</w:t>
      </w:r>
      <w:r w:rsidR="0036373B" w:rsidRPr="004D2D8C">
        <w:rPr>
          <w:rFonts w:ascii="Comic Sans MS" w:hAnsi="Comic Sans MS"/>
          <w:sz w:val="20"/>
          <w:szCs w:val="20"/>
        </w:rPr>
        <w:t>: UNDP Program</w:t>
      </w:r>
      <w:r w:rsidRPr="004D2D8C">
        <w:rPr>
          <w:rFonts w:ascii="Comic Sans MS" w:hAnsi="Comic Sans MS"/>
          <w:sz w:val="20"/>
          <w:szCs w:val="20"/>
        </w:rPr>
        <w:t>sk</w:t>
      </w:r>
      <w:r w:rsidR="0036373B" w:rsidRPr="004D2D8C">
        <w:rPr>
          <w:rFonts w:ascii="Comic Sans MS" w:hAnsi="Comic Sans MS"/>
          <w:sz w:val="20"/>
          <w:szCs w:val="20"/>
        </w:rPr>
        <w:t>i</w:t>
      </w:r>
      <w:r w:rsidRPr="004D2D8C">
        <w:rPr>
          <w:rFonts w:ascii="Comic Sans MS" w:hAnsi="Comic Sans MS"/>
          <w:sz w:val="20"/>
          <w:szCs w:val="20"/>
        </w:rPr>
        <w:t xml:space="preserve"> priručnik </w:t>
      </w:r>
      <w:r w:rsidR="0036373B" w:rsidRPr="004D2D8C">
        <w:rPr>
          <w:rFonts w:ascii="Comic Sans MS" w:hAnsi="Comic Sans MS"/>
          <w:sz w:val="20"/>
          <w:szCs w:val="20"/>
        </w:rPr>
        <w:t>– Glosar (1999</w:t>
      </w:r>
      <w:r w:rsidRPr="004D2D8C">
        <w:rPr>
          <w:rFonts w:ascii="Comic Sans MS" w:hAnsi="Comic Sans MS"/>
          <w:sz w:val="20"/>
          <w:szCs w:val="20"/>
        </w:rPr>
        <w:t>.</w:t>
      </w:r>
      <w:r w:rsidR="0036373B" w:rsidRPr="004D2D8C">
        <w:rPr>
          <w:rFonts w:ascii="Comic Sans MS" w:hAnsi="Comic Sans MS"/>
          <w:sz w:val="20"/>
          <w:szCs w:val="20"/>
        </w:rPr>
        <w:t>).</w:t>
      </w:r>
    </w:p>
    <w:p w:rsidR="0036373B" w:rsidRPr="004D2D8C" w:rsidRDefault="00930062" w:rsidP="0036373B">
      <w:pPr>
        <w:jc w:val="both"/>
        <w:rPr>
          <w:rFonts w:ascii="Comic Sans MS" w:hAnsi="Comic Sans MS"/>
          <w:b/>
          <w:sz w:val="20"/>
          <w:szCs w:val="20"/>
        </w:rPr>
      </w:pPr>
      <w:r w:rsidRPr="004D2D8C">
        <w:rPr>
          <w:rFonts w:ascii="Comic Sans MS" w:hAnsi="Comic Sans MS"/>
          <w:b/>
          <w:sz w:val="20"/>
          <w:szCs w:val="20"/>
        </w:rPr>
        <w:t xml:space="preserve">Nadležni organi vlasti </w:t>
      </w:r>
      <w:r w:rsidR="0036373B" w:rsidRPr="004D2D8C">
        <w:rPr>
          <w:rFonts w:ascii="Comic Sans MS" w:hAnsi="Comic Sans MS"/>
          <w:b/>
          <w:sz w:val="20"/>
          <w:szCs w:val="20"/>
        </w:rPr>
        <w:t>(</w:t>
      </w:r>
      <w:r w:rsidRPr="004D2D8C">
        <w:rPr>
          <w:rFonts w:ascii="Comic Sans MS" w:hAnsi="Comic Sans MS"/>
          <w:b/>
          <w:sz w:val="20"/>
          <w:szCs w:val="20"/>
        </w:rPr>
        <w:t>zaštita okoliša</w:t>
      </w:r>
      <w:r w:rsidR="0036373B" w:rsidRPr="004D2D8C">
        <w:rPr>
          <w:rFonts w:ascii="Comic Sans MS" w:hAnsi="Comic Sans MS"/>
          <w:b/>
          <w:sz w:val="20"/>
          <w:szCs w:val="20"/>
        </w:rPr>
        <w:t>)</w:t>
      </w:r>
    </w:p>
    <w:p w:rsidR="0036373B" w:rsidRPr="004D2D8C" w:rsidRDefault="007B1656" w:rsidP="0036373B">
      <w:pPr>
        <w:jc w:val="both"/>
        <w:rPr>
          <w:rFonts w:ascii="Comic Sans MS" w:hAnsi="Comic Sans MS"/>
          <w:sz w:val="20"/>
          <w:szCs w:val="20"/>
        </w:rPr>
      </w:pPr>
      <w:r w:rsidRPr="004D2D8C">
        <w:rPr>
          <w:rFonts w:ascii="Comic Sans MS" w:hAnsi="Comic Sans MS"/>
          <w:sz w:val="20"/>
          <w:szCs w:val="20"/>
        </w:rPr>
        <w:t>Svaka država članica imenuje</w:t>
      </w:r>
      <w:r w:rsidR="00930062" w:rsidRPr="004D2D8C">
        <w:rPr>
          <w:rFonts w:ascii="Comic Sans MS" w:hAnsi="Comic Sans MS"/>
          <w:sz w:val="20"/>
          <w:szCs w:val="20"/>
        </w:rPr>
        <w:t xml:space="preserve"> nadležni organ vlasti / nadležne organe vlasti koji nadgledaju provedbu europskih direktiva u svojim državama članicama</w:t>
      </w:r>
      <w:r w:rsidR="0036373B" w:rsidRPr="004D2D8C">
        <w:rPr>
          <w:rFonts w:ascii="Comic Sans MS" w:hAnsi="Comic Sans MS"/>
          <w:sz w:val="20"/>
          <w:szCs w:val="20"/>
        </w:rPr>
        <w:t xml:space="preserve">. </w:t>
      </w:r>
      <w:r w:rsidR="00930062" w:rsidRPr="004D2D8C">
        <w:rPr>
          <w:rFonts w:ascii="Comic Sans MS" w:hAnsi="Comic Sans MS"/>
          <w:sz w:val="20"/>
          <w:szCs w:val="20"/>
        </w:rPr>
        <w:t xml:space="preserve">U Zemljama </w:t>
      </w:r>
      <w:r w:rsidR="0036373B" w:rsidRPr="004D2D8C">
        <w:rPr>
          <w:rFonts w:ascii="Comic Sans MS" w:hAnsi="Comic Sans MS"/>
          <w:sz w:val="20"/>
          <w:szCs w:val="20"/>
        </w:rPr>
        <w:t>EU</w:t>
      </w:r>
      <w:r w:rsidR="00930062" w:rsidRPr="004D2D8C">
        <w:rPr>
          <w:rFonts w:ascii="Comic Sans MS" w:hAnsi="Comic Sans MS"/>
          <w:sz w:val="20"/>
          <w:szCs w:val="20"/>
        </w:rPr>
        <w:t xml:space="preserve">-a, nadležni organ vlasti za zaštitu okoliša i/ili očuvanje prirode imenovani je organ vlasti koji je u dotičnoj državi članici odgovoran za obavljanje dužnosti koje proizlaze iz direktiva o </w:t>
      </w:r>
      <w:r w:rsidR="00B83F8B" w:rsidRPr="004D2D8C">
        <w:rPr>
          <w:rFonts w:ascii="Comic Sans MS" w:hAnsi="Comic Sans MS"/>
          <w:sz w:val="20"/>
          <w:szCs w:val="20"/>
        </w:rPr>
        <w:t xml:space="preserve">procjeni </w:t>
      </w:r>
      <w:r w:rsidR="00930062" w:rsidRPr="004D2D8C">
        <w:rPr>
          <w:rFonts w:ascii="Comic Sans MS" w:hAnsi="Comic Sans MS"/>
          <w:sz w:val="20"/>
          <w:szCs w:val="20"/>
        </w:rPr>
        <w:t>utjecaj</w:t>
      </w:r>
      <w:r w:rsidR="00B83F8B" w:rsidRPr="004D2D8C">
        <w:rPr>
          <w:rFonts w:ascii="Comic Sans MS" w:hAnsi="Comic Sans MS"/>
          <w:sz w:val="20"/>
          <w:szCs w:val="20"/>
        </w:rPr>
        <w:t>a</w:t>
      </w:r>
      <w:r w:rsidR="00930062" w:rsidRPr="004D2D8C">
        <w:rPr>
          <w:rFonts w:ascii="Comic Sans MS" w:hAnsi="Comic Sans MS"/>
          <w:sz w:val="20"/>
          <w:szCs w:val="20"/>
        </w:rPr>
        <w:t xml:space="preserve"> na okoliš i </w:t>
      </w:r>
      <w:r w:rsidR="00B83F8B" w:rsidRPr="004D2D8C">
        <w:rPr>
          <w:rFonts w:ascii="Comic Sans MS" w:hAnsi="Comic Sans MS"/>
          <w:sz w:val="20"/>
          <w:szCs w:val="20"/>
        </w:rPr>
        <w:t xml:space="preserve">direktiva o </w:t>
      </w:r>
      <w:r w:rsidR="00930062" w:rsidRPr="004D2D8C">
        <w:rPr>
          <w:rFonts w:ascii="Comic Sans MS" w:hAnsi="Comic Sans MS"/>
          <w:sz w:val="20"/>
          <w:szCs w:val="20"/>
        </w:rPr>
        <w:t>prirodi</w:t>
      </w:r>
      <w:r w:rsidR="0036373B" w:rsidRPr="004D2D8C">
        <w:rPr>
          <w:rFonts w:ascii="Comic Sans MS" w:hAnsi="Comic Sans MS"/>
          <w:sz w:val="20"/>
          <w:szCs w:val="20"/>
        </w:rPr>
        <w:t>.</w:t>
      </w:r>
      <w:r w:rsidR="00930062" w:rsidRPr="004D2D8C">
        <w:rPr>
          <w:rFonts w:ascii="Comic Sans MS" w:hAnsi="Comic Sans MS"/>
          <w:sz w:val="20"/>
          <w:szCs w:val="20"/>
        </w:rPr>
        <w:t xml:space="preserve"> Nadležni organ vlasti </w:t>
      </w:r>
      <w:r w:rsidR="007A199C" w:rsidRPr="004D2D8C">
        <w:rPr>
          <w:rFonts w:ascii="Comic Sans MS" w:hAnsi="Comic Sans MS"/>
          <w:sz w:val="20"/>
          <w:szCs w:val="20"/>
        </w:rPr>
        <w:t>obično je nacionalna agencija za zaštitu okoliša ili</w:t>
      </w:r>
      <w:r w:rsidR="005164B6" w:rsidRPr="004D2D8C">
        <w:rPr>
          <w:rFonts w:ascii="Comic Sans MS" w:hAnsi="Comic Sans MS"/>
          <w:sz w:val="20"/>
          <w:szCs w:val="20"/>
        </w:rPr>
        <w:t xml:space="preserve"> uprava Ministarstva zaštite okoliša, a odgovornosti mogu biti podijeljene između nekoliko institucija</w:t>
      </w:r>
      <w:r w:rsidR="0036373B" w:rsidRPr="004D2D8C">
        <w:rPr>
          <w:rFonts w:ascii="Comic Sans MS" w:hAnsi="Comic Sans MS"/>
          <w:sz w:val="20"/>
          <w:szCs w:val="20"/>
        </w:rPr>
        <w:t xml:space="preserve">. </w:t>
      </w:r>
      <w:r w:rsidR="005164B6" w:rsidRPr="004D2D8C">
        <w:rPr>
          <w:rFonts w:ascii="Comic Sans MS" w:hAnsi="Comic Sans MS"/>
          <w:sz w:val="20"/>
          <w:szCs w:val="20"/>
        </w:rPr>
        <w:t xml:space="preserve">Izvan </w:t>
      </w:r>
      <w:r w:rsidR="0036373B" w:rsidRPr="004D2D8C">
        <w:rPr>
          <w:rFonts w:ascii="Comic Sans MS" w:hAnsi="Comic Sans MS"/>
          <w:sz w:val="20"/>
          <w:szCs w:val="20"/>
        </w:rPr>
        <w:t>EU</w:t>
      </w:r>
      <w:r w:rsidR="005164B6" w:rsidRPr="004D2D8C">
        <w:rPr>
          <w:rFonts w:ascii="Comic Sans MS" w:hAnsi="Comic Sans MS"/>
          <w:sz w:val="20"/>
          <w:szCs w:val="20"/>
        </w:rPr>
        <w:t>-a smatra se da je organ vlasti odgovoran za uvođenje i primjenu zakona o zaštiti okoliša i prirode</w:t>
      </w:r>
      <w:r w:rsidR="0036373B" w:rsidRPr="004D2D8C">
        <w:rPr>
          <w:rFonts w:ascii="Comic Sans MS" w:hAnsi="Comic Sans MS"/>
          <w:sz w:val="20"/>
          <w:szCs w:val="20"/>
        </w:rPr>
        <w:t>.</w:t>
      </w:r>
    </w:p>
    <w:p w:rsidR="0036373B" w:rsidRPr="004D2D8C" w:rsidRDefault="00E7645C" w:rsidP="0036373B">
      <w:pPr>
        <w:jc w:val="both"/>
        <w:rPr>
          <w:rFonts w:ascii="Comic Sans MS" w:hAnsi="Comic Sans MS"/>
          <w:b/>
          <w:sz w:val="20"/>
          <w:szCs w:val="20"/>
        </w:rPr>
      </w:pPr>
      <w:r w:rsidRPr="004D2D8C">
        <w:rPr>
          <w:rFonts w:ascii="Comic Sans MS" w:hAnsi="Comic Sans MS"/>
          <w:b/>
          <w:sz w:val="20"/>
          <w:szCs w:val="20"/>
        </w:rPr>
        <w:t>Javne konzultacije</w:t>
      </w:r>
    </w:p>
    <w:p w:rsidR="0036373B" w:rsidRPr="004D2D8C" w:rsidRDefault="005164B6" w:rsidP="0036373B">
      <w:pPr>
        <w:jc w:val="both"/>
        <w:rPr>
          <w:rFonts w:ascii="Comic Sans MS" w:hAnsi="Comic Sans MS"/>
          <w:sz w:val="20"/>
          <w:szCs w:val="20"/>
        </w:rPr>
      </w:pPr>
      <w:r w:rsidRPr="004D2D8C">
        <w:rPr>
          <w:rFonts w:ascii="Comic Sans MS" w:hAnsi="Comic Sans MS"/>
          <w:sz w:val="20"/>
          <w:szCs w:val="20"/>
        </w:rPr>
        <w:t>Postupak putem kojeg</w:t>
      </w:r>
      <w:r w:rsidR="00A16295" w:rsidRPr="004D2D8C">
        <w:rPr>
          <w:rFonts w:ascii="Comic Sans MS" w:hAnsi="Comic Sans MS"/>
          <w:sz w:val="20"/>
          <w:szCs w:val="20"/>
        </w:rPr>
        <w:t xml:space="preserve"> se javnost obavještava o prijedlozima koje je izradio organ vlasti zadužen za planiranje ili razvijanje te se javnost poziva na dostavljanje komentara o tim prijedlozima</w:t>
      </w:r>
      <w:r w:rsidR="0036373B" w:rsidRPr="004D2D8C">
        <w:rPr>
          <w:rFonts w:ascii="Comic Sans MS" w:hAnsi="Comic Sans MS"/>
          <w:sz w:val="20"/>
          <w:szCs w:val="20"/>
        </w:rPr>
        <w:t>.</w:t>
      </w:r>
      <w:r w:rsidR="00A16295" w:rsidRPr="004D2D8C">
        <w:rPr>
          <w:rFonts w:ascii="Comic Sans MS" w:hAnsi="Comic Sans MS"/>
          <w:sz w:val="20"/>
          <w:szCs w:val="20"/>
        </w:rPr>
        <w:t xml:space="preserve"> Javne konzultacije često predstavljaju značajan dio sudjelovanja javnosti i uvijek su uključene u </w:t>
      </w:r>
      <w:r w:rsidR="00B83F8B" w:rsidRPr="004D2D8C">
        <w:rPr>
          <w:rFonts w:ascii="Comic Sans MS" w:hAnsi="Comic Sans MS"/>
          <w:sz w:val="20"/>
          <w:szCs w:val="20"/>
        </w:rPr>
        <w:t>p</w:t>
      </w:r>
      <w:r w:rsidR="00097E35" w:rsidRPr="004D2D8C">
        <w:rPr>
          <w:rFonts w:ascii="Comic Sans MS" w:hAnsi="Comic Sans MS"/>
          <w:sz w:val="20"/>
          <w:szCs w:val="20"/>
        </w:rPr>
        <w:t xml:space="preserve">rocjene </w:t>
      </w:r>
      <w:r w:rsidR="00A16295" w:rsidRPr="004D2D8C">
        <w:rPr>
          <w:rFonts w:ascii="Comic Sans MS" w:hAnsi="Comic Sans MS"/>
          <w:sz w:val="20"/>
          <w:szCs w:val="20"/>
        </w:rPr>
        <w:t>utjecaja na okoliš</w:t>
      </w:r>
      <w:r w:rsidR="0036373B" w:rsidRPr="004D2D8C">
        <w:rPr>
          <w:rFonts w:ascii="Comic Sans MS" w:hAnsi="Comic Sans MS"/>
          <w:sz w:val="20"/>
          <w:szCs w:val="20"/>
        </w:rPr>
        <w:t>.</w:t>
      </w:r>
      <w:r w:rsidR="00A16295" w:rsidRPr="004D2D8C">
        <w:rPr>
          <w:rFonts w:ascii="Comic Sans MS" w:hAnsi="Comic Sans MS"/>
          <w:sz w:val="20"/>
          <w:szCs w:val="20"/>
        </w:rPr>
        <w:t xml:space="preserve"> </w:t>
      </w:r>
      <w:r w:rsidR="00A16295" w:rsidRPr="004D2D8C">
        <w:rPr>
          <w:rFonts w:ascii="Comic Sans MS" w:hAnsi="Comic Sans MS"/>
          <w:sz w:val="20"/>
          <w:szCs w:val="20"/>
          <w:u w:val="single"/>
        </w:rPr>
        <w:t>Konzultacije</w:t>
      </w:r>
      <w:r w:rsidR="00A16295" w:rsidRPr="004D2D8C">
        <w:rPr>
          <w:rFonts w:ascii="Comic Sans MS" w:hAnsi="Comic Sans MS"/>
          <w:sz w:val="20"/>
          <w:szCs w:val="20"/>
        </w:rPr>
        <w:t xml:space="preserve"> su definirane kao instrument za upravljanje kulturno prihvatljivim  dvosmjernim komuniciranjem između sponzora projekta i javnost</w:t>
      </w:r>
      <w:r w:rsidR="0036373B" w:rsidRPr="004D2D8C">
        <w:rPr>
          <w:rFonts w:ascii="Comic Sans MS" w:hAnsi="Comic Sans MS"/>
          <w:sz w:val="20"/>
          <w:szCs w:val="20"/>
        </w:rPr>
        <w:t>i.</w:t>
      </w:r>
      <w:r w:rsidR="00A16295" w:rsidRPr="004D2D8C">
        <w:rPr>
          <w:rFonts w:ascii="Comic Sans MS" w:hAnsi="Comic Sans MS"/>
          <w:sz w:val="20"/>
          <w:szCs w:val="20"/>
        </w:rPr>
        <w:t xml:space="preserve"> Cilj im je poboljšati proces odlučivanja i unaprijediti razumijevanje aktivnim uključivanjem pojedinaca, skupina</w:t>
      </w:r>
      <w:r w:rsidR="007F5D32" w:rsidRPr="004D2D8C">
        <w:rPr>
          <w:rFonts w:ascii="Comic Sans MS" w:hAnsi="Comic Sans MS"/>
          <w:sz w:val="20"/>
          <w:szCs w:val="20"/>
        </w:rPr>
        <w:t xml:space="preserve"> i organizacija  zainteresiranim za </w:t>
      </w:r>
      <w:r w:rsidR="0036373B" w:rsidRPr="004D2D8C">
        <w:rPr>
          <w:rFonts w:ascii="Comic Sans MS" w:hAnsi="Comic Sans MS"/>
          <w:sz w:val="20"/>
          <w:szCs w:val="20"/>
        </w:rPr>
        <w:t>proje</w:t>
      </w:r>
      <w:r w:rsidR="007F5D32" w:rsidRPr="004D2D8C">
        <w:rPr>
          <w:rFonts w:ascii="Comic Sans MS" w:hAnsi="Comic Sans MS"/>
          <w:sz w:val="20"/>
          <w:szCs w:val="20"/>
        </w:rPr>
        <w:t>k</w:t>
      </w:r>
      <w:r w:rsidR="0036373B" w:rsidRPr="004D2D8C">
        <w:rPr>
          <w:rFonts w:ascii="Comic Sans MS" w:hAnsi="Comic Sans MS"/>
          <w:sz w:val="20"/>
          <w:szCs w:val="20"/>
        </w:rPr>
        <w:t>t.</w:t>
      </w:r>
      <w:r w:rsidR="007F5D32" w:rsidRPr="004D2D8C">
        <w:rPr>
          <w:rFonts w:ascii="Comic Sans MS" w:hAnsi="Comic Sans MS"/>
          <w:sz w:val="20"/>
          <w:szCs w:val="20"/>
        </w:rPr>
        <w:t xml:space="preserve"> Takvim uključivanjem povećava se dugoročna provedivost projekta i jačaju se pogodnosti koje projekt donosi ljudima i drugim dionicima. Izvor</w:t>
      </w:r>
      <w:r w:rsidR="0036373B" w:rsidRPr="004D2D8C">
        <w:rPr>
          <w:rFonts w:ascii="Comic Sans MS" w:hAnsi="Comic Sans MS"/>
          <w:sz w:val="20"/>
          <w:szCs w:val="20"/>
        </w:rPr>
        <w:t>: EIB</w:t>
      </w:r>
      <w:r w:rsidR="007F5D32" w:rsidRPr="004D2D8C">
        <w:rPr>
          <w:rFonts w:ascii="Comic Sans MS" w:hAnsi="Comic Sans MS"/>
          <w:sz w:val="20"/>
          <w:szCs w:val="20"/>
        </w:rPr>
        <w:t xml:space="preserve">-ov Priručnik za okolišne i socijalne postupke </w:t>
      </w:r>
      <w:r w:rsidR="0036373B" w:rsidRPr="004D2D8C">
        <w:rPr>
          <w:rFonts w:ascii="Comic Sans MS" w:hAnsi="Comic Sans MS"/>
          <w:sz w:val="20"/>
          <w:szCs w:val="20"/>
        </w:rPr>
        <w:t>(2007</w:t>
      </w:r>
      <w:r w:rsidR="007F5D32" w:rsidRPr="004D2D8C">
        <w:rPr>
          <w:rFonts w:ascii="Comic Sans MS" w:hAnsi="Comic Sans MS"/>
          <w:sz w:val="20"/>
          <w:szCs w:val="20"/>
        </w:rPr>
        <w:t>.</w:t>
      </w:r>
      <w:r w:rsidR="0036373B" w:rsidRPr="004D2D8C">
        <w:rPr>
          <w:rFonts w:ascii="Comic Sans MS" w:hAnsi="Comic Sans MS"/>
          <w:sz w:val="20"/>
          <w:szCs w:val="20"/>
        </w:rPr>
        <w:t xml:space="preserve">). </w:t>
      </w:r>
      <w:r w:rsidR="007F5D32" w:rsidRPr="004D2D8C">
        <w:rPr>
          <w:rFonts w:ascii="Comic Sans MS" w:hAnsi="Comic Sans MS"/>
          <w:sz w:val="20"/>
          <w:szCs w:val="20"/>
        </w:rPr>
        <w:t xml:space="preserve">Smjernice za socijalnu procjenu </w:t>
      </w:r>
      <w:r w:rsidR="0036373B" w:rsidRPr="004D2D8C">
        <w:rPr>
          <w:rFonts w:ascii="Comic Sans MS" w:hAnsi="Comic Sans MS"/>
          <w:sz w:val="20"/>
          <w:szCs w:val="20"/>
        </w:rPr>
        <w:t>–</w:t>
      </w:r>
      <w:r w:rsidR="007F5D32" w:rsidRPr="004D2D8C">
        <w:rPr>
          <w:rFonts w:ascii="Comic Sans MS" w:hAnsi="Comic Sans MS"/>
          <w:sz w:val="20"/>
          <w:szCs w:val="20"/>
        </w:rPr>
        <w:t xml:space="preserve"> </w:t>
      </w:r>
      <w:r w:rsidR="003E4F7A" w:rsidRPr="004D2D8C">
        <w:rPr>
          <w:rFonts w:ascii="Comic Sans MS" w:hAnsi="Comic Sans MS"/>
          <w:sz w:val="20"/>
          <w:szCs w:val="20"/>
        </w:rPr>
        <w:t xml:space="preserve">bilješka </w:t>
      </w:r>
      <w:r w:rsidR="0036373B" w:rsidRPr="004D2D8C">
        <w:rPr>
          <w:rFonts w:ascii="Comic Sans MS" w:hAnsi="Comic Sans MS"/>
          <w:sz w:val="20"/>
          <w:szCs w:val="20"/>
        </w:rPr>
        <w:t>5.</w:t>
      </w:r>
    </w:p>
    <w:p w:rsidR="0036373B" w:rsidRPr="004D2D8C" w:rsidRDefault="001C0023" w:rsidP="0036373B">
      <w:pPr>
        <w:jc w:val="both"/>
        <w:rPr>
          <w:rFonts w:ascii="Comic Sans MS" w:hAnsi="Comic Sans MS"/>
          <w:b/>
          <w:sz w:val="20"/>
          <w:szCs w:val="20"/>
        </w:rPr>
      </w:pPr>
      <w:r w:rsidRPr="004D2D8C">
        <w:rPr>
          <w:rFonts w:ascii="Comic Sans MS" w:hAnsi="Comic Sans MS"/>
          <w:b/>
          <w:sz w:val="20"/>
          <w:szCs w:val="20"/>
        </w:rPr>
        <w:t xml:space="preserve">Osnovni standardi rada </w:t>
      </w:r>
    </w:p>
    <w:p w:rsidR="0036373B" w:rsidRPr="004D2D8C" w:rsidRDefault="00CB644B" w:rsidP="0036373B">
      <w:pPr>
        <w:jc w:val="both"/>
        <w:rPr>
          <w:rFonts w:ascii="Comic Sans MS" w:hAnsi="Comic Sans MS"/>
          <w:sz w:val="20"/>
          <w:szCs w:val="20"/>
        </w:rPr>
      </w:pPr>
      <w:r w:rsidRPr="004D2D8C">
        <w:rPr>
          <w:rFonts w:ascii="Comic Sans MS" w:hAnsi="Comic Sans MS"/>
          <w:sz w:val="20"/>
          <w:szCs w:val="20"/>
        </w:rPr>
        <w:t>Osnovni standardi rada ocrtani su u Deklaraciji Međunarodne organizacije rada (ILO) o temeljnim načelima i pravima rada</w:t>
      </w:r>
      <w:r w:rsidR="0036373B" w:rsidRPr="004D2D8C">
        <w:rPr>
          <w:rFonts w:ascii="Comic Sans MS" w:hAnsi="Comic Sans MS"/>
          <w:sz w:val="20"/>
          <w:szCs w:val="20"/>
        </w:rPr>
        <w:t>:</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 xml:space="preserve">a) </w:t>
      </w:r>
      <w:r w:rsidR="00CB644B" w:rsidRPr="004D2D8C">
        <w:rPr>
          <w:rFonts w:ascii="Comic Sans MS" w:hAnsi="Comic Sans MS"/>
          <w:sz w:val="20"/>
          <w:szCs w:val="20"/>
        </w:rPr>
        <w:t>rad djece: zabrana rada djece mlađe od 15 godina</w:t>
      </w:r>
      <w:r w:rsidRPr="004D2D8C">
        <w:rPr>
          <w:rFonts w:ascii="Comic Sans MS" w:hAnsi="Comic Sans MS"/>
          <w:sz w:val="20"/>
          <w:szCs w:val="20"/>
        </w:rPr>
        <w:t>;</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 xml:space="preserve">b) </w:t>
      </w:r>
      <w:r w:rsidR="00F365C9" w:rsidRPr="004D2D8C">
        <w:rPr>
          <w:rFonts w:ascii="Comic Sans MS" w:hAnsi="Comic Sans MS"/>
          <w:sz w:val="20"/>
          <w:szCs w:val="20"/>
        </w:rPr>
        <w:t>prisilni i prinudni rad</w:t>
      </w:r>
      <w:r w:rsidRPr="004D2D8C">
        <w:rPr>
          <w:rFonts w:ascii="Comic Sans MS" w:hAnsi="Comic Sans MS"/>
          <w:sz w:val="20"/>
          <w:szCs w:val="20"/>
        </w:rPr>
        <w:t xml:space="preserve">: </w:t>
      </w:r>
      <w:r w:rsidR="00F365C9" w:rsidRPr="004D2D8C">
        <w:rPr>
          <w:rFonts w:ascii="Comic Sans MS" w:hAnsi="Comic Sans MS"/>
          <w:sz w:val="20"/>
          <w:szCs w:val="20"/>
        </w:rPr>
        <w:t>zabrana prisilnog rada, uključujući prinudni rad u zatvoru ili radi otplate dugovanja</w:t>
      </w:r>
      <w:r w:rsidRPr="004D2D8C">
        <w:rPr>
          <w:rFonts w:ascii="Comic Sans MS" w:hAnsi="Comic Sans MS"/>
          <w:sz w:val="20"/>
          <w:szCs w:val="20"/>
        </w:rPr>
        <w:t>;</w:t>
      </w:r>
      <w:r w:rsidR="00F365C9" w:rsidRPr="004D2D8C">
        <w:rPr>
          <w:rFonts w:ascii="Comic Sans MS" w:hAnsi="Comic Sans MS"/>
          <w:sz w:val="20"/>
          <w:szCs w:val="20"/>
        </w:rPr>
        <w:t xml:space="preserve"> zabrana </w:t>
      </w:r>
      <w:r w:rsidR="00D725BA" w:rsidRPr="004D2D8C">
        <w:rPr>
          <w:rFonts w:ascii="Comic Sans MS" w:hAnsi="Comic Sans MS"/>
          <w:sz w:val="20"/>
          <w:szCs w:val="20"/>
        </w:rPr>
        <w:t xml:space="preserve">poslodavcima ili vanjskim posrednicima kod zapošljavanja da </w:t>
      </w:r>
      <w:r w:rsidR="00B83F8B" w:rsidRPr="004D2D8C">
        <w:rPr>
          <w:rFonts w:ascii="Comic Sans MS" w:hAnsi="Comic Sans MS"/>
          <w:sz w:val="20"/>
          <w:szCs w:val="20"/>
        </w:rPr>
        <w:t>traže d</w:t>
      </w:r>
      <w:r w:rsidR="00D725BA" w:rsidRPr="004D2D8C">
        <w:rPr>
          <w:rFonts w:ascii="Comic Sans MS" w:hAnsi="Comic Sans MS"/>
          <w:sz w:val="20"/>
          <w:szCs w:val="20"/>
        </w:rPr>
        <w:t xml:space="preserve">epozite ili </w:t>
      </w:r>
      <w:r w:rsidR="00B83F8B" w:rsidRPr="004D2D8C">
        <w:rPr>
          <w:rFonts w:ascii="Comic Sans MS" w:hAnsi="Comic Sans MS"/>
          <w:sz w:val="20"/>
          <w:szCs w:val="20"/>
        </w:rPr>
        <w:t xml:space="preserve">zahtijevaju deponiranje </w:t>
      </w:r>
      <w:r w:rsidR="00F365C9" w:rsidRPr="004D2D8C">
        <w:rPr>
          <w:rFonts w:ascii="Comic Sans MS" w:hAnsi="Comic Sans MS"/>
          <w:sz w:val="20"/>
          <w:szCs w:val="20"/>
        </w:rPr>
        <w:t>identifikacijskih dokumenata</w:t>
      </w:r>
      <w:r w:rsidRPr="004D2D8C">
        <w:rPr>
          <w:rFonts w:ascii="Comic Sans MS" w:hAnsi="Comic Sans MS"/>
          <w:sz w:val="20"/>
          <w:szCs w:val="20"/>
        </w:rPr>
        <w:t>;</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 xml:space="preserve">c) </w:t>
      </w:r>
      <w:r w:rsidR="00D725BA" w:rsidRPr="004D2D8C">
        <w:rPr>
          <w:rFonts w:ascii="Comic Sans MS" w:hAnsi="Comic Sans MS"/>
          <w:sz w:val="20"/>
          <w:szCs w:val="20"/>
        </w:rPr>
        <w:t>jednak tretman i jednake mogućnosti</w:t>
      </w:r>
      <w:r w:rsidRPr="004D2D8C">
        <w:rPr>
          <w:rFonts w:ascii="Comic Sans MS" w:hAnsi="Comic Sans MS"/>
          <w:sz w:val="20"/>
          <w:szCs w:val="20"/>
        </w:rPr>
        <w:t xml:space="preserve">: </w:t>
      </w:r>
      <w:r w:rsidR="00D725BA" w:rsidRPr="004D2D8C">
        <w:rPr>
          <w:rFonts w:ascii="Comic Sans MS" w:hAnsi="Comic Sans MS"/>
          <w:sz w:val="20"/>
          <w:szCs w:val="20"/>
        </w:rPr>
        <w:t xml:space="preserve">zabrana </w:t>
      </w:r>
      <w:r w:rsidRPr="004D2D8C">
        <w:rPr>
          <w:rFonts w:ascii="Comic Sans MS" w:hAnsi="Comic Sans MS"/>
          <w:sz w:val="20"/>
          <w:szCs w:val="20"/>
        </w:rPr>
        <w:t>dis</w:t>
      </w:r>
      <w:r w:rsidR="00657916" w:rsidRPr="004D2D8C">
        <w:rPr>
          <w:rFonts w:ascii="Comic Sans MS" w:hAnsi="Comic Sans MS"/>
          <w:sz w:val="20"/>
          <w:szCs w:val="20"/>
        </w:rPr>
        <w:t>k</w:t>
      </w:r>
      <w:r w:rsidRPr="004D2D8C">
        <w:rPr>
          <w:rFonts w:ascii="Comic Sans MS" w:hAnsi="Comic Sans MS"/>
          <w:sz w:val="20"/>
          <w:szCs w:val="20"/>
        </w:rPr>
        <w:t>rimina</w:t>
      </w:r>
      <w:r w:rsidR="00657916" w:rsidRPr="004D2D8C">
        <w:rPr>
          <w:rFonts w:ascii="Comic Sans MS" w:hAnsi="Comic Sans MS"/>
          <w:sz w:val="20"/>
          <w:szCs w:val="20"/>
        </w:rPr>
        <w:t>cije na osnovu rase</w:t>
      </w:r>
      <w:r w:rsidRPr="004D2D8C">
        <w:rPr>
          <w:rFonts w:ascii="Comic Sans MS" w:hAnsi="Comic Sans MS"/>
          <w:sz w:val="20"/>
          <w:szCs w:val="20"/>
        </w:rPr>
        <w:t xml:space="preserve">, </w:t>
      </w:r>
      <w:r w:rsidR="00657916" w:rsidRPr="004D2D8C">
        <w:rPr>
          <w:rFonts w:ascii="Comic Sans MS" w:hAnsi="Comic Sans MS"/>
          <w:sz w:val="20"/>
          <w:szCs w:val="20"/>
        </w:rPr>
        <w:t>k</w:t>
      </w:r>
      <w:r w:rsidRPr="004D2D8C">
        <w:rPr>
          <w:rFonts w:ascii="Comic Sans MS" w:hAnsi="Comic Sans MS"/>
          <w:sz w:val="20"/>
          <w:szCs w:val="20"/>
        </w:rPr>
        <w:t xml:space="preserve">aste, </w:t>
      </w:r>
      <w:r w:rsidR="00657916" w:rsidRPr="004D2D8C">
        <w:rPr>
          <w:rFonts w:ascii="Comic Sans MS" w:hAnsi="Comic Sans MS"/>
          <w:sz w:val="20"/>
          <w:szCs w:val="20"/>
        </w:rPr>
        <w:t>podrijetla</w:t>
      </w:r>
      <w:r w:rsidRPr="004D2D8C">
        <w:rPr>
          <w:rFonts w:ascii="Comic Sans MS" w:hAnsi="Comic Sans MS"/>
          <w:sz w:val="20"/>
          <w:szCs w:val="20"/>
        </w:rPr>
        <w:t>, religi</w:t>
      </w:r>
      <w:r w:rsidR="00657916" w:rsidRPr="004D2D8C">
        <w:rPr>
          <w:rFonts w:ascii="Comic Sans MS" w:hAnsi="Comic Sans MS"/>
          <w:sz w:val="20"/>
          <w:szCs w:val="20"/>
        </w:rPr>
        <w:t>je</w:t>
      </w:r>
      <w:r w:rsidRPr="004D2D8C">
        <w:rPr>
          <w:rFonts w:ascii="Comic Sans MS" w:hAnsi="Comic Sans MS"/>
          <w:sz w:val="20"/>
          <w:szCs w:val="20"/>
        </w:rPr>
        <w:t xml:space="preserve">, </w:t>
      </w:r>
      <w:r w:rsidR="00657916" w:rsidRPr="004D2D8C">
        <w:rPr>
          <w:rFonts w:ascii="Comic Sans MS" w:hAnsi="Comic Sans MS"/>
          <w:sz w:val="20"/>
          <w:szCs w:val="20"/>
        </w:rPr>
        <w:t>invalidnosti</w:t>
      </w:r>
      <w:r w:rsidRPr="004D2D8C">
        <w:rPr>
          <w:rFonts w:ascii="Comic Sans MS" w:hAnsi="Comic Sans MS"/>
          <w:sz w:val="20"/>
          <w:szCs w:val="20"/>
        </w:rPr>
        <w:t xml:space="preserve">, </w:t>
      </w:r>
      <w:r w:rsidR="00657916" w:rsidRPr="004D2D8C">
        <w:rPr>
          <w:rFonts w:ascii="Comic Sans MS" w:hAnsi="Comic Sans MS"/>
          <w:sz w:val="20"/>
          <w:szCs w:val="20"/>
        </w:rPr>
        <w:t>spola</w:t>
      </w:r>
      <w:r w:rsidRPr="004D2D8C">
        <w:rPr>
          <w:rFonts w:ascii="Comic Sans MS" w:hAnsi="Comic Sans MS"/>
          <w:sz w:val="20"/>
          <w:szCs w:val="20"/>
        </w:rPr>
        <w:t>, se</w:t>
      </w:r>
      <w:r w:rsidR="00657916" w:rsidRPr="004D2D8C">
        <w:rPr>
          <w:rFonts w:ascii="Comic Sans MS" w:hAnsi="Comic Sans MS"/>
          <w:sz w:val="20"/>
          <w:szCs w:val="20"/>
        </w:rPr>
        <w:t>ks</w:t>
      </w:r>
      <w:r w:rsidRPr="004D2D8C">
        <w:rPr>
          <w:rFonts w:ascii="Comic Sans MS" w:hAnsi="Comic Sans MS"/>
          <w:sz w:val="20"/>
          <w:szCs w:val="20"/>
        </w:rPr>
        <w:t>ual</w:t>
      </w:r>
      <w:r w:rsidR="00657916" w:rsidRPr="004D2D8C">
        <w:rPr>
          <w:rFonts w:ascii="Comic Sans MS" w:hAnsi="Comic Sans MS"/>
          <w:sz w:val="20"/>
          <w:szCs w:val="20"/>
        </w:rPr>
        <w:t>ne orijentacije, članstva u sindikatu ili pripadnosti političkoj organizaciji</w:t>
      </w:r>
      <w:r w:rsidR="00983AE1" w:rsidRPr="004D2D8C">
        <w:rPr>
          <w:rFonts w:ascii="Comic Sans MS" w:hAnsi="Comic Sans MS"/>
          <w:sz w:val="20"/>
          <w:szCs w:val="20"/>
        </w:rPr>
        <w:t xml:space="preserve"> ili starosnoj dobi</w:t>
      </w:r>
      <w:r w:rsidRPr="004D2D8C">
        <w:rPr>
          <w:rFonts w:ascii="Comic Sans MS" w:hAnsi="Comic Sans MS"/>
          <w:sz w:val="20"/>
          <w:szCs w:val="20"/>
        </w:rPr>
        <w:t>;</w:t>
      </w:r>
      <w:r w:rsidR="00983AE1" w:rsidRPr="004D2D8C">
        <w:rPr>
          <w:rFonts w:ascii="Comic Sans MS" w:hAnsi="Comic Sans MS"/>
          <w:sz w:val="20"/>
          <w:szCs w:val="20"/>
        </w:rPr>
        <w:t xml:space="preserve"> zabrana seksualnog uznemiravanja</w:t>
      </w:r>
      <w:r w:rsidRPr="004D2D8C">
        <w:rPr>
          <w:rFonts w:ascii="Comic Sans MS" w:hAnsi="Comic Sans MS"/>
          <w:sz w:val="20"/>
          <w:szCs w:val="20"/>
        </w:rPr>
        <w:t>;</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 xml:space="preserve">d) </w:t>
      </w:r>
      <w:r w:rsidR="00D725BA" w:rsidRPr="004D2D8C">
        <w:rPr>
          <w:rFonts w:ascii="Comic Sans MS" w:hAnsi="Comic Sans MS"/>
          <w:sz w:val="20"/>
          <w:szCs w:val="20"/>
        </w:rPr>
        <w:t>sloboda udruživanja i pravo na kolektivno pregovaranje</w:t>
      </w:r>
      <w:r w:rsidRPr="004D2D8C">
        <w:rPr>
          <w:rFonts w:ascii="Comic Sans MS" w:hAnsi="Comic Sans MS"/>
          <w:sz w:val="20"/>
          <w:szCs w:val="20"/>
        </w:rPr>
        <w:t>.</w:t>
      </w:r>
    </w:p>
    <w:p w:rsidR="0036373B" w:rsidRPr="004D2D8C" w:rsidRDefault="00D725BA" w:rsidP="0036373B">
      <w:pPr>
        <w:jc w:val="both"/>
        <w:rPr>
          <w:rFonts w:ascii="Comic Sans MS" w:hAnsi="Comic Sans MS"/>
          <w:sz w:val="20"/>
          <w:szCs w:val="20"/>
        </w:rPr>
      </w:pPr>
      <w:r w:rsidRPr="004D2D8C">
        <w:rPr>
          <w:rFonts w:ascii="Comic Sans MS" w:hAnsi="Comic Sans MS"/>
          <w:sz w:val="20"/>
          <w:szCs w:val="20"/>
        </w:rPr>
        <w:t>Izvor</w:t>
      </w:r>
      <w:r w:rsidR="0036373B" w:rsidRPr="004D2D8C">
        <w:rPr>
          <w:rFonts w:ascii="Comic Sans MS" w:hAnsi="Comic Sans MS"/>
          <w:sz w:val="20"/>
          <w:szCs w:val="20"/>
        </w:rPr>
        <w:t xml:space="preserve">: </w:t>
      </w:r>
      <w:r w:rsidR="003A1946" w:rsidRPr="004D2D8C">
        <w:rPr>
          <w:rFonts w:ascii="Comic Sans MS" w:hAnsi="Comic Sans MS"/>
          <w:sz w:val="20"/>
          <w:szCs w:val="20"/>
        </w:rPr>
        <w:t xml:space="preserve">web stranice </w:t>
      </w:r>
      <w:r w:rsidR="0036373B" w:rsidRPr="004D2D8C">
        <w:rPr>
          <w:rFonts w:ascii="Comic Sans MS" w:hAnsi="Comic Sans MS"/>
          <w:sz w:val="20"/>
          <w:szCs w:val="20"/>
        </w:rPr>
        <w:t>ILO</w:t>
      </w:r>
      <w:r w:rsidR="003A1946" w:rsidRPr="004D2D8C">
        <w:rPr>
          <w:rFonts w:ascii="Comic Sans MS" w:hAnsi="Comic Sans MS"/>
          <w:sz w:val="20"/>
          <w:szCs w:val="20"/>
        </w:rPr>
        <w:t xml:space="preserve">-a i </w:t>
      </w:r>
      <w:r w:rsidR="0036373B" w:rsidRPr="004D2D8C">
        <w:rPr>
          <w:rFonts w:ascii="Comic Sans MS" w:hAnsi="Comic Sans MS"/>
          <w:sz w:val="20"/>
          <w:szCs w:val="20"/>
        </w:rPr>
        <w:t>EIB</w:t>
      </w:r>
      <w:r w:rsidR="003A1946" w:rsidRPr="004D2D8C">
        <w:rPr>
          <w:rFonts w:ascii="Comic Sans MS" w:hAnsi="Comic Sans MS"/>
          <w:sz w:val="20"/>
          <w:szCs w:val="20"/>
        </w:rPr>
        <w:t>-ov Priručnik o ekološkim i socijalnim praksama</w:t>
      </w:r>
      <w:r w:rsidR="0036373B" w:rsidRPr="004D2D8C">
        <w:rPr>
          <w:rFonts w:ascii="Comic Sans MS" w:hAnsi="Comic Sans MS"/>
          <w:sz w:val="20"/>
          <w:szCs w:val="20"/>
        </w:rPr>
        <w:t xml:space="preserve"> (2007</w:t>
      </w:r>
      <w:r w:rsidR="003A1946" w:rsidRPr="004D2D8C">
        <w:rPr>
          <w:rFonts w:ascii="Comic Sans MS" w:hAnsi="Comic Sans MS"/>
          <w:sz w:val="20"/>
          <w:szCs w:val="20"/>
        </w:rPr>
        <w:t>.</w:t>
      </w:r>
      <w:r w:rsidR="0036373B" w:rsidRPr="004D2D8C">
        <w:rPr>
          <w:rFonts w:ascii="Comic Sans MS" w:hAnsi="Comic Sans MS"/>
          <w:sz w:val="20"/>
          <w:szCs w:val="20"/>
        </w:rPr>
        <w:t xml:space="preserve">), </w:t>
      </w:r>
      <w:r w:rsidR="003A1946" w:rsidRPr="004D2D8C">
        <w:rPr>
          <w:rFonts w:ascii="Comic Sans MS" w:hAnsi="Comic Sans MS"/>
          <w:sz w:val="20"/>
          <w:szCs w:val="20"/>
        </w:rPr>
        <w:t xml:space="preserve">Smjernice za socijalnu procjenu – Bilješka </w:t>
      </w:r>
      <w:r w:rsidR="0036373B" w:rsidRPr="004D2D8C">
        <w:rPr>
          <w:rFonts w:ascii="Comic Sans MS" w:hAnsi="Comic Sans MS"/>
          <w:sz w:val="20"/>
          <w:szCs w:val="20"/>
        </w:rPr>
        <w:t>3.</w:t>
      </w:r>
    </w:p>
    <w:p w:rsidR="0036373B" w:rsidRPr="004D2D8C" w:rsidRDefault="003A1946" w:rsidP="0036373B">
      <w:pPr>
        <w:jc w:val="both"/>
        <w:rPr>
          <w:rFonts w:ascii="Comic Sans MS" w:hAnsi="Comic Sans MS"/>
          <w:b/>
          <w:sz w:val="20"/>
          <w:szCs w:val="20"/>
        </w:rPr>
      </w:pPr>
      <w:r w:rsidRPr="004D2D8C">
        <w:rPr>
          <w:rFonts w:ascii="Comic Sans MS" w:hAnsi="Comic Sans MS"/>
          <w:b/>
          <w:sz w:val="20"/>
          <w:szCs w:val="20"/>
        </w:rPr>
        <w:t>Korporativni operativni p</w:t>
      </w:r>
      <w:r w:rsidR="0036373B" w:rsidRPr="004D2D8C">
        <w:rPr>
          <w:rFonts w:ascii="Comic Sans MS" w:hAnsi="Comic Sans MS"/>
          <w:b/>
          <w:sz w:val="20"/>
          <w:szCs w:val="20"/>
        </w:rPr>
        <w:t xml:space="preserve">lan-COP </w:t>
      </w:r>
      <w:r w:rsidR="0036373B" w:rsidRPr="004D2D8C">
        <w:rPr>
          <w:rFonts w:ascii="Comic Sans MS" w:hAnsi="Comic Sans MS"/>
          <w:sz w:val="20"/>
          <w:szCs w:val="20"/>
        </w:rPr>
        <w:t>(EIB)</w:t>
      </w:r>
    </w:p>
    <w:p w:rsidR="0036373B" w:rsidRPr="004D2D8C" w:rsidRDefault="003A1946" w:rsidP="0036373B">
      <w:pPr>
        <w:jc w:val="both"/>
        <w:rPr>
          <w:rFonts w:ascii="Comic Sans MS" w:hAnsi="Comic Sans MS"/>
          <w:sz w:val="20"/>
          <w:szCs w:val="20"/>
        </w:rPr>
      </w:pPr>
      <w:r w:rsidRPr="004D2D8C">
        <w:rPr>
          <w:rFonts w:ascii="Comic Sans MS" w:hAnsi="Comic Sans MS"/>
          <w:sz w:val="20"/>
          <w:szCs w:val="20"/>
        </w:rPr>
        <w:t xml:space="preserve">Strateški dokument koji je odobrio </w:t>
      </w:r>
      <w:r w:rsidR="0036373B" w:rsidRPr="004D2D8C">
        <w:rPr>
          <w:rFonts w:ascii="Comic Sans MS" w:hAnsi="Comic Sans MS"/>
          <w:sz w:val="20"/>
          <w:szCs w:val="20"/>
        </w:rPr>
        <w:t>EIB</w:t>
      </w:r>
      <w:r w:rsidRPr="004D2D8C">
        <w:rPr>
          <w:rFonts w:ascii="Comic Sans MS" w:hAnsi="Comic Sans MS"/>
          <w:sz w:val="20"/>
          <w:szCs w:val="20"/>
        </w:rPr>
        <w:t xml:space="preserve">-ov Odbor direktora namijenjen definiranju srednjoročne politike i utvrđivanju </w:t>
      </w:r>
      <w:r w:rsidR="003C7A52" w:rsidRPr="004D2D8C">
        <w:rPr>
          <w:rFonts w:ascii="Comic Sans MS" w:hAnsi="Comic Sans MS"/>
          <w:sz w:val="20"/>
          <w:szCs w:val="20"/>
        </w:rPr>
        <w:t>operativnih prioriteta u kontekstu ciljeva koje su Banci zadali njezini guverneri</w:t>
      </w:r>
      <w:r w:rsidR="0036373B" w:rsidRPr="004D2D8C">
        <w:rPr>
          <w:rFonts w:ascii="Comic Sans MS" w:hAnsi="Comic Sans MS"/>
          <w:sz w:val="20"/>
          <w:szCs w:val="20"/>
        </w:rPr>
        <w:t xml:space="preserve">. </w:t>
      </w:r>
      <w:r w:rsidR="003C7A52" w:rsidRPr="004D2D8C">
        <w:rPr>
          <w:rFonts w:ascii="Comic Sans MS" w:hAnsi="Comic Sans MS"/>
          <w:sz w:val="20"/>
          <w:szCs w:val="20"/>
        </w:rPr>
        <w:t xml:space="preserve">Nadalje, on je i </w:t>
      </w:r>
      <w:r w:rsidR="0036373B" w:rsidRPr="004D2D8C">
        <w:rPr>
          <w:rFonts w:ascii="Comic Sans MS" w:hAnsi="Comic Sans MS"/>
          <w:sz w:val="20"/>
          <w:szCs w:val="20"/>
        </w:rPr>
        <w:t xml:space="preserve">instrument </w:t>
      </w:r>
      <w:r w:rsidR="003C7A52" w:rsidRPr="004D2D8C">
        <w:rPr>
          <w:rFonts w:ascii="Comic Sans MS" w:hAnsi="Comic Sans MS"/>
          <w:sz w:val="20"/>
          <w:szCs w:val="20"/>
        </w:rPr>
        <w:t xml:space="preserve">za naknadnu procjenu </w:t>
      </w:r>
      <w:r w:rsidR="0036373B" w:rsidRPr="004D2D8C">
        <w:rPr>
          <w:rFonts w:ascii="Comic Sans MS" w:hAnsi="Comic Sans MS"/>
          <w:sz w:val="20"/>
          <w:szCs w:val="20"/>
        </w:rPr>
        <w:t>EIB</w:t>
      </w:r>
      <w:r w:rsidR="003C7A52" w:rsidRPr="004D2D8C">
        <w:rPr>
          <w:rFonts w:ascii="Comic Sans MS" w:hAnsi="Comic Sans MS"/>
          <w:sz w:val="20"/>
          <w:szCs w:val="20"/>
        </w:rPr>
        <w:t>-ovih aktivnosti</w:t>
      </w:r>
      <w:r w:rsidR="0036373B" w:rsidRPr="004D2D8C">
        <w:rPr>
          <w:rFonts w:ascii="Comic Sans MS" w:hAnsi="Comic Sans MS"/>
          <w:sz w:val="20"/>
          <w:szCs w:val="20"/>
        </w:rPr>
        <w:t xml:space="preserve">. </w:t>
      </w:r>
      <w:r w:rsidR="003C7A52" w:rsidRPr="004D2D8C">
        <w:rPr>
          <w:rFonts w:ascii="Comic Sans MS" w:hAnsi="Comic Sans MS"/>
          <w:sz w:val="20"/>
          <w:szCs w:val="20"/>
        </w:rPr>
        <w:t>Plan pokriva tri godine, a strateške se prognoze mogu tijekom tog razdoblja modificirati kako bi uvažile nove mandate i promjene ekonomske klime</w:t>
      </w:r>
      <w:r w:rsidR="0036373B" w:rsidRPr="004D2D8C">
        <w:rPr>
          <w:rFonts w:ascii="Comic Sans MS" w:hAnsi="Comic Sans MS"/>
          <w:sz w:val="20"/>
          <w:szCs w:val="20"/>
        </w:rPr>
        <w:t>.</w:t>
      </w:r>
    </w:p>
    <w:p w:rsidR="0036373B" w:rsidRPr="004D2D8C" w:rsidRDefault="003A1946" w:rsidP="0036373B">
      <w:pPr>
        <w:jc w:val="both"/>
        <w:rPr>
          <w:rFonts w:ascii="Comic Sans MS" w:hAnsi="Comic Sans MS"/>
          <w:b/>
          <w:sz w:val="20"/>
          <w:szCs w:val="20"/>
        </w:rPr>
      </w:pPr>
      <w:r w:rsidRPr="004D2D8C">
        <w:rPr>
          <w:rFonts w:ascii="Comic Sans MS" w:hAnsi="Comic Sans MS"/>
          <w:b/>
          <w:sz w:val="20"/>
          <w:szCs w:val="20"/>
        </w:rPr>
        <w:t xml:space="preserve">Korporativna odgovornost </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 xml:space="preserve">EIB </w:t>
      </w:r>
      <w:r w:rsidR="00AD03B2" w:rsidRPr="004D2D8C">
        <w:rPr>
          <w:rFonts w:ascii="Comic Sans MS" w:hAnsi="Comic Sans MS"/>
          <w:sz w:val="20"/>
          <w:szCs w:val="20"/>
        </w:rPr>
        <w:t xml:space="preserve">smatra </w:t>
      </w:r>
      <w:r w:rsidR="00B34C67" w:rsidRPr="004D2D8C">
        <w:rPr>
          <w:rFonts w:ascii="Comic Sans MS" w:hAnsi="Comic Sans MS"/>
          <w:sz w:val="20"/>
          <w:szCs w:val="20"/>
        </w:rPr>
        <w:t xml:space="preserve">da je </w:t>
      </w:r>
      <w:r w:rsidR="00AD03B2" w:rsidRPr="004D2D8C">
        <w:rPr>
          <w:rFonts w:ascii="Comic Sans MS" w:hAnsi="Comic Sans MS"/>
          <w:sz w:val="20"/>
          <w:szCs w:val="20"/>
        </w:rPr>
        <w:t>korporativn</w:t>
      </w:r>
      <w:r w:rsidR="00B34C67" w:rsidRPr="004D2D8C">
        <w:rPr>
          <w:rFonts w:ascii="Comic Sans MS" w:hAnsi="Comic Sans MS"/>
          <w:sz w:val="20"/>
          <w:szCs w:val="20"/>
        </w:rPr>
        <w:t>a</w:t>
      </w:r>
      <w:r w:rsidR="00AD03B2" w:rsidRPr="004D2D8C">
        <w:rPr>
          <w:rFonts w:ascii="Comic Sans MS" w:hAnsi="Comic Sans MS"/>
          <w:sz w:val="20"/>
          <w:szCs w:val="20"/>
        </w:rPr>
        <w:t xml:space="preserve"> odgovornost </w:t>
      </w:r>
      <w:r w:rsidR="00502A26" w:rsidRPr="004D2D8C">
        <w:rPr>
          <w:rFonts w:ascii="Comic Sans MS" w:hAnsi="Comic Sans MS"/>
          <w:sz w:val="20"/>
          <w:szCs w:val="20"/>
        </w:rPr>
        <w:t>„manje</w:t>
      </w:r>
      <w:r w:rsidR="00AF2429" w:rsidRPr="004D2D8C">
        <w:rPr>
          <w:rFonts w:ascii="Comic Sans MS" w:hAnsi="Comic Sans MS"/>
          <w:sz w:val="20"/>
          <w:szCs w:val="20"/>
        </w:rPr>
        <w:t xml:space="preserve"> materijaln</w:t>
      </w:r>
      <w:r w:rsidR="00FD1DEC" w:rsidRPr="004D2D8C">
        <w:rPr>
          <w:rFonts w:ascii="Comic Sans MS" w:hAnsi="Comic Sans MS"/>
          <w:sz w:val="20"/>
          <w:szCs w:val="20"/>
        </w:rPr>
        <w:t>o</w:t>
      </w:r>
      <w:r w:rsidR="00AF2429" w:rsidRPr="004D2D8C">
        <w:rPr>
          <w:rFonts w:ascii="Comic Sans MS" w:hAnsi="Comic Sans MS"/>
          <w:sz w:val="20"/>
          <w:szCs w:val="20"/>
        </w:rPr>
        <w:t>“ ili „posebno financijsk</w:t>
      </w:r>
      <w:r w:rsidR="00B34C67" w:rsidRPr="004D2D8C">
        <w:rPr>
          <w:rFonts w:ascii="Comic Sans MS" w:hAnsi="Comic Sans MS"/>
          <w:sz w:val="20"/>
          <w:szCs w:val="20"/>
        </w:rPr>
        <w:t>o</w:t>
      </w:r>
      <w:r w:rsidR="00AF2429" w:rsidRPr="004D2D8C">
        <w:rPr>
          <w:rFonts w:ascii="Comic Sans MS" w:hAnsi="Comic Sans MS"/>
          <w:sz w:val="20"/>
          <w:szCs w:val="20"/>
        </w:rPr>
        <w:t>“ pitanj</w:t>
      </w:r>
      <w:r w:rsidR="00B34C67" w:rsidRPr="004D2D8C">
        <w:rPr>
          <w:rFonts w:ascii="Comic Sans MS" w:hAnsi="Comic Sans MS"/>
          <w:sz w:val="20"/>
          <w:szCs w:val="20"/>
        </w:rPr>
        <w:t>e</w:t>
      </w:r>
      <w:r w:rsidR="00AF2429" w:rsidRPr="004D2D8C">
        <w:rPr>
          <w:rFonts w:ascii="Comic Sans MS" w:hAnsi="Comic Sans MS"/>
          <w:sz w:val="20"/>
          <w:szCs w:val="20"/>
        </w:rPr>
        <w:t xml:space="preserve"> koj</w:t>
      </w:r>
      <w:r w:rsidR="00B34C67" w:rsidRPr="004D2D8C">
        <w:rPr>
          <w:rFonts w:ascii="Comic Sans MS" w:hAnsi="Comic Sans MS"/>
          <w:sz w:val="20"/>
          <w:szCs w:val="20"/>
        </w:rPr>
        <w:t>e</w:t>
      </w:r>
      <w:r w:rsidR="00AF2429" w:rsidRPr="004D2D8C">
        <w:rPr>
          <w:rFonts w:ascii="Comic Sans MS" w:hAnsi="Comic Sans MS"/>
          <w:sz w:val="20"/>
          <w:szCs w:val="20"/>
        </w:rPr>
        <w:t xml:space="preserve"> pokriva područje upravljanja te etička, okolišna i socijalna pitanja</w:t>
      </w:r>
      <w:r w:rsidRPr="004D2D8C">
        <w:rPr>
          <w:rFonts w:ascii="Comic Sans MS" w:hAnsi="Comic Sans MS"/>
          <w:sz w:val="20"/>
          <w:szCs w:val="20"/>
        </w:rPr>
        <w:t xml:space="preserve">. </w:t>
      </w:r>
      <w:r w:rsidR="00AF2429" w:rsidRPr="004D2D8C">
        <w:rPr>
          <w:rFonts w:ascii="Comic Sans MS" w:hAnsi="Comic Sans MS"/>
          <w:sz w:val="20"/>
          <w:szCs w:val="20"/>
        </w:rPr>
        <w:t>Naglasak stavlja na značaj postizanja ravnoteže između gospodarskog rasta, socijalnog blagostanja i zaštite okoliša kao potpore ostvarenj</w:t>
      </w:r>
      <w:r w:rsidR="00F9089D" w:rsidRPr="004D2D8C">
        <w:rPr>
          <w:rFonts w:ascii="Comic Sans MS" w:hAnsi="Comic Sans MS"/>
          <w:sz w:val="20"/>
          <w:szCs w:val="20"/>
        </w:rPr>
        <w:t>u</w:t>
      </w:r>
      <w:r w:rsidR="00AF2429" w:rsidRPr="004D2D8C">
        <w:rPr>
          <w:rFonts w:ascii="Comic Sans MS" w:hAnsi="Comic Sans MS"/>
          <w:sz w:val="20"/>
          <w:szCs w:val="20"/>
        </w:rPr>
        <w:t xml:space="preserve"> cilj</w:t>
      </w:r>
      <w:r w:rsidR="00F9089D" w:rsidRPr="004D2D8C">
        <w:rPr>
          <w:rFonts w:ascii="Comic Sans MS" w:hAnsi="Comic Sans MS"/>
          <w:sz w:val="20"/>
          <w:szCs w:val="20"/>
        </w:rPr>
        <w:t>a održivog razvoja</w:t>
      </w:r>
      <w:r w:rsidRPr="004D2D8C">
        <w:rPr>
          <w:rFonts w:ascii="Comic Sans MS" w:hAnsi="Comic Sans MS"/>
          <w:sz w:val="20"/>
          <w:szCs w:val="20"/>
        </w:rPr>
        <w:t>.</w:t>
      </w:r>
      <w:r w:rsidR="00F9089D" w:rsidRPr="004D2D8C">
        <w:rPr>
          <w:rFonts w:ascii="Comic Sans MS" w:hAnsi="Comic Sans MS"/>
          <w:sz w:val="20"/>
          <w:szCs w:val="20"/>
        </w:rPr>
        <w:t xml:space="preserve"> Institucionalnu održivost nastoji ostvariti putem konkurentnosti, produktivnog korištenja resursa te dobrog upravljanja</w:t>
      </w:r>
      <w:r w:rsidRPr="004D2D8C">
        <w:rPr>
          <w:rFonts w:ascii="Comic Sans MS" w:hAnsi="Comic Sans MS"/>
          <w:sz w:val="20"/>
          <w:szCs w:val="20"/>
        </w:rPr>
        <w:t>.</w:t>
      </w:r>
    </w:p>
    <w:p w:rsidR="0036373B" w:rsidRPr="004D2D8C" w:rsidRDefault="00AD03B2" w:rsidP="0036373B">
      <w:pPr>
        <w:jc w:val="both"/>
        <w:rPr>
          <w:rFonts w:ascii="Comic Sans MS" w:hAnsi="Comic Sans MS"/>
          <w:sz w:val="20"/>
          <w:szCs w:val="20"/>
        </w:rPr>
      </w:pPr>
      <w:r w:rsidRPr="004D2D8C">
        <w:rPr>
          <w:rFonts w:ascii="Comic Sans MS" w:hAnsi="Comic Sans MS"/>
          <w:sz w:val="20"/>
          <w:szCs w:val="20"/>
        </w:rPr>
        <w:t xml:space="preserve">Grupa </w:t>
      </w:r>
      <w:r w:rsidR="0036373B" w:rsidRPr="004D2D8C">
        <w:rPr>
          <w:rFonts w:ascii="Comic Sans MS" w:hAnsi="Comic Sans MS"/>
          <w:sz w:val="20"/>
          <w:szCs w:val="20"/>
        </w:rPr>
        <w:t>EIB prom</w:t>
      </w:r>
      <w:r w:rsidRPr="004D2D8C">
        <w:rPr>
          <w:rFonts w:ascii="Comic Sans MS" w:hAnsi="Comic Sans MS"/>
          <w:sz w:val="20"/>
          <w:szCs w:val="20"/>
        </w:rPr>
        <w:t>iče korporativnu odgovornost</w:t>
      </w:r>
      <w:r w:rsidR="0036373B" w:rsidRPr="004D2D8C">
        <w:rPr>
          <w:rFonts w:ascii="Comic Sans MS" w:hAnsi="Comic Sans MS"/>
          <w:sz w:val="20"/>
          <w:szCs w:val="20"/>
        </w:rPr>
        <w:t xml:space="preserve">. </w:t>
      </w:r>
      <w:r w:rsidR="00426077" w:rsidRPr="004D2D8C">
        <w:rPr>
          <w:rFonts w:ascii="Comic Sans MS" w:hAnsi="Comic Sans MS"/>
          <w:sz w:val="20"/>
          <w:szCs w:val="20"/>
        </w:rPr>
        <w:t>To provodi kroz svoju misiju i svoje aktivnosti koje pru</w:t>
      </w:r>
      <w:r w:rsidR="003C19E9" w:rsidRPr="004D2D8C">
        <w:rPr>
          <w:rFonts w:ascii="Comic Sans MS" w:hAnsi="Comic Sans MS"/>
          <w:sz w:val="20"/>
          <w:szCs w:val="20"/>
        </w:rPr>
        <w:t>ž</w:t>
      </w:r>
      <w:r w:rsidR="00426077" w:rsidRPr="004D2D8C">
        <w:rPr>
          <w:rFonts w:ascii="Comic Sans MS" w:hAnsi="Comic Sans MS"/>
          <w:sz w:val="20"/>
          <w:szCs w:val="20"/>
        </w:rPr>
        <w:t xml:space="preserve">a </w:t>
      </w:r>
      <w:r w:rsidR="0036373B" w:rsidRPr="004D2D8C">
        <w:rPr>
          <w:rFonts w:ascii="Comic Sans MS" w:hAnsi="Comic Sans MS"/>
          <w:sz w:val="20"/>
          <w:szCs w:val="20"/>
        </w:rPr>
        <w:t>Europ</w:t>
      </w:r>
      <w:r w:rsidR="00426077" w:rsidRPr="004D2D8C">
        <w:rPr>
          <w:rFonts w:ascii="Comic Sans MS" w:hAnsi="Comic Sans MS"/>
          <w:sz w:val="20"/>
          <w:szCs w:val="20"/>
        </w:rPr>
        <w:t>skoj uniji, kroz način na koji ih obavlja te kroz svoje interno upravljanje</w:t>
      </w:r>
      <w:r w:rsidR="0036373B" w:rsidRPr="004D2D8C">
        <w:rPr>
          <w:rFonts w:ascii="Comic Sans MS" w:hAnsi="Comic Sans MS"/>
          <w:sz w:val="20"/>
          <w:szCs w:val="20"/>
        </w:rPr>
        <w:t>.</w:t>
      </w:r>
      <w:r w:rsidR="00426077" w:rsidRPr="004D2D8C">
        <w:rPr>
          <w:rFonts w:ascii="Comic Sans MS" w:hAnsi="Comic Sans MS"/>
          <w:sz w:val="20"/>
          <w:szCs w:val="20"/>
        </w:rPr>
        <w:t xml:space="preserve"> Kako bi služila društvu općenito, poduzima dobrovoljne aktivnosti, pored usklađenosti sa zakonskim propisima, te dosljedno prilagođava svoje kreditne politike, standarde i procedure</w:t>
      </w:r>
      <w:r w:rsidR="0036373B" w:rsidRPr="004D2D8C">
        <w:rPr>
          <w:rFonts w:ascii="Comic Sans MS" w:hAnsi="Comic Sans MS"/>
          <w:sz w:val="20"/>
          <w:szCs w:val="20"/>
        </w:rPr>
        <w:t>.</w:t>
      </w:r>
      <w:r w:rsidR="00426077" w:rsidRPr="004D2D8C">
        <w:rPr>
          <w:rFonts w:ascii="Comic Sans MS" w:hAnsi="Comic Sans MS"/>
          <w:sz w:val="20"/>
          <w:szCs w:val="20"/>
        </w:rPr>
        <w:t xml:space="preserve"> Osim živ</w:t>
      </w:r>
      <w:r w:rsidR="00B12C46" w:rsidRPr="004D2D8C">
        <w:rPr>
          <w:rFonts w:ascii="Comic Sans MS" w:hAnsi="Comic Sans MS"/>
          <w:sz w:val="20"/>
          <w:szCs w:val="20"/>
        </w:rPr>
        <w:t>uće</w:t>
      </w:r>
      <w:r w:rsidR="00426077" w:rsidRPr="004D2D8C">
        <w:rPr>
          <w:rFonts w:ascii="Comic Sans MS" w:hAnsi="Comic Sans MS"/>
          <w:sz w:val="20"/>
          <w:szCs w:val="20"/>
        </w:rPr>
        <w:t xml:space="preserve">g dijaloga s vanjskim dionicima, Grupa </w:t>
      </w:r>
      <w:r w:rsidR="0036373B" w:rsidRPr="004D2D8C">
        <w:rPr>
          <w:rFonts w:ascii="Comic Sans MS" w:hAnsi="Comic Sans MS"/>
          <w:sz w:val="20"/>
          <w:szCs w:val="20"/>
        </w:rPr>
        <w:t>EIB</w:t>
      </w:r>
      <w:r w:rsidR="00426077" w:rsidRPr="004D2D8C">
        <w:rPr>
          <w:rFonts w:ascii="Comic Sans MS" w:hAnsi="Comic Sans MS"/>
          <w:sz w:val="20"/>
          <w:szCs w:val="20"/>
        </w:rPr>
        <w:t xml:space="preserve"> nastoji osigurati učinkovito odvijanje svojih vanjskih funkcija – uključujući procjenu, internu reviziju i ocjenjivanje – ka</w:t>
      </w:r>
      <w:r w:rsidR="00A944E3" w:rsidRPr="004D2D8C">
        <w:rPr>
          <w:rFonts w:ascii="Comic Sans MS" w:hAnsi="Comic Sans MS"/>
          <w:sz w:val="20"/>
          <w:szCs w:val="20"/>
        </w:rPr>
        <w:t>k</w:t>
      </w:r>
      <w:r w:rsidR="00426077" w:rsidRPr="004D2D8C">
        <w:rPr>
          <w:rFonts w:ascii="Comic Sans MS" w:hAnsi="Comic Sans MS"/>
          <w:sz w:val="20"/>
          <w:szCs w:val="20"/>
        </w:rPr>
        <w:t>o bi ojačala dodanu vrijednost svog poslovanja</w:t>
      </w:r>
      <w:r w:rsidR="0036373B" w:rsidRPr="004D2D8C">
        <w:rPr>
          <w:rFonts w:ascii="Comic Sans MS" w:hAnsi="Comic Sans MS"/>
          <w:sz w:val="20"/>
          <w:szCs w:val="20"/>
        </w:rPr>
        <w:t xml:space="preserve">. </w:t>
      </w:r>
      <w:r w:rsidR="00426077" w:rsidRPr="004D2D8C">
        <w:rPr>
          <w:rFonts w:ascii="Comic Sans MS" w:hAnsi="Comic Sans MS"/>
          <w:sz w:val="20"/>
          <w:szCs w:val="20"/>
        </w:rPr>
        <w:t>Izvor</w:t>
      </w:r>
      <w:r w:rsidR="0036373B" w:rsidRPr="004D2D8C">
        <w:rPr>
          <w:rFonts w:ascii="Comic Sans MS" w:hAnsi="Comic Sans MS"/>
          <w:sz w:val="20"/>
          <w:szCs w:val="20"/>
        </w:rPr>
        <w:t>: EIB</w:t>
      </w:r>
      <w:r w:rsidR="00426077" w:rsidRPr="004D2D8C">
        <w:rPr>
          <w:rFonts w:ascii="Comic Sans MS" w:hAnsi="Comic Sans MS"/>
          <w:sz w:val="20"/>
          <w:szCs w:val="20"/>
        </w:rPr>
        <w:t xml:space="preserve">-ov Izvještaj o korporativnoj odgovornosti za </w:t>
      </w:r>
      <w:r w:rsidR="0036373B" w:rsidRPr="004D2D8C">
        <w:rPr>
          <w:rFonts w:ascii="Comic Sans MS" w:hAnsi="Comic Sans MS"/>
          <w:sz w:val="20"/>
          <w:szCs w:val="20"/>
        </w:rPr>
        <w:t>2005.</w:t>
      </w:r>
    </w:p>
    <w:p w:rsidR="0036373B" w:rsidRPr="004D2D8C" w:rsidRDefault="00AD03B2" w:rsidP="0036373B">
      <w:pPr>
        <w:jc w:val="both"/>
        <w:rPr>
          <w:rFonts w:ascii="Comic Sans MS" w:hAnsi="Comic Sans MS"/>
          <w:sz w:val="20"/>
          <w:szCs w:val="20"/>
        </w:rPr>
      </w:pPr>
      <w:r w:rsidRPr="004D2D8C">
        <w:rPr>
          <w:rFonts w:ascii="Comic Sans MS" w:hAnsi="Comic Sans MS"/>
          <w:b/>
          <w:sz w:val="20"/>
          <w:szCs w:val="20"/>
        </w:rPr>
        <w:t xml:space="preserve">Zemlje </w:t>
      </w:r>
      <w:r w:rsidR="00A621B6" w:rsidRPr="004D2D8C">
        <w:rPr>
          <w:rFonts w:ascii="Comic Sans MS" w:hAnsi="Comic Sans MS"/>
          <w:b/>
          <w:sz w:val="20"/>
          <w:szCs w:val="20"/>
        </w:rPr>
        <w:t xml:space="preserve">u kojima </w:t>
      </w:r>
      <w:r w:rsidRPr="004D2D8C">
        <w:rPr>
          <w:rFonts w:ascii="Comic Sans MS" w:hAnsi="Comic Sans MS"/>
          <w:b/>
          <w:sz w:val="20"/>
          <w:szCs w:val="20"/>
        </w:rPr>
        <w:t>posl</w:t>
      </w:r>
      <w:r w:rsidR="00A621B6" w:rsidRPr="004D2D8C">
        <w:rPr>
          <w:rFonts w:ascii="Comic Sans MS" w:hAnsi="Comic Sans MS"/>
          <w:b/>
          <w:sz w:val="20"/>
          <w:szCs w:val="20"/>
        </w:rPr>
        <w:t>u</w:t>
      </w:r>
      <w:r w:rsidRPr="004D2D8C">
        <w:rPr>
          <w:rFonts w:ascii="Comic Sans MS" w:hAnsi="Comic Sans MS"/>
          <w:b/>
          <w:sz w:val="20"/>
          <w:szCs w:val="20"/>
        </w:rPr>
        <w:t>j</w:t>
      </w:r>
      <w:r w:rsidR="00A621B6" w:rsidRPr="004D2D8C">
        <w:rPr>
          <w:rFonts w:ascii="Comic Sans MS" w:hAnsi="Comic Sans MS"/>
          <w:b/>
          <w:sz w:val="20"/>
          <w:szCs w:val="20"/>
        </w:rPr>
        <w:t>e</w:t>
      </w:r>
      <w:r w:rsidR="0036373B" w:rsidRPr="004D2D8C">
        <w:rPr>
          <w:rFonts w:ascii="Comic Sans MS" w:hAnsi="Comic Sans MS"/>
          <w:b/>
          <w:sz w:val="20"/>
          <w:szCs w:val="20"/>
        </w:rPr>
        <w:t xml:space="preserve"> </w:t>
      </w:r>
      <w:r w:rsidR="0036373B" w:rsidRPr="004D2D8C">
        <w:rPr>
          <w:rFonts w:ascii="Comic Sans MS" w:hAnsi="Comic Sans MS"/>
          <w:sz w:val="20"/>
          <w:szCs w:val="20"/>
        </w:rPr>
        <w:t>(EIB)</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EIB</w:t>
      </w:r>
      <w:r w:rsidR="00426077" w:rsidRPr="004D2D8C">
        <w:rPr>
          <w:rFonts w:ascii="Comic Sans MS" w:hAnsi="Comic Sans MS"/>
          <w:sz w:val="20"/>
          <w:szCs w:val="20"/>
        </w:rPr>
        <w:t xml:space="preserve"> posluje kako unutar tako i izvan </w:t>
      </w:r>
      <w:r w:rsidRPr="004D2D8C">
        <w:rPr>
          <w:rFonts w:ascii="Comic Sans MS" w:hAnsi="Comic Sans MS"/>
          <w:sz w:val="20"/>
          <w:szCs w:val="20"/>
        </w:rPr>
        <w:t>Europ</w:t>
      </w:r>
      <w:r w:rsidR="00426077" w:rsidRPr="004D2D8C">
        <w:rPr>
          <w:rFonts w:ascii="Comic Sans MS" w:hAnsi="Comic Sans MS"/>
          <w:sz w:val="20"/>
          <w:szCs w:val="20"/>
        </w:rPr>
        <w:t>sk</w:t>
      </w:r>
      <w:r w:rsidRPr="004D2D8C">
        <w:rPr>
          <w:rFonts w:ascii="Comic Sans MS" w:hAnsi="Comic Sans MS"/>
          <w:sz w:val="20"/>
          <w:szCs w:val="20"/>
        </w:rPr>
        <w:t>e</w:t>
      </w:r>
      <w:r w:rsidR="00426077" w:rsidRPr="004D2D8C">
        <w:rPr>
          <w:rFonts w:ascii="Comic Sans MS" w:hAnsi="Comic Sans MS"/>
          <w:sz w:val="20"/>
          <w:szCs w:val="20"/>
        </w:rPr>
        <w:t xml:space="preserve"> u</w:t>
      </w:r>
      <w:r w:rsidRPr="004D2D8C">
        <w:rPr>
          <w:rFonts w:ascii="Comic Sans MS" w:hAnsi="Comic Sans MS"/>
          <w:sz w:val="20"/>
          <w:szCs w:val="20"/>
        </w:rPr>
        <w:t>ni</w:t>
      </w:r>
      <w:r w:rsidR="00426077" w:rsidRPr="004D2D8C">
        <w:rPr>
          <w:rFonts w:ascii="Comic Sans MS" w:hAnsi="Comic Sans MS"/>
          <w:sz w:val="20"/>
          <w:szCs w:val="20"/>
        </w:rPr>
        <w:t>je</w:t>
      </w:r>
      <w:r w:rsidRPr="004D2D8C">
        <w:rPr>
          <w:rFonts w:ascii="Comic Sans MS" w:hAnsi="Comic Sans MS"/>
          <w:sz w:val="20"/>
          <w:szCs w:val="20"/>
        </w:rPr>
        <w:t xml:space="preserve"> (EU) (</w:t>
      </w:r>
      <w:r w:rsidR="00426077" w:rsidRPr="004D2D8C">
        <w:rPr>
          <w:rFonts w:ascii="Comic Sans MS" w:hAnsi="Comic Sans MS"/>
          <w:sz w:val="20"/>
          <w:szCs w:val="20"/>
        </w:rPr>
        <w:t>vidi</w:t>
      </w:r>
      <w:r w:rsidRPr="004D2D8C">
        <w:rPr>
          <w:rFonts w:ascii="Comic Sans MS" w:hAnsi="Comic Sans MS"/>
          <w:sz w:val="20"/>
          <w:szCs w:val="20"/>
        </w:rPr>
        <w:t xml:space="preserve"> EIB</w:t>
      </w:r>
      <w:r w:rsidR="00426077" w:rsidRPr="004D2D8C">
        <w:rPr>
          <w:rFonts w:ascii="Comic Sans MS" w:hAnsi="Comic Sans MS"/>
          <w:sz w:val="20"/>
          <w:szCs w:val="20"/>
        </w:rPr>
        <w:t xml:space="preserve">-ove </w:t>
      </w:r>
      <w:r w:rsidRPr="004D2D8C">
        <w:rPr>
          <w:rFonts w:ascii="Comic Sans MS" w:hAnsi="Comic Sans MS"/>
          <w:sz w:val="20"/>
          <w:szCs w:val="20"/>
        </w:rPr>
        <w:t>web</w:t>
      </w:r>
      <w:r w:rsidR="00426077" w:rsidRPr="004D2D8C">
        <w:rPr>
          <w:rFonts w:ascii="Comic Sans MS" w:hAnsi="Comic Sans MS"/>
          <w:sz w:val="20"/>
          <w:szCs w:val="20"/>
        </w:rPr>
        <w:t xml:space="preserve"> </w:t>
      </w:r>
      <w:r w:rsidRPr="004D2D8C">
        <w:rPr>
          <w:rFonts w:ascii="Comic Sans MS" w:hAnsi="Comic Sans MS"/>
          <w:sz w:val="20"/>
          <w:szCs w:val="20"/>
        </w:rPr>
        <w:t>st</w:t>
      </w:r>
      <w:r w:rsidR="00426077" w:rsidRPr="004D2D8C">
        <w:rPr>
          <w:rFonts w:ascii="Comic Sans MS" w:hAnsi="Comic Sans MS"/>
          <w:sz w:val="20"/>
          <w:szCs w:val="20"/>
        </w:rPr>
        <w:t>ranic</w:t>
      </w:r>
      <w:r w:rsidRPr="004D2D8C">
        <w:rPr>
          <w:rFonts w:ascii="Comic Sans MS" w:hAnsi="Comic Sans MS"/>
          <w:sz w:val="20"/>
          <w:szCs w:val="20"/>
        </w:rPr>
        <w:t>e).</w:t>
      </w:r>
      <w:r w:rsidR="00426077" w:rsidRPr="004D2D8C">
        <w:rPr>
          <w:rFonts w:ascii="Comic Sans MS" w:hAnsi="Comic Sans MS"/>
          <w:sz w:val="20"/>
          <w:szCs w:val="20"/>
        </w:rPr>
        <w:t xml:space="preserve"> Veći dio </w:t>
      </w:r>
      <w:r w:rsidRPr="004D2D8C">
        <w:rPr>
          <w:rFonts w:ascii="Comic Sans MS" w:hAnsi="Comic Sans MS"/>
          <w:sz w:val="20"/>
          <w:szCs w:val="20"/>
        </w:rPr>
        <w:t>EIB</w:t>
      </w:r>
      <w:r w:rsidR="00426077" w:rsidRPr="004D2D8C">
        <w:rPr>
          <w:rFonts w:ascii="Comic Sans MS" w:hAnsi="Comic Sans MS"/>
          <w:sz w:val="20"/>
          <w:szCs w:val="20"/>
        </w:rPr>
        <w:t xml:space="preserve">-ovih kreditnih aktivnosti odnosi se na promotore unutar </w:t>
      </w:r>
      <w:r w:rsidRPr="004D2D8C">
        <w:rPr>
          <w:rFonts w:ascii="Comic Sans MS" w:hAnsi="Comic Sans MS"/>
          <w:sz w:val="20"/>
          <w:szCs w:val="20"/>
        </w:rPr>
        <w:t>EU</w:t>
      </w:r>
      <w:r w:rsidR="00426077" w:rsidRPr="004D2D8C">
        <w:rPr>
          <w:rFonts w:ascii="Comic Sans MS" w:hAnsi="Comic Sans MS"/>
          <w:sz w:val="20"/>
          <w:szCs w:val="20"/>
        </w:rPr>
        <w:t>-a koji pružaju potporu kontinuiranom razvoju i integraciji Unije</w:t>
      </w:r>
      <w:r w:rsidRPr="004D2D8C">
        <w:rPr>
          <w:rFonts w:ascii="Comic Sans MS" w:hAnsi="Comic Sans MS"/>
          <w:sz w:val="20"/>
          <w:szCs w:val="20"/>
        </w:rPr>
        <w:t>. EIB</w:t>
      </w:r>
      <w:r w:rsidR="00426077" w:rsidRPr="004D2D8C">
        <w:rPr>
          <w:rFonts w:ascii="Comic Sans MS" w:hAnsi="Comic Sans MS"/>
          <w:sz w:val="20"/>
          <w:szCs w:val="20"/>
        </w:rPr>
        <w:t xml:space="preserve">-ov Odbor guvernera </w:t>
      </w:r>
      <w:r w:rsidR="00A95019" w:rsidRPr="004D2D8C">
        <w:rPr>
          <w:rFonts w:ascii="Comic Sans MS" w:hAnsi="Comic Sans MS"/>
          <w:sz w:val="20"/>
          <w:szCs w:val="20"/>
        </w:rPr>
        <w:t xml:space="preserve">opunomoćio je </w:t>
      </w:r>
      <w:r w:rsidRPr="004D2D8C">
        <w:rPr>
          <w:rFonts w:ascii="Comic Sans MS" w:hAnsi="Comic Sans MS"/>
          <w:sz w:val="20"/>
          <w:szCs w:val="20"/>
        </w:rPr>
        <w:t>Bank</w:t>
      </w:r>
      <w:r w:rsidR="00A95019" w:rsidRPr="004D2D8C">
        <w:rPr>
          <w:rFonts w:ascii="Comic Sans MS" w:hAnsi="Comic Sans MS"/>
          <w:sz w:val="20"/>
          <w:szCs w:val="20"/>
        </w:rPr>
        <w:t xml:space="preserve">u da može poslovati i izvan </w:t>
      </w:r>
      <w:r w:rsidRPr="004D2D8C">
        <w:rPr>
          <w:rFonts w:ascii="Comic Sans MS" w:hAnsi="Comic Sans MS"/>
          <w:sz w:val="20"/>
          <w:szCs w:val="20"/>
        </w:rPr>
        <w:t>EU</w:t>
      </w:r>
      <w:r w:rsidR="00A95019" w:rsidRPr="004D2D8C">
        <w:rPr>
          <w:rFonts w:ascii="Comic Sans MS" w:hAnsi="Comic Sans MS"/>
          <w:sz w:val="20"/>
          <w:szCs w:val="20"/>
        </w:rPr>
        <w:t xml:space="preserve">-a radi pružanja potpore razvoju </w:t>
      </w:r>
      <w:r w:rsidRPr="004D2D8C">
        <w:rPr>
          <w:rFonts w:ascii="Comic Sans MS" w:hAnsi="Comic Sans MS"/>
          <w:sz w:val="20"/>
          <w:szCs w:val="20"/>
        </w:rPr>
        <w:t>EU</w:t>
      </w:r>
      <w:r w:rsidR="00A95019" w:rsidRPr="004D2D8C">
        <w:rPr>
          <w:rFonts w:ascii="Comic Sans MS" w:hAnsi="Comic Sans MS"/>
          <w:sz w:val="20"/>
          <w:szCs w:val="20"/>
        </w:rPr>
        <w:t>-a i politika</w:t>
      </w:r>
      <w:r w:rsidR="00E978B1" w:rsidRPr="004D2D8C">
        <w:rPr>
          <w:rFonts w:ascii="Comic Sans MS" w:hAnsi="Comic Sans MS"/>
          <w:sz w:val="20"/>
          <w:szCs w:val="20"/>
        </w:rPr>
        <w:t>ma</w:t>
      </w:r>
      <w:r w:rsidR="00A95019" w:rsidRPr="004D2D8C">
        <w:rPr>
          <w:rFonts w:ascii="Comic Sans MS" w:hAnsi="Comic Sans MS"/>
          <w:sz w:val="20"/>
          <w:szCs w:val="20"/>
        </w:rPr>
        <w:t xml:space="preserve"> suradnje EU-a</w:t>
      </w:r>
      <w:r w:rsidRPr="004D2D8C">
        <w:rPr>
          <w:rFonts w:ascii="Comic Sans MS" w:hAnsi="Comic Sans MS"/>
          <w:sz w:val="20"/>
          <w:szCs w:val="20"/>
        </w:rPr>
        <w:t>.</w:t>
      </w:r>
    </w:p>
    <w:p w:rsidR="0036373B" w:rsidRPr="004D2D8C" w:rsidRDefault="00A95019" w:rsidP="0036373B">
      <w:pPr>
        <w:jc w:val="both"/>
        <w:rPr>
          <w:rFonts w:ascii="Comic Sans MS" w:hAnsi="Comic Sans MS"/>
          <w:sz w:val="20"/>
          <w:szCs w:val="20"/>
        </w:rPr>
      </w:pPr>
      <w:r w:rsidRPr="004D2D8C">
        <w:rPr>
          <w:rFonts w:ascii="Comic Sans MS" w:hAnsi="Comic Sans MS"/>
          <w:sz w:val="20"/>
          <w:szCs w:val="20"/>
        </w:rPr>
        <w:t xml:space="preserve">U ovom trenutku, </w:t>
      </w:r>
      <w:r w:rsidR="0036373B" w:rsidRPr="004D2D8C">
        <w:rPr>
          <w:rFonts w:ascii="Comic Sans MS" w:hAnsi="Comic Sans MS"/>
          <w:sz w:val="20"/>
          <w:szCs w:val="20"/>
        </w:rPr>
        <w:t>EIB</w:t>
      </w:r>
      <w:r w:rsidRPr="004D2D8C">
        <w:rPr>
          <w:rFonts w:ascii="Comic Sans MS" w:hAnsi="Comic Sans MS"/>
          <w:sz w:val="20"/>
          <w:szCs w:val="20"/>
        </w:rPr>
        <w:t>-ov mandat za poslove vanjskog kreditiranja obuhvaća primjerice</w:t>
      </w:r>
      <w:r w:rsidR="0036373B" w:rsidRPr="004D2D8C">
        <w:rPr>
          <w:rFonts w:ascii="Comic Sans MS" w:hAnsi="Comic Sans MS"/>
          <w:sz w:val="20"/>
          <w:szCs w:val="20"/>
        </w:rPr>
        <w:t>:</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w:t>
      </w:r>
      <w:r w:rsidR="00E94F5B" w:rsidRPr="004D2D8C">
        <w:rPr>
          <w:rFonts w:ascii="Comic Sans MS" w:hAnsi="Comic Sans MS"/>
          <w:sz w:val="20"/>
          <w:szCs w:val="20"/>
        </w:rPr>
        <w:t>područje proširenja južne i istočne Euro</w:t>
      </w:r>
      <w:r w:rsidRPr="004D2D8C">
        <w:rPr>
          <w:rFonts w:ascii="Comic Sans MS" w:hAnsi="Comic Sans MS"/>
          <w:sz w:val="20"/>
          <w:szCs w:val="20"/>
        </w:rPr>
        <w:t>pe: *</w:t>
      </w:r>
      <w:r w:rsidR="007704AF" w:rsidRPr="004D2D8C">
        <w:rPr>
          <w:rFonts w:ascii="Comic Sans MS" w:hAnsi="Comic Sans MS"/>
          <w:sz w:val="20"/>
          <w:szCs w:val="20"/>
        </w:rPr>
        <w:t xml:space="preserve">države kandidatkinje </w:t>
      </w:r>
      <w:r w:rsidRPr="004D2D8C">
        <w:rPr>
          <w:rFonts w:ascii="Comic Sans MS" w:hAnsi="Comic Sans MS"/>
          <w:sz w:val="20"/>
          <w:szCs w:val="20"/>
        </w:rPr>
        <w:t>(Tur</w:t>
      </w:r>
      <w:r w:rsidR="007704AF" w:rsidRPr="004D2D8C">
        <w:rPr>
          <w:rFonts w:ascii="Comic Sans MS" w:hAnsi="Comic Sans MS"/>
          <w:sz w:val="20"/>
          <w:szCs w:val="20"/>
        </w:rPr>
        <w:t>s</w:t>
      </w:r>
      <w:r w:rsidRPr="004D2D8C">
        <w:rPr>
          <w:rFonts w:ascii="Comic Sans MS" w:hAnsi="Comic Sans MS"/>
          <w:sz w:val="20"/>
          <w:szCs w:val="20"/>
        </w:rPr>
        <w:t>k</w:t>
      </w:r>
      <w:r w:rsidR="007704AF" w:rsidRPr="004D2D8C">
        <w:rPr>
          <w:rFonts w:ascii="Comic Sans MS" w:hAnsi="Comic Sans MS"/>
          <w:sz w:val="20"/>
          <w:szCs w:val="20"/>
        </w:rPr>
        <w:t>a</w:t>
      </w:r>
      <w:r w:rsidRPr="004D2D8C">
        <w:rPr>
          <w:rFonts w:ascii="Comic Sans MS" w:hAnsi="Comic Sans MS"/>
          <w:sz w:val="20"/>
          <w:szCs w:val="20"/>
        </w:rPr>
        <w:t xml:space="preserve">, </w:t>
      </w:r>
      <w:r w:rsidR="007704AF" w:rsidRPr="004D2D8C">
        <w:rPr>
          <w:rFonts w:ascii="Comic Sans MS" w:hAnsi="Comic Sans MS"/>
          <w:sz w:val="20"/>
          <w:szCs w:val="20"/>
        </w:rPr>
        <w:t xml:space="preserve">Hrvatska i Bivša Jugoslavenska </w:t>
      </w:r>
      <w:r w:rsidRPr="004D2D8C">
        <w:rPr>
          <w:rFonts w:ascii="Comic Sans MS" w:hAnsi="Comic Sans MS"/>
          <w:sz w:val="20"/>
          <w:szCs w:val="20"/>
        </w:rPr>
        <w:t>Republi</w:t>
      </w:r>
      <w:r w:rsidR="007704AF" w:rsidRPr="004D2D8C">
        <w:rPr>
          <w:rFonts w:ascii="Comic Sans MS" w:hAnsi="Comic Sans MS"/>
          <w:sz w:val="20"/>
          <w:szCs w:val="20"/>
        </w:rPr>
        <w:t>ka</w:t>
      </w:r>
      <w:r w:rsidRPr="004D2D8C">
        <w:rPr>
          <w:rFonts w:ascii="Comic Sans MS" w:hAnsi="Comic Sans MS"/>
          <w:sz w:val="20"/>
          <w:szCs w:val="20"/>
        </w:rPr>
        <w:t xml:space="preserve"> Ma</w:t>
      </w:r>
      <w:r w:rsidR="007704AF" w:rsidRPr="004D2D8C">
        <w:rPr>
          <w:rFonts w:ascii="Comic Sans MS" w:hAnsi="Comic Sans MS"/>
          <w:sz w:val="20"/>
          <w:szCs w:val="20"/>
        </w:rPr>
        <w:t>k</w:t>
      </w:r>
      <w:r w:rsidRPr="004D2D8C">
        <w:rPr>
          <w:rFonts w:ascii="Comic Sans MS" w:hAnsi="Comic Sans MS"/>
          <w:sz w:val="20"/>
          <w:szCs w:val="20"/>
        </w:rPr>
        <w:t>edoni</w:t>
      </w:r>
      <w:r w:rsidR="007704AF" w:rsidRPr="004D2D8C">
        <w:rPr>
          <w:rFonts w:ascii="Comic Sans MS" w:hAnsi="Comic Sans MS"/>
          <w:sz w:val="20"/>
          <w:szCs w:val="20"/>
        </w:rPr>
        <w:t>j</w:t>
      </w:r>
      <w:r w:rsidRPr="004D2D8C">
        <w:rPr>
          <w:rFonts w:ascii="Comic Sans MS" w:hAnsi="Comic Sans MS"/>
          <w:sz w:val="20"/>
          <w:szCs w:val="20"/>
        </w:rPr>
        <w:t>a), ; *</w:t>
      </w:r>
      <w:r w:rsidR="007704AF" w:rsidRPr="004D2D8C">
        <w:rPr>
          <w:rFonts w:ascii="Comic Sans MS" w:hAnsi="Comic Sans MS"/>
          <w:sz w:val="20"/>
          <w:szCs w:val="20"/>
        </w:rPr>
        <w:t>države potencijalne kandidatkinje</w:t>
      </w:r>
      <w:r w:rsidRPr="004D2D8C">
        <w:rPr>
          <w:rFonts w:ascii="Comic Sans MS" w:hAnsi="Comic Sans MS"/>
          <w:sz w:val="20"/>
          <w:szCs w:val="20"/>
        </w:rPr>
        <w:t xml:space="preserve">: </w:t>
      </w:r>
      <w:r w:rsidR="007704AF" w:rsidRPr="004D2D8C">
        <w:rPr>
          <w:rFonts w:ascii="Comic Sans MS" w:hAnsi="Comic Sans MS"/>
          <w:sz w:val="20"/>
          <w:szCs w:val="20"/>
        </w:rPr>
        <w:t xml:space="preserve">zemlje zapadnog </w:t>
      </w:r>
      <w:r w:rsidRPr="004D2D8C">
        <w:rPr>
          <w:rFonts w:ascii="Comic Sans MS" w:hAnsi="Comic Sans MS"/>
          <w:sz w:val="20"/>
          <w:szCs w:val="20"/>
        </w:rPr>
        <w:t>Balkan</w:t>
      </w:r>
      <w:r w:rsidR="007704AF" w:rsidRPr="004D2D8C">
        <w:rPr>
          <w:rFonts w:ascii="Comic Sans MS" w:hAnsi="Comic Sans MS"/>
          <w:sz w:val="20"/>
          <w:szCs w:val="20"/>
        </w:rPr>
        <w:t>a</w:t>
      </w:r>
      <w:r w:rsidRPr="004D2D8C">
        <w:rPr>
          <w:rFonts w:ascii="Comic Sans MS" w:hAnsi="Comic Sans MS"/>
          <w:sz w:val="20"/>
          <w:szCs w:val="20"/>
        </w:rPr>
        <w:t xml:space="preserve"> (</w:t>
      </w:r>
      <w:r w:rsidR="007704AF" w:rsidRPr="004D2D8C">
        <w:rPr>
          <w:rFonts w:ascii="Comic Sans MS" w:hAnsi="Comic Sans MS"/>
          <w:sz w:val="20"/>
          <w:szCs w:val="20"/>
        </w:rPr>
        <w:t>bez Bivše Jugoslavenske Republike Makedonije</w:t>
      </w:r>
      <w:r w:rsidRPr="004D2D8C">
        <w:rPr>
          <w:rFonts w:ascii="Comic Sans MS" w:hAnsi="Comic Sans MS"/>
          <w:sz w:val="20"/>
          <w:szCs w:val="20"/>
        </w:rPr>
        <w:t>);</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w:t>
      </w:r>
      <w:r w:rsidR="00E94F5B" w:rsidRPr="004D2D8C">
        <w:rPr>
          <w:rFonts w:ascii="Comic Sans MS" w:hAnsi="Comic Sans MS"/>
          <w:sz w:val="20"/>
          <w:szCs w:val="20"/>
        </w:rPr>
        <w:t>susjedno područje</w:t>
      </w:r>
      <w:r w:rsidRPr="004D2D8C">
        <w:rPr>
          <w:rFonts w:ascii="Comic Sans MS" w:hAnsi="Comic Sans MS"/>
          <w:sz w:val="20"/>
          <w:szCs w:val="20"/>
        </w:rPr>
        <w:t>: *</w:t>
      </w:r>
      <w:r w:rsidR="00E94F5B" w:rsidRPr="004D2D8C">
        <w:rPr>
          <w:rFonts w:ascii="Comic Sans MS" w:hAnsi="Comic Sans MS"/>
          <w:sz w:val="20"/>
          <w:szCs w:val="20"/>
        </w:rPr>
        <w:t xml:space="preserve">područje Mediterana i </w:t>
      </w:r>
      <w:r w:rsidRPr="004D2D8C">
        <w:rPr>
          <w:rFonts w:ascii="Comic Sans MS" w:hAnsi="Comic Sans MS"/>
          <w:sz w:val="20"/>
          <w:szCs w:val="20"/>
        </w:rPr>
        <w:t>*</w:t>
      </w:r>
      <w:r w:rsidR="00E94F5B" w:rsidRPr="004D2D8C">
        <w:rPr>
          <w:rFonts w:ascii="Comic Sans MS" w:hAnsi="Comic Sans MS"/>
          <w:sz w:val="20"/>
          <w:szCs w:val="20"/>
        </w:rPr>
        <w:t>Rusija i istočno područje</w:t>
      </w:r>
      <w:r w:rsidRPr="004D2D8C">
        <w:rPr>
          <w:rFonts w:ascii="Comic Sans MS" w:hAnsi="Comic Sans MS"/>
          <w:sz w:val="20"/>
          <w:szCs w:val="20"/>
        </w:rPr>
        <w:t>;</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w:t>
      </w:r>
      <w:r w:rsidR="00E94F5B" w:rsidRPr="004D2D8C">
        <w:rPr>
          <w:rFonts w:ascii="Comic Sans MS" w:hAnsi="Comic Sans MS"/>
          <w:sz w:val="20"/>
          <w:szCs w:val="20"/>
        </w:rPr>
        <w:t>zemlje razvoja i suradnje</w:t>
      </w:r>
      <w:r w:rsidRPr="004D2D8C">
        <w:rPr>
          <w:rFonts w:ascii="Comic Sans MS" w:hAnsi="Comic Sans MS"/>
          <w:sz w:val="20"/>
          <w:szCs w:val="20"/>
        </w:rPr>
        <w:t>: *Afri</w:t>
      </w:r>
      <w:r w:rsidR="00E94F5B" w:rsidRPr="004D2D8C">
        <w:rPr>
          <w:rFonts w:ascii="Comic Sans MS" w:hAnsi="Comic Sans MS"/>
          <w:sz w:val="20"/>
          <w:szCs w:val="20"/>
        </w:rPr>
        <w:t>k</w:t>
      </w:r>
      <w:r w:rsidRPr="004D2D8C">
        <w:rPr>
          <w:rFonts w:ascii="Comic Sans MS" w:hAnsi="Comic Sans MS"/>
          <w:sz w:val="20"/>
          <w:szCs w:val="20"/>
        </w:rPr>
        <w:t xml:space="preserve">a, </w:t>
      </w:r>
      <w:r w:rsidR="00E94F5B" w:rsidRPr="004D2D8C">
        <w:rPr>
          <w:rFonts w:ascii="Comic Sans MS" w:hAnsi="Comic Sans MS"/>
          <w:sz w:val="20"/>
          <w:szCs w:val="20"/>
        </w:rPr>
        <w:t>područje K</w:t>
      </w:r>
      <w:r w:rsidRPr="004D2D8C">
        <w:rPr>
          <w:rFonts w:ascii="Comic Sans MS" w:hAnsi="Comic Sans MS"/>
          <w:sz w:val="20"/>
          <w:szCs w:val="20"/>
        </w:rPr>
        <w:t>arib</w:t>
      </w:r>
      <w:r w:rsidR="00E94F5B" w:rsidRPr="004D2D8C">
        <w:rPr>
          <w:rFonts w:ascii="Comic Sans MS" w:hAnsi="Comic Sans MS"/>
          <w:sz w:val="20"/>
          <w:szCs w:val="20"/>
        </w:rPr>
        <w:t>a i</w:t>
      </w:r>
      <w:r w:rsidRPr="004D2D8C">
        <w:rPr>
          <w:rFonts w:ascii="Comic Sans MS" w:hAnsi="Comic Sans MS"/>
          <w:sz w:val="20"/>
          <w:szCs w:val="20"/>
        </w:rPr>
        <w:t xml:space="preserve"> Pacifi</w:t>
      </w:r>
      <w:r w:rsidR="00E94F5B" w:rsidRPr="004D2D8C">
        <w:rPr>
          <w:rFonts w:ascii="Comic Sans MS" w:hAnsi="Comic Sans MS"/>
          <w:sz w:val="20"/>
          <w:szCs w:val="20"/>
        </w:rPr>
        <w:t>ka</w:t>
      </w:r>
      <w:r w:rsidRPr="004D2D8C">
        <w:rPr>
          <w:rFonts w:ascii="Comic Sans MS" w:hAnsi="Comic Sans MS"/>
          <w:sz w:val="20"/>
          <w:szCs w:val="20"/>
        </w:rPr>
        <w:t xml:space="preserve"> (</w:t>
      </w:r>
      <w:r w:rsidR="00E94F5B" w:rsidRPr="004D2D8C">
        <w:rPr>
          <w:rFonts w:ascii="Comic Sans MS" w:hAnsi="Comic Sans MS"/>
          <w:sz w:val="20"/>
          <w:szCs w:val="20"/>
        </w:rPr>
        <w:t>te prekomorske zemlje i područja</w:t>
      </w:r>
      <w:r w:rsidRPr="004D2D8C">
        <w:rPr>
          <w:rFonts w:ascii="Comic Sans MS" w:hAnsi="Comic Sans MS"/>
          <w:sz w:val="20"/>
          <w:szCs w:val="20"/>
        </w:rPr>
        <w:t>), *</w:t>
      </w:r>
      <w:r w:rsidR="00E94F5B" w:rsidRPr="004D2D8C">
        <w:rPr>
          <w:rFonts w:ascii="Comic Sans MS" w:hAnsi="Comic Sans MS"/>
          <w:sz w:val="20"/>
          <w:szCs w:val="20"/>
        </w:rPr>
        <w:t xml:space="preserve">Južna </w:t>
      </w:r>
      <w:r w:rsidRPr="004D2D8C">
        <w:rPr>
          <w:rFonts w:ascii="Comic Sans MS" w:hAnsi="Comic Sans MS"/>
          <w:sz w:val="20"/>
          <w:szCs w:val="20"/>
        </w:rPr>
        <w:t>Afri</w:t>
      </w:r>
      <w:r w:rsidR="00E94F5B" w:rsidRPr="004D2D8C">
        <w:rPr>
          <w:rFonts w:ascii="Comic Sans MS" w:hAnsi="Comic Sans MS"/>
          <w:sz w:val="20"/>
          <w:szCs w:val="20"/>
        </w:rPr>
        <w:t>k</w:t>
      </w:r>
      <w:r w:rsidRPr="004D2D8C">
        <w:rPr>
          <w:rFonts w:ascii="Comic Sans MS" w:hAnsi="Comic Sans MS"/>
          <w:sz w:val="20"/>
          <w:szCs w:val="20"/>
        </w:rPr>
        <w:t xml:space="preserve">a </w:t>
      </w:r>
      <w:r w:rsidR="00E94F5B" w:rsidRPr="004D2D8C">
        <w:rPr>
          <w:rFonts w:ascii="Comic Sans MS" w:hAnsi="Comic Sans MS"/>
          <w:sz w:val="20"/>
          <w:szCs w:val="20"/>
        </w:rPr>
        <w:t xml:space="preserve">te </w:t>
      </w:r>
      <w:r w:rsidRPr="004D2D8C">
        <w:rPr>
          <w:rFonts w:ascii="Comic Sans MS" w:hAnsi="Comic Sans MS"/>
          <w:sz w:val="20"/>
          <w:szCs w:val="20"/>
        </w:rPr>
        <w:t>*A</w:t>
      </w:r>
      <w:r w:rsidR="00E94F5B" w:rsidRPr="004D2D8C">
        <w:rPr>
          <w:rFonts w:ascii="Comic Sans MS" w:hAnsi="Comic Sans MS"/>
          <w:sz w:val="20"/>
          <w:szCs w:val="20"/>
        </w:rPr>
        <w:t>z</w:t>
      </w:r>
      <w:r w:rsidRPr="004D2D8C">
        <w:rPr>
          <w:rFonts w:ascii="Comic Sans MS" w:hAnsi="Comic Sans MS"/>
          <w:sz w:val="20"/>
          <w:szCs w:val="20"/>
        </w:rPr>
        <w:t>i</w:t>
      </w:r>
      <w:r w:rsidR="00E94F5B" w:rsidRPr="004D2D8C">
        <w:rPr>
          <w:rFonts w:ascii="Comic Sans MS" w:hAnsi="Comic Sans MS"/>
          <w:sz w:val="20"/>
          <w:szCs w:val="20"/>
        </w:rPr>
        <w:t>j</w:t>
      </w:r>
      <w:r w:rsidRPr="004D2D8C">
        <w:rPr>
          <w:rFonts w:ascii="Comic Sans MS" w:hAnsi="Comic Sans MS"/>
          <w:sz w:val="20"/>
          <w:szCs w:val="20"/>
        </w:rPr>
        <w:t xml:space="preserve">a </w:t>
      </w:r>
      <w:r w:rsidR="00E94F5B" w:rsidRPr="004D2D8C">
        <w:rPr>
          <w:rFonts w:ascii="Comic Sans MS" w:hAnsi="Comic Sans MS"/>
          <w:sz w:val="20"/>
          <w:szCs w:val="20"/>
        </w:rPr>
        <w:t xml:space="preserve">i Latinska </w:t>
      </w:r>
      <w:r w:rsidRPr="004D2D8C">
        <w:rPr>
          <w:rFonts w:ascii="Comic Sans MS" w:hAnsi="Comic Sans MS"/>
          <w:sz w:val="20"/>
          <w:szCs w:val="20"/>
        </w:rPr>
        <w:t>Ameri</w:t>
      </w:r>
      <w:r w:rsidR="00E94F5B" w:rsidRPr="004D2D8C">
        <w:rPr>
          <w:rFonts w:ascii="Comic Sans MS" w:hAnsi="Comic Sans MS"/>
          <w:sz w:val="20"/>
          <w:szCs w:val="20"/>
        </w:rPr>
        <w:t>k</w:t>
      </w:r>
      <w:r w:rsidRPr="004D2D8C">
        <w:rPr>
          <w:rFonts w:ascii="Comic Sans MS" w:hAnsi="Comic Sans MS"/>
          <w:sz w:val="20"/>
          <w:szCs w:val="20"/>
        </w:rPr>
        <w:t>a.</w:t>
      </w:r>
    </w:p>
    <w:p w:rsidR="0036373B" w:rsidRPr="004D2D8C" w:rsidRDefault="008523D0" w:rsidP="0036373B">
      <w:pPr>
        <w:jc w:val="both"/>
        <w:rPr>
          <w:rFonts w:ascii="Comic Sans MS" w:hAnsi="Comic Sans MS"/>
          <w:b/>
          <w:sz w:val="20"/>
          <w:szCs w:val="20"/>
        </w:rPr>
      </w:pPr>
      <w:r w:rsidRPr="004D2D8C">
        <w:rPr>
          <w:rFonts w:ascii="Comic Sans MS" w:hAnsi="Comic Sans MS"/>
          <w:b/>
          <w:sz w:val="20"/>
          <w:szCs w:val="20"/>
        </w:rPr>
        <w:t>K</w:t>
      </w:r>
      <w:r w:rsidR="0036373B" w:rsidRPr="004D2D8C">
        <w:rPr>
          <w:rFonts w:ascii="Comic Sans MS" w:hAnsi="Comic Sans MS"/>
          <w:b/>
          <w:sz w:val="20"/>
          <w:szCs w:val="20"/>
        </w:rPr>
        <w:t>ultur</w:t>
      </w:r>
      <w:r w:rsidRPr="004D2D8C">
        <w:rPr>
          <w:rFonts w:ascii="Comic Sans MS" w:hAnsi="Comic Sans MS"/>
          <w:b/>
          <w:sz w:val="20"/>
          <w:szCs w:val="20"/>
        </w:rPr>
        <w:t>na baština</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Arheolo</w:t>
      </w:r>
      <w:r w:rsidR="00AF2429" w:rsidRPr="004D2D8C">
        <w:rPr>
          <w:rFonts w:ascii="Comic Sans MS" w:hAnsi="Comic Sans MS"/>
          <w:sz w:val="20"/>
          <w:szCs w:val="20"/>
        </w:rPr>
        <w:t>ški i povijesno značajne</w:t>
      </w:r>
      <w:r w:rsidR="00E978B1" w:rsidRPr="004D2D8C">
        <w:rPr>
          <w:rFonts w:ascii="Comic Sans MS" w:hAnsi="Comic Sans MS"/>
          <w:sz w:val="20"/>
          <w:szCs w:val="20"/>
        </w:rPr>
        <w:t xml:space="preserve"> lokacije</w:t>
      </w:r>
      <w:r w:rsidR="00AF2429" w:rsidRPr="004D2D8C">
        <w:rPr>
          <w:rFonts w:ascii="Comic Sans MS" w:hAnsi="Comic Sans MS"/>
          <w:sz w:val="20"/>
          <w:szCs w:val="20"/>
        </w:rPr>
        <w:t xml:space="preserve"> </w:t>
      </w:r>
      <w:r w:rsidR="00E978B1" w:rsidRPr="004D2D8C">
        <w:rPr>
          <w:rFonts w:ascii="Comic Sans MS" w:hAnsi="Comic Sans MS"/>
          <w:sz w:val="20"/>
          <w:szCs w:val="20"/>
        </w:rPr>
        <w:t>i</w:t>
      </w:r>
      <w:r w:rsidR="00AF2429" w:rsidRPr="004D2D8C">
        <w:rPr>
          <w:rFonts w:ascii="Comic Sans MS" w:hAnsi="Comic Sans MS"/>
          <w:sz w:val="20"/>
          <w:szCs w:val="20"/>
        </w:rPr>
        <w:t xml:space="preserve"> </w:t>
      </w:r>
      <w:r w:rsidR="00E978B1" w:rsidRPr="004D2D8C">
        <w:rPr>
          <w:rFonts w:ascii="Comic Sans MS" w:hAnsi="Comic Sans MS"/>
          <w:sz w:val="20"/>
          <w:szCs w:val="20"/>
        </w:rPr>
        <w:t>sveta mjesta te</w:t>
      </w:r>
      <w:r w:rsidR="00AF2429" w:rsidRPr="004D2D8C">
        <w:rPr>
          <w:rFonts w:ascii="Comic Sans MS" w:hAnsi="Comic Sans MS"/>
          <w:sz w:val="20"/>
          <w:szCs w:val="20"/>
        </w:rPr>
        <w:t xml:space="preserve"> „nematerijalna“ </w:t>
      </w:r>
      <w:r w:rsidR="00071054" w:rsidRPr="004D2D8C">
        <w:rPr>
          <w:rFonts w:ascii="Comic Sans MS" w:hAnsi="Comic Sans MS"/>
          <w:sz w:val="20"/>
          <w:szCs w:val="20"/>
        </w:rPr>
        <w:t>kulturna baština povezana s određenim investicijama kao što je razvoj turizma</w:t>
      </w:r>
      <w:r w:rsidRPr="004D2D8C">
        <w:rPr>
          <w:rFonts w:ascii="Comic Sans MS" w:hAnsi="Comic Sans MS"/>
          <w:sz w:val="20"/>
          <w:szCs w:val="20"/>
        </w:rPr>
        <w:t>.</w:t>
      </w:r>
      <w:r w:rsidR="00071054" w:rsidRPr="004D2D8C">
        <w:rPr>
          <w:rFonts w:ascii="Comic Sans MS" w:hAnsi="Comic Sans MS"/>
          <w:sz w:val="20"/>
          <w:szCs w:val="20"/>
        </w:rPr>
        <w:t xml:space="preserve"> Izvor</w:t>
      </w:r>
      <w:r w:rsidRPr="004D2D8C">
        <w:rPr>
          <w:rFonts w:ascii="Comic Sans MS" w:hAnsi="Comic Sans MS"/>
          <w:sz w:val="20"/>
          <w:szCs w:val="20"/>
        </w:rPr>
        <w:t>: EIB</w:t>
      </w:r>
      <w:r w:rsidR="00071054" w:rsidRPr="004D2D8C">
        <w:rPr>
          <w:rFonts w:ascii="Comic Sans MS" w:hAnsi="Comic Sans MS"/>
          <w:sz w:val="20"/>
          <w:szCs w:val="20"/>
        </w:rPr>
        <w:t>-ov Priručnik o ekološkim i socijalnim praksama (2007.), Smjernice za socijalnu procjenu</w:t>
      </w:r>
      <w:r w:rsidRPr="004D2D8C">
        <w:rPr>
          <w:rFonts w:ascii="Comic Sans MS" w:hAnsi="Comic Sans MS"/>
          <w:sz w:val="20"/>
          <w:szCs w:val="20"/>
        </w:rPr>
        <w:t>.</w:t>
      </w:r>
    </w:p>
    <w:p w:rsidR="0036373B" w:rsidRPr="004D2D8C" w:rsidRDefault="0036373B" w:rsidP="0036373B">
      <w:pPr>
        <w:jc w:val="both"/>
        <w:rPr>
          <w:rFonts w:ascii="Comic Sans MS" w:hAnsi="Comic Sans MS"/>
          <w:b/>
          <w:sz w:val="20"/>
          <w:szCs w:val="20"/>
        </w:rPr>
      </w:pPr>
      <w:r w:rsidRPr="004D2D8C">
        <w:rPr>
          <w:rFonts w:ascii="Comic Sans MS" w:hAnsi="Comic Sans MS"/>
          <w:b/>
          <w:sz w:val="20"/>
          <w:szCs w:val="20"/>
        </w:rPr>
        <w:t>E</w:t>
      </w:r>
      <w:r w:rsidR="00071054" w:rsidRPr="004D2D8C">
        <w:rPr>
          <w:rFonts w:ascii="Comic Sans MS" w:hAnsi="Comic Sans MS"/>
          <w:b/>
          <w:sz w:val="20"/>
          <w:szCs w:val="20"/>
        </w:rPr>
        <w:t>k</w:t>
      </w:r>
      <w:r w:rsidRPr="004D2D8C">
        <w:rPr>
          <w:rFonts w:ascii="Comic Sans MS" w:hAnsi="Comic Sans MS"/>
          <w:b/>
          <w:sz w:val="20"/>
          <w:szCs w:val="20"/>
        </w:rPr>
        <w:t>o-</w:t>
      </w:r>
      <w:r w:rsidR="00071054" w:rsidRPr="004D2D8C">
        <w:rPr>
          <w:rFonts w:ascii="Comic Sans MS" w:hAnsi="Comic Sans MS"/>
          <w:b/>
          <w:sz w:val="20"/>
          <w:szCs w:val="20"/>
        </w:rPr>
        <w:t xml:space="preserve">učinkovitost </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EIB</w:t>
      </w:r>
      <w:r w:rsidR="00071054" w:rsidRPr="004D2D8C">
        <w:rPr>
          <w:rFonts w:ascii="Comic Sans MS" w:hAnsi="Comic Sans MS"/>
          <w:sz w:val="20"/>
          <w:szCs w:val="20"/>
        </w:rPr>
        <w:t xml:space="preserve"> </w:t>
      </w:r>
      <w:r w:rsidR="00D12C4A" w:rsidRPr="004D2D8C">
        <w:rPr>
          <w:rFonts w:ascii="Comic Sans MS" w:hAnsi="Comic Sans MS"/>
          <w:sz w:val="20"/>
          <w:szCs w:val="20"/>
        </w:rPr>
        <w:t xml:space="preserve">vidi </w:t>
      </w:r>
      <w:r w:rsidRPr="004D2D8C">
        <w:rPr>
          <w:rFonts w:ascii="Comic Sans MS" w:hAnsi="Comic Sans MS"/>
          <w:sz w:val="20"/>
          <w:szCs w:val="20"/>
        </w:rPr>
        <w:t>e</w:t>
      </w:r>
      <w:r w:rsidR="00071054" w:rsidRPr="004D2D8C">
        <w:rPr>
          <w:rFonts w:ascii="Comic Sans MS" w:hAnsi="Comic Sans MS"/>
          <w:sz w:val="20"/>
          <w:szCs w:val="20"/>
        </w:rPr>
        <w:t>k</w:t>
      </w:r>
      <w:r w:rsidRPr="004D2D8C">
        <w:rPr>
          <w:rFonts w:ascii="Comic Sans MS" w:hAnsi="Comic Sans MS"/>
          <w:sz w:val="20"/>
          <w:szCs w:val="20"/>
        </w:rPr>
        <w:t>o-</w:t>
      </w:r>
      <w:r w:rsidR="00071054" w:rsidRPr="004D2D8C">
        <w:rPr>
          <w:rFonts w:ascii="Comic Sans MS" w:hAnsi="Comic Sans MS"/>
          <w:sz w:val="20"/>
          <w:szCs w:val="20"/>
        </w:rPr>
        <w:t>učinkovitost u promjeni procesa i/ili proizvoda radi postizanja „čišće“ proizvodnje koja istovremeno ostvaruje i ekonomske pogodnosti za promotora projekta</w:t>
      </w:r>
      <w:r w:rsidRPr="004D2D8C">
        <w:rPr>
          <w:rFonts w:ascii="Comic Sans MS" w:hAnsi="Comic Sans MS"/>
          <w:sz w:val="20"/>
          <w:szCs w:val="20"/>
        </w:rPr>
        <w:t>. E</w:t>
      </w:r>
      <w:r w:rsidR="00071054" w:rsidRPr="004D2D8C">
        <w:rPr>
          <w:rFonts w:ascii="Comic Sans MS" w:hAnsi="Comic Sans MS"/>
          <w:sz w:val="20"/>
          <w:szCs w:val="20"/>
        </w:rPr>
        <w:t>k</w:t>
      </w:r>
      <w:r w:rsidRPr="004D2D8C">
        <w:rPr>
          <w:rFonts w:ascii="Comic Sans MS" w:hAnsi="Comic Sans MS"/>
          <w:sz w:val="20"/>
          <w:szCs w:val="20"/>
        </w:rPr>
        <w:t>o-</w:t>
      </w:r>
      <w:r w:rsidR="00BB58A9" w:rsidRPr="004D2D8C">
        <w:rPr>
          <w:rFonts w:ascii="Comic Sans MS" w:hAnsi="Comic Sans MS"/>
          <w:sz w:val="20"/>
          <w:szCs w:val="20"/>
        </w:rPr>
        <w:t>učinkovitost može biti na izvoru inovacije</w:t>
      </w:r>
      <w:r w:rsidRPr="004D2D8C">
        <w:rPr>
          <w:rFonts w:ascii="Comic Sans MS" w:hAnsi="Comic Sans MS"/>
          <w:sz w:val="20"/>
          <w:szCs w:val="20"/>
        </w:rPr>
        <w:t xml:space="preserve">. </w:t>
      </w:r>
      <w:r w:rsidR="00BB58A9" w:rsidRPr="004D2D8C">
        <w:rPr>
          <w:rFonts w:ascii="Comic Sans MS" w:hAnsi="Comic Sans MS"/>
          <w:sz w:val="20"/>
          <w:szCs w:val="20"/>
        </w:rPr>
        <w:t>Izvor</w:t>
      </w:r>
      <w:r w:rsidRPr="004D2D8C">
        <w:rPr>
          <w:rFonts w:ascii="Comic Sans MS" w:hAnsi="Comic Sans MS"/>
          <w:sz w:val="20"/>
          <w:szCs w:val="20"/>
        </w:rPr>
        <w:t>: EIB</w:t>
      </w:r>
      <w:r w:rsidR="00BB58A9" w:rsidRPr="004D2D8C">
        <w:rPr>
          <w:rFonts w:ascii="Comic Sans MS" w:hAnsi="Comic Sans MS"/>
          <w:sz w:val="20"/>
          <w:szCs w:val="20"/>
        </w:rPr>
        <w:t>-ov Priručnik o ekološkim i socijalnim praksama - 2007</w:t>
      </w:r>
      <w:r w:rsidRPr="004D2D8C">
        <w:rPr>
          <w:rFonts w:ascii="Comic Sans MS" w:hAnsi="Comic Sans MS"/>
          <w:sz w:val="20"/>
          <w:szCs w:val="20"/>
        </w:rPr>
        <w:t>.</w:t>
      </w:r>
    </w:p>
    <w:p w:rsidR="0036373B" w:rsidRPr="004D2D8C" w:rsidRDefault="0036373B" w:rsidP="0036373B">
      <w:pPr>
        <w:jc w:val="both"/>
        <w:rPr>
          <w:rFonts w:ascii="Comic Sans MS" w:hAnsi="Comic Sans MS"/>
          <w:b/>
          <w:sz w:val="20"/>
          <w:szCs w:val="20"/>
        </w:rPr>
      </w:pPr>
      <w:r w:rsidRPr="004D2D8C">
        <w:rPr>
          <w:rFonts w:ascii="Comic Sans MS" w:hAnsi="Comic Sans MS"/>
          <w:b/>
          <w:sz w:val="20"/>
          <w:szCs w:val="20"/>
        </w:rPr>
        <w:t>E</w:t>
      </w:r>
      <w:r w:rsidR="00822185" w:rsidRPr="004D2D8C">
        <w:rPr>
          <w:rFonts w:ascii="Comic Sans MS" w:hAnsi="Comic Sans MS"/>
          <w:b/>
          <w:sz w:val="20"/>
          <w:szCs w:val="20"/>
        </w:rPr>
        <w:t>k</w:t>
      </w:r>
      <w:r w:rsidRPr="004D2D8C">
        <w:rPr>
          <w:rFonts w:ascii="Comic Sans MS" w:hAnsi="Comic Sans MS"/>
          <w:b/>
          <w:sz w:val="20"/>
          <w:szCs w:val="20"/>
        </w:rPr>
        <w:t>os</w:t>
      </w:r>
      <w:r w:rsidR="00822185" w:rsidRPr="004D2D8C">
        <w:rPr>
          <w:rFonts w:ascii="Comic Sans MS" w:hAnsi="Comic Sans MS"/>
          <w:b/>
          <w:sz w:val="20"/>
          <w:szCs w:val="20"/>
        </w:rPr>
        <w:t>u</w:t>
      </w:r>
      <w:r w:rsidRPr="004D2D8C">
        <w:rPr>
          <w:rFonts w:ascii="Comic Sans MS" w:hAnsi="Comic Sans MS"/>
          <w:b/>
          <w:sz w:val="20"/>
          <w:szCs w:val="20"/>
        </w:rPr>
        <w:t>st</w:t>
      </w:r>
      <w:r w:rsidR="00822185" w:rsidRPr="004D2D8C">
        <w:rPr>
          <w:rFonts w:ascii="Comic Sans MS" w:hAnsi="Comic Sans MS"/>
          <w:b/>
          <w:sz w:val="20"/>
          <w:szCs w:val="20"/>
        </w:rPr>
        <w:t>av</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w:t>
      </w:r>
      <w:r w:rsidR="00BB58A9" w:rsidRPr="004D2D8C">
        <w:rPr>
          <w:rFonts w:ascii="Comic Sans MS" w:hAnsi="Comic Sans MS"/>
          <w:sz w:val="20"/>
          <w:szCs w:val="20"/>
        </w:rPr>
        <w:t>Ek</w:t>
      </w:r>
      <w:r w:rsidRPr="004D2D8C">
        <w:rPr>
          <w:rFonts w:ascii="Comic Sans MS" w:hAnsi="Comic Sans MS"/>
          <w:sz w:val="20"/>
          <w:szCs w:val="20"/>
        </w:rPr>
        <w:t>os</w:t>
      </w:r>
      <w:r w:rsidR="00BB58A9" w:rsidRPr="004D2D8C">
        <w:rPr>
          <w:rFonts w:ascii="Comic Sans MS" w:hAnsi="Comic Sans MS"/>
          <w:sz w:val="20"/>
          <w:szCs w:val="20"/>
        </w:rPr>
        <w:t>ustav</w:t>
      </w:r>
      <w:r w:rsidRPr="004D2D8C">
        <w:rPr>
          <w:rFonts w:ascii="Comic Sans MS" w:hAnsi="Comic Sans MS"/>
          <w:sz w:val="20"/>
          <w:szCs w:val="20"/>
        </w:rPr>
        <w:t xml:space="preserve">” </w:t>
      </w:r>
      <w:r w:rsidR="004A592F" w:rsidRPr="004D2D8C">
        <w:rPr>
          <w:rFonts w:ascii="Comic Sans MS" w:hAnsi="Comic Sans MS"/>
          <w:sz w:val="20"/>
          <w:szCs w:val="20"/>
        </w:rPr>
        <w:t>dinamičan je skup koji u interakciji tvore zajednice biljnih, životinjskih i mikro organizama i njihovog neživog okoliša</w:t>
      </w:r>
      <w:r w:rsidRPr="004D2D8C">
        <w:rPr>
          <w:rFonts w:ascii="Comic Sans MS" w:hAnsi="Comic Sans MS"/>
          <w:sz w:val="20"/>
          <w:szCs w:val="20"/>
        </w:rPr>
        <w:t xml:space="preserve">. </w:t>
      </w:r>
      <w:r w:rsidR="004A592F" w:rsidRPr="004D2D8C">
        <w:rPr>
          <w:rFonts w:ascii="Comic Sans MS" w:hAnsi="Comic Sans MS"/>
          <w:sz w:val="20"/>
          <w:szCs w:val="20"/>
        </w:rPr>
        <w:t>Izvor</w:t>
      </w:r>
      <w:r w:rsidRPr="004D2D8C">
        <w:rPr>
          <w:rFonts w:ascii="Comic Sans MS" w:hAnsi="Comic Sans MS"/>
          <w:sz w:val="20"/>
          <w:szCs w:val="20"/>
        </w:rPr>
        <w:t>: CBD Glossary.</w:t>
      </w:r>
    </w:p>
    <w:p w:rsidR="0036373B" w:rsidRPr="004D2D8C" w:rsidRDefault="00822185" w:rsidP="0036373B">
      <w:pPr>
        <w:jc w:val="both"/>
        <w:rPr>
          <w:rFonts w:ascii="Comic Sans MS" w:hAnsi="Comic Sans MS"/>
          <w:sz w:val="20"/>
          <w:szCs w:val="20"/>
        </w:rPr>
      </w:pPr>
      <w:r w:rsidRPr="004D2D8C">
        <w:rPr>
          <w:rFonts w:ascii="Comic Sans MS" w:hAnsi="Comic Sans MS"/>
          <w:b/>
          <w:sz w:val="20"/>
          <w:szCs w:val="20"/>
        </w:rPr>
        <w:t>K</w:t>
      </w:r>
      <w:r w:rsidR="0036373B" w:rsidRPr="004D2D8C">
        <w:rPr>
          <w:rFonts w:ascii="Comic Sans MS" w:hAnsi="Comic Sans MS"/>
          <w:b/>
          <w:sz w:val="20"/>
          <w:szCs w:val="20"/>
        </w:rPr>
        <w:t>orporat</w:t>
      </w:r>
      <w:r w:rsidRPr="004D2D8C">
        <w:rPr>
          <w:rFonts w:ascii="Comic Sans MS" w:hAnsi="Comic Sans MS"/>
          <w:b/>
          <w:sz w:val="20"/>
          <w:szCs w:val="20"/>
        </w:rPr>
        <w:t>ivno upravljanje</w:t>
      </w:r>
      <w:r w:rsidR="0036373B" w:rsidRPr="004D2D8C">
        <w:rPr>
          <w:rFonts w:ascii="Comic Sans MS" w:hAnsi="Comic Sans MS"/>
          <w:b/>
          <w:sz w:val="20"/>
          <w:szCs w:val="20"/>
        </w:rPr>
        <w:t xml:space="preserve"> </w:t>
      </w:r>
      <w:r w:rsidR="0036373B" w:rsidRPr="004D2D8C">
        <w:rPr>
          <w:rFonts w:ascii="Comic Sans MS" w:hAnsi="Comic Sans MS"/>
          <w:sz w:val="20"/>
          <w:szCs w:val="20"/>
        </w:rPr>
        <w:t>(EIB)</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EIB</w:t>
      </w:r>
      <w:r w:rsidR="009D7825" w:rsidRPr="004D2D8C">
        <w:rPr>
          <w:rFonts w:ascii="Comic Sans MS" w:hAnsi="Comic Sans MS"/>
          <w:sz w:val="20"/>
          <w:szCs w:val="20"/>
        </w:rPr>
        <w:t xml:space="preserve"> pod korporativnim upravljanjem podrazumijeva skup odnosa između menadžmenta, uprave, dioničara i ostalih dionika nekog društva</w:t>
      </w:r>
      <w:r w:rsidRPr="004D2D8C">
        <w:rPr>
          <w:rFonts w:ascii="Comic Sans MS" w:hAnsi="Comic Sans MS"/>
          <w:sz w:val="20"/>
          <w:szCs w:val="20"/>
        </w:rPr>
        <w:t>.</w:t>
      </w:r>
      <w:r w:rsidR="009D7825" w:rsidRPr="004D2D8C">
        <w:rPr>
          <w:rFonts w:ascii="Comic Sans MS" w:hAnsi="Comic Sans MS"/>
          <w:sz w:val="20"/>
          <w:szCs w:val="20"/>
        </w:rPr>
        <w:t xml:space="preserve"> Dobro upravljanje ključno je za jačanje ekonomske uspješnosti i povjerenja investitora</w:t>
      </w:r>
      <w:r w:rsidRPr="004D2D8C">
        <w:rPr>
          <w:rFonts w:ascii="Comic Sans MS" w:hAnsi="Comic Sans MS"/>
          <w:sz w:val="20"/>
          <w:szCs w:val="20"/>
        </w:rPr>
        <w:t>.</w:t>
      </w:r>
      <w:r w:rsidR="00A735D3" w:rsidRPr="004D2D8C">
        <w:rPr>
          <w:rFonts w:ascii="Comic Sans MS" w:hAnsi="Comic Sans MS"/>
          <w:sz w:val="20"/>
          <w:szCs w:val="20"/>
        </w:rPr>
        <w:t xml:space="preserve"> Osim toga, korporativn</w:t>
      </w:r>
      <w:r w:rsidR="00684371" w:rsidRPr="004D2D8C">
        <w:rPr>
          <w:rFonts w:ascii="Comic Sans MS" w:hAnsi="Comic Sans MS"/>
          <w:sz w:val="20"/>
          <w:szCs w:val="20"/>
        </w:rPr>
        <w:t>im</w:t>
      </w:r>
      <w:r w:rsidR="00A735D3" w:rsidRPr="004D2D8C">
        <w:rPr>
          <w:rFonts w:ascii="Comic Sans MS" w:hAnsi="Comic Sans MS"/>
          <w:sz w:val="20"/>
          <w:szCs w:val="20"/>
        </w:rPr>
        <w:t xml:space="preserve"> upravljanje</w:t>
      </w:r>
      <w:r w:rsidR="00684371" w:rsidRPr="004D2D8C">
        <w:rPr>
          <w:rFonts w:ascii="Comic Sans MS" w:hAnsi="Comic Sans MS"/>
          <w:sz w:val="20"/>
          <w:szCs w:val="20"/>
        </w:rPr>
        <w:t>m</w:t>
      </w:r>
      <w:r w:rsidR="00A735D3" w:rsidRPr="004D2D8C">
        <w:rPr>
          <w:rFonts w:ascii="Comic Sans MS" w:hAnsi="Comic Sans MS"/>
          <w:sz w:val="20"/>
          <w:szCs w:val="20"/>
        </w:rPr>
        <w:t xml:space="preserve"> </w:t>
      </w:r>
      <w:r w:rsidR="00B05F3D" w:rsidRPr="004D2D8C">
        <w:rPr>
          <w:rFonts w:ascii="Comic Sans MS" w:hAnsi="Comic Sans MS"/>
          <w:sz w:val="20"/>
          <w:szCs w:val="20"/>
        </w:rPr>
        <w:t xml:space="preserve">oblikuje </w:t>
      </w:r>
      <w:r w:rsidR="00684371" w:rsidRPr="004D2D8C">
        <w:rPr>
          <w:rFonts w:ascii="Comic Sans MS" w:hAnsi="Comic Sans MS"/>
          <w:sz w:val="20"/>
          <w:szCs w:val="20"/>
        </w:rPr>
        <w:t xml:space="preserve">se </w:t>
      </w:r>
      <w:r w:rsidR="00B05F3D" w:rsidRPr="004D2D8C">
        <w:rPr>
          <w:rFonts w:ascii="Comic Sans MS" w:hAnsi="Comic Sans MS"/>
          <w:sz w:val="20"/>
          <w:szCs w:val="20"/>
        </w:rPr>
        <w:t>struktur</w:t>
      </w:r>
      <w:r w:rsidR="00684371" w:rsidRPr="004D2D8C">
        <w:rPr>
          <w:rFonts w:ascii="Comic Sans MS" w:hAnsi="Comic Sans MS"/>
          <w:sz w:val="20"/>
          <w:szCs w:val="20"/>
        </w:rPr>
        <w:t>a</w:t>
      </w:r>
      <w:r w:rsidR="00B05F3D" w:rsidRPr="004D2D8C">
        <w:rPr>
          <w:rFonts w:ascii="Comic Sans MS" w:hAnsi="Comic Sans MS"/>
          <w:sz w:val="20"/>
          <w:szCs w:val="20"/>
        </w:rPr>
        <w:t xml:space="preserve"> putem koje se utvrđuju ciljevi društva kao i sredstva za ostvarenje tako utvrđenih ciljeva te praćenje uspješnosti</w:t>
      </w:r>
      <w:r w:rsidRPr="004D2D8C">
        <w:rPr>
          <w:rFonts w:ascii="Comic Sans MS" w:hAnsi="Comic Sans MS"/>
          <w:sz w:val="20"/>
          <w:szCs w:val="20"/>
        </w:rPr>
        <w:t xml:space="preserve">. </w:t>
      </w:r>
      <w:r w:rsidR="00097E35" w:rsidRPr="004D2D8C">
        <w:rPr>
          <w:rFonts w:ascii="Comic Sans MS" w:hAnsi="Comic Sans MS"/>
          <w:sz w:val="20"/>
          <w:szCs w:val="20"/>
        </w:rPr>
        <w:t>Postojanje učinkovitog sustava korporativnog upravljanje unutar jednog poduzeća</w:t>
      </w:r>
      <w:r w:rsidR="00FA32D9" w:rsidRPr="004D2D8C">
        <w:rPr>
          <w:rFonts w:ascii="Comic Sans MS" w:hAnsi="Comic Sans MS"/>
          <w:sz w:val="20"/>
          <w:szCs w:val="20"/>
        </w:rPr>
        <w:t xml:space="preserve"> te</w:t>
      </w:r>
      <w:r w:rsidR="00FD551F" w:rsidRPr="004D2D8C">
        <w:rPr>
          <w:rFonts w:ascii="Comic Sans MS" w:hAnsi="Comic Sans MS"/>
          <w:sz w:val="20"/>
          <w:szCs w:val="20"/>
        </w:rPr>
        <w:t xml:space="preserve"> unutar gospodarstva kao cjeline pomaže</w:t>
      </w:r>
      <w:r w:rsidR="00CD7F24" w:rsidRPr="004D2D8C">
        <w:rPr>
          <w:rFonts w:ascii="Comic Sans MS" w:hAnsi="Comic Sans MS"/>
          <w:sz w:val="20"/>
          <w:szCs w:val="20"/>
        </w:rPr>
        <w:t xml:space="preserve"> ostvarenju povjerenja koje je nužno za nesmetano funkcioniranje tržišne ekonomije</w:t>
      </w:r>
      <w:r w:rsidRPr="004D2D8C">
        <w:rPr>
          <w:rFonts w:ascii="Comic Sans MS" w:hAnsi="Comic Sans MS"/>
          <w:sz w:val="20"/>
          <w:szCs w:val="20"/>
        </w:rPr>
        <w:t xml:space="preserve">. </w:t>
      </w:r>
      <w:r w:rsidR="00CD7F24" w:rsidRPr="004D2D8C">
        <w:rPr>
          <w:rFonts w:ascii="Comic Sans MS" w:hAnsi="Comic Sans MS"/>
          <w:sz w:val="20"/>
          <w:szCs w:val="20"/>
        </w:rPr>
        <w:t xml:space="preserve">Kao rezultat toga </w:t>
      </w:r>
      <w:r w:rsidR="009014BF" w:rsidRPr="004D2D8C">
        <w:rPr>
          <w:rFonts w:ascii="Comic Sans MS" w:hAnsi="Comic Sans MS"/>
          <w:sz w:val="20"/>
          <w:szCs w:val="20"/>
        </w:rPr>
        <w:t xml:space="preserve">smanjuje se </w:t>
      </w:r>
      <w:r w:rsidR="00CD7F24" w:rsidRPr="004D2D8C">
        <w:rPr>
          <w:rFonts w:ascii="Comic Sans MS" w:hAnsi="Comic Sans MS"/>
          <w:sz w:val="20"/>
          <w:szCs w:val="20"/>
        </w:rPr>
        <w:t>trošak kapitala i tvrtke se potiču na učinkovitije korištenje resursa</w:t>
      </w:r>
      <w:r w:rsidR="005C538F" w:rsidRPr="004D2D8C">
        <w:rPr>
          <w:rFonts w:ascii="Comic Sans MS" w:hAnsi="Comic Sans MS"/>
          <w:sz w:val="20"/>
          <w:szCs w:val="20"/>
        </w:rPr>
        <w:t>,</w:t>
      </w:r>
      <w:r w:rsidR="00CD7F24" w:rsidRPr="004D2D8C">
        <w:rPr>
          <w:rFonts w:ascii="Comic Sans MS" w:hAnsi="Comic Sans MS"/>
          <w:sz w:val="20"/>
          <w:szCs w:val="20"/>
        </w:rPr>
        <w:t xml:space="preserve"> čime se potiče rast</w:t>
      </w:r>
      <w:r w:rsidRPr="004D2D8C">
        <w:rPr>
          <w:rFonts w:ascii="Comic Sans MS" w:hAnsi="Comic Sans MS"/>
          <w:sz w:val="20"/>
          <w:szCs w:val="20"/>
        </w:rPr>
        <w:t xml:space="preserve">. </w:t>
      </w:r>
      <w:r w:rsidR="00CD7F24" w:rsidRPr="004D2D8C">
        <w:rPr>
          <w:rFonts w:ascii="Comic Sans MS" w:hAnsi="Comic Sans MS"/>
          <w:sz w:val="20"/>
          <w:szCs w:val="20"/>
        </w:rPr>
        <w:t>Izvor</w:t>
      </w:r>
      <w:r w:rsidRPr="004D2D8C">
        <w:rPr>
          <w:rFonts w:ascii="Comic Sans MS" w:hAnsi="Comic Sans MS"/>
          <w:sz w:val="20"/>
          <w:szCs w:val="20"/>
        </w:rPr>
        <w:t xml:space="preserve">: </w:t>
      </w:r>
      <w:r w:rsidR="00CD7F24" w:rsidRPr="004D2D8C">
        <w:rPr>
          <w:rFonts w:ascii="Comic Sans MS" w:hAnsi="Comic Sans MS"/>
          <w:sz w:val="20"/>
          <w:szCs w:val="20"/>
        </w:rPr>
        <w:t xml:space="preserve">Priopćenje za tisak u vezi s </w:t>
      </w:r>
      <w:r w:rsidRPr="004D2D8C">
        <w:rPr>
          <w:rFonts w:ascii="Comic Sans MS" w:hAnsi="Comic Sans MS"/>
          <w:sz w:val="20"/>
          <w:szCs w:val="20"/>
        </w:rPr>
        <w:t>EIB</w:t>
      </w:r>
      <w:r w:rsidR="00CD7F24" w:rsidRPr="004D2D8C">
        <w:rPr>
          <w:rFonts w:ascii="Comic Sans MS" w:hAnsi="Comic Sans MS"/>
          <w:sz w:val="20"/>
          <w:szCs w:val="20"/>
        </w:rPr>
        <w:t>-ovom Izjavom o pristupu korporativnog upravljanja</w:t>
      </w:r>
      <w:r w:rsidRPr="004D2D8C">
        <w:rPr>
          <w:rFonts w:ascii="Comic Sans MS" w:hAnsi="Comic Sans MS"/>
          <w:sz w:val="20"/>
          <w:szCs w:val="20"/>
        </w:rPr>
        <w:t>,</w:t>
      </w:r>
      <w:r w:rsidR="00CD7F24" w:rsidRPr="004D2D8C">
        <w:rPr>
          <w:rFonts w:ascii="Comic Sans MS" w:hAnsi="Comic Sans MS"/>
          <w:sz w:val="20"/>
          <w:szCs w:val="20"/>
        </w:rPr>
        <w:t xml:space="preserve"> listopad</w:t>
      </w:r>
      <w:r w:rsidRPr="004D2D8C">
        <w:rPr>
          <w:rFonts w:ascii="Comic Sans MS" w:hAnsi="Comic Sans MS"/>
          <w:sz w:val="20"/>
          <w:szCs w:val="20"/>
        </w:rPr>
        <w:t xml:space="preserve"> 2007.</w:t>
      </w:r>
    </w:p>
    <w:p w:rsidR="0036373B" w:rsidRPr="004D2D8C" w:rsidRDefault="00822185" w:rsidP="0036373B">
      <w:pPr>
        <w:jc w:val="both"/>
        <w:rPr>
          <w:rFonts w:ascii="Comic Sans MS" w:hAnsi="Comic Sans MS"/>
          <w:sz w:val="20"/>
          <w:szCs w:val="20"/>
        </w:rPr>
      </w:pPr>
      <w:r w:rsidRPr="004D2D8C">
        <w:rPr>
          <w:rFonts w:ascii="Comic Sans MS" w:hAnsi="Comic Sans MS"/>
          <w:b/>
          <w:sz w:val="20"/>
          <w:szCs w:val="20"/>
        </w:rPr>
        <w:t xml:space="preserve">Prihvatljivost </w:t>
      </w:r>
      <w:r w:rsidR="0036373B" w:rsidRPr="004D2D8C">
        <w:rPr>
          <w:rFonts w:ascii="Comic Sans MS" w:hAnsi="Comic Sans MS"/>
          <w:sz w:val="20"/>
          <w:szCs w:val="20"/>
        </w:rPr>
        <w:t>(EIB)</w:t>
      </w:r>
    </w:p>
    <w:p w:rsidR="0036373B" w:rsidRPr="004D2D8C" w:rsidRDefault="007F6127" w:rsidP="0036373B">
      <w:pPr>
        <w:jc w:val="both"/>
        <w:rPr>
          <w:rFonts w:ascii="Comic Sans MS" w:hAnsi="Comic Sans MS"/>
          <w:sz w:val="20"/>
          <w:szCs w:val="20"/>
        </w:rPr>
      </w:pPr>
      <w:r w:rsidRPr="004D2D8C">
        <w:rPr>
          <w:rFonts w:ascii="Comic Sans MS" w:hAnsi="Comic Sans MS"/>
          <w:sz w:val="20"/>
          <w:szCs w:val="20"/>
        </w:rPr>
        <w:t xml:space="preserve">Dosljednost </w:t>
      </w:r>
      <w:r w:rsidR="0036373B" w:rsidRPr="004D2D8C">
        <w:rPr>
          <w:rFonts w:ascii="Comic Sans MS" w:hAnsi="Comic Sans MS"/>
          <w:sz w:val="20"/>
          <w:szCs w:val="20"/>
        </w:rPr>
        <w:t>EIB</w:t>
      </w:r>
      <w:r w:rsidRPr="004D2D8C">
        <w:rPr>
          <w:rFonts w:ascii="Comic Sans MS" w:hAnsi="Comic Sans MS"/>
          <w:sz w:val="20"/>
          <w:szCs w:val="20"/>
        </w:rPr>
        <w:t>-ov</w:t>
      </w:r>
      <w:r w:rsidR="00C65C28" w:rsidRPr="004D2D8C">
        <w:rPr>
          <w:rFonts w:ascii="Comic Sans MS" w:hAnsi="Comic Sans MS"/>
          <w:sz w:val="20"/>
          <w:szCs w:val="20"/>
        </w:rPr>
        <w:t>og</w:t>
      </w:r>
      <w:r w:rsidRPr="004D2D8C">
        <w:rPr>
          <w:rFonts w:ascii="Comic Sans MS" w:hAnsi="Comic Sans MS"/>
          <w:sz w:val="20"/>
          <w:szCs w:val="20"/>
        </w:rPr>
        <w:t xml:space="preserve"> poslova</w:t>
      </w:r>
      <w:r w:rsidR="00C65C28" w:rsidRPr="004D2D8C">
        <w:rPr>
          <w:rFonts w:ascii="Comic Sans MS" w:hAnsi="Comic Sans MS"/>
          <w:sz w:val="20"/>
          <w:szCs w:val="20"/>
        </w:rPr>
        <w:t>nja</w:t>
      </w:r>
      <w:r w:rsidR="008F242A" w:rsidRPr="004D2D8C">
        <w:rPr>
          <w:rFonts w:ascii="Comic Sans MS" w:hAnsi="Comic Sans MS"/>
          <w:sz w:val="20"/>
          <w:szCs w:val="20"/>
        </w:rPr>
        <w:t xml:space="preserve"> sukladno prioritetnim ciljevima </w:t>
      </w:r>
      <w:r w:rsidR="0036373B" w:rsidRPr="004D2D8C">
        <w:rPr>
          <w:rFonts w:ascii="Comic Sans MS" w:hAnsi="Comic Sans MS"/>
          <w:sz w:val="20"/>
          <w:szCs w:val="20"/>
        </w:rPr>
        <w:t>EU</w:t>
      </w:r>
      <w:r w:rsidR="008F242A" w:rsidRPr="004D2D8C">
        <w:rPr>
          <w:rFonts w:ascii="Comic Sans MS" w:hAnsi="Comic Sans MS"/>
          <w:sz w:val="20"/>
          <w:szCs w:val="20"/>
        </w:rPr>
        <w:t>-a</w:t>
      </w:r>
      <w:r w:rsidR="0036373B" w:rsidRPr="004D2D8C">
        <w:rPr>
          <w:rFonts w:ascii="Comic Sans MS" w:hAnsi="Comic Sans MS"/>
          <w:sz w:val="20"/>
          <w:szCs w:val="20"/>
        </w:rPr>
        <w:t>.</w:t>
      </w:r>
      <w:r w:rsidR="008F242A" w:rsidRPr="004D2D8C">
        <w:rPr>
          <w:rFonts w:ascii="Comic Sans MS" w:hAnsi="Comic Sans MS"/>
          <w:sz w:val="20"/>
          <w:szCs w:val="20"/>
        </w:rPr>
        <w:t xml:space="preserve"> Projekti se tijekom procjene razmatraju u smislu njihovog doprinosa politici </w:t>
      </w:r>
      <w:r w:rsidR="0036373B" w:rsidRPr="004D2D8C">
        <w:rPr>
          <w:rFonts w:ascii="Comic Sans MS" w:hAnsi="Comic Sans MS"/>
          <w:sz w:val="20"/>
          <w:szCs w:val="20"/>
        </w:rPr>
        <w:t>EU</w:t>
      </w:r>
      <w:r w:rsidR="008F242A" w:rsidRPr="004D2D8C">
        <w:rPr>
          <w:rFonts w:ascii="Comic Sans MS" w:hAnsi="Comic Sans MS"/>
          <w:sz w:val="20"/>
          <w:szCs w:val="20"/>
        </w:rPr>
        <w:t>-a, uključujući okolišnu politiku, tj. razmatra se nj</w:t>
      </w:r>
      <w:r w:rsidR="000F14E8" w:rsidRPr="004D2D8C">
        <w:rPr>
          <w:rFonts w:ascii="Comic Sans MS" w:hAnsi="Comic Sans MS"/>
          <w:sz w:val="20"/>
          <w:szCs w:val="20"/>
        </w:rPr>
        <w:t xml:space="preserve">ihova </w:t>
      </w:r>
      <w:r w:rsidR="008F242A" w:rsidRPr="004D2D8C">
        <w:rPr>
          <w:rFonts w:ascii="Comic Sans MS" w:hAnsi="Comic Sans MS"/>
          <w:sz w:val="20"/>
          <w:szCs w:val="20"/>
        </w:rPr>
        <w:t>prihvatljivost</w:t>
      </w:r>
      <w:r w:rsidR="0036373B" w:rsidRPr="004D2D8C">
        <w:rPr>
          <w:rFonts w:ascii="Comic Sans MS" w:hAnsi="Comic Sans MS"/>
          <w:sz w:val="20"/>
          <w:szCs w:val="20"/>
        </w:rPr>
        <w:t>.</w:t>
      </w:r>
      <w:r w:rsidR="008F242A" w:rsidRPr="004D2D8C">
        <w:rPr>
          <w:rFonts w:ascii="Comic Sans MS" w:hAnsi="Comic Sans MS"/>
          <w:sz w:val="20"/>
          <w:szCs w:val="20"/>
        </w:rPr>
        <w:t xml:space="preserve"> Osim toga, za financiranje nekog projekta može postojati i neki određeni okolišni razlog </w:t>
      </w:r>
      <w:r w:rsidR="0036373B" w:rsidRPr="004D2D8C">
        <w:rPr>
          <w:rFonts w:ascii="Comic Sans MS" w:hAnsi="Comic Sans MS"/>
          <w:sz w:val="20"/>
          <w:szCs w:val="20"/>
        </w:rPr>
        <w:t xml:space="preserve">– </w:t>
      </w:r>
      <w:r w:rsidR="008F242A" w:rsidRPr="004D2D8C">
        <w:rPr>
          <w:rFonts w:ascii="Comic Sans MS" w:hAnsi="Comic Sans MS"/>
          <w:sz w:val="20"/>
          <w:szCs w:val="20"/>
        </w:rPr>
        <w:t>što ga čini „okolišno prihvatljivim“</w:t>
      </w:r>
      <w:r w:rsidR="0036373B" w:rsidRPr="004D2D8C">
        <w:rPr>
          <w:rFonts w:ascii="Comic Sans MS" w:hAnsi="Comic Sans MS"/>
          <w:sz w:val="20"/>
          <w:szCs w:val="20"/>
        </w:rPr>
        <w:t>.</w:t>
      </w:r>
    </w:p>
    <w:p w:rsidR="0036373B" w:rsidRPr="004D2D8C" w:rsidRDefault="0036373B" w:rsidP="0036373B">
      <w:pPr>
        <w:jc w:val="both"/>
        <w:rPr>
          <w:rFonts w:ascii="Comic Sans MS" w:hAnsi="Comic Sans MS"/>
          <w:b/>
          <w:sz w:val="20"/>
          <w:szCs w:val="20"/>
        </w:rPr>
      </w:pPr>
      <w:r w:rsidRPr="004D2D8C">
        <w:rPr>
          <w:rFonts w:ascii="Comic Sans MS" w:hAnsi="Comic Sans MS"/>
          <w:b/>
          <w:sz w:val="20"/>
          <w:szCs w:val="20"/>
        </w:rPr>
        <w:t>EMAS</w:t>
      </w:r>
    </w:p>
    <w:p w:rsidR="0036373B" w:rsidRPr="004D2D8C" w:rsidRDefault="007C22AF" w:rsidP="0036373B">
      <w:pPr>
        <w:jc w:val="both"/>
        <w:rPr>
          <w:rFonts w:ascii="Comic Sans MS" w:hAnsi="Comic Sans MS"/>
          <w:sz w:val="20"/>
          <w:szCs w:val="20"/>
        </w:rPr>
      </w:pPr>
      <w:r w:rsidRPr="004D2D8C">
        <w:rPr>
          <w:rFonts w:ascii="Comic Sans MS" w:hAnsi="Comic Sans MS"/>
          <w:sz w:val="20"/>
          <w:szCs w:val="20"/>
        </w:rPr>
        <w:t>Sustav za ekološko upravljanje i neovisno ocjenjivanje</w:t>
      </w:r>
      <w:r w:rsidR="0036373B" w:rsidRPr="004D2D8C">
        <w:rPr>
          <w:rFonts w:ascii="Comic Sans MS" w:hAnsi="Comic Sans MS"/>
          <w:sz w:val="20"/>
          <w:szCs w:val="20"/>
        </w:rPr>
        <w:t xml:space="preserve"> </w:t>
      </w:r>
      <w:r w:rsidR="008F242A" w:rsidRPr="004D2D8C">
        <w:rPr>
          <w:rFonts w:ascii="Comic Sans MS" w:hAnsi="Comic Sans MS"/>
          <w:sz w:val="20"/>
          <w:szCs w:val="20"/>
        </w:rPr>
        <w:t>(</w:t>
      </w:r>
      <w:r w:rsidR="0036373B" w:rsidRPr="004D2D8C">
        <w:rPr>
          <w:rFonts w:ascii="Comic Sans MS" w:hAnsi="Comic Sans MS"/>
          <w:sz w:val="20"/>
          <w:szCs w:val="20"/>
        </w:rPr>
        <w:t xml:space="preserve">Eco-Management and Audit Scheme </w:t>
      </w:r>
      <w:r w:rsidR="008F242A" w:rsidRPr="004D2D8C">
        <w:rPr>
          <w:rFonts w:ascii="Comic Sans MS" w:hAnsi="Comic Sans MS"/>
          <w:sz w:val="20"/>
          <w:szCs w:val="20"/>
        </w:rPr>
        <w:t xml:space="preserve">- </w:t>
      </w:r>
      <w:r w:rsidR="0036373B" w:rsidRPr="004D2D8C">
        <w:rPr>
          <w:rFonts w:ascii="Comic Sans MS" w:hAnsi="Comic Sans MS"/>
          <w:sz w:val="20"/>
          <w:szCs w:val="20"/>
        </w:rPr>
        <w:t xml:space="preserve">EMAS) </w:t>
      </w:r>
      <w:r w:rsidR="008F242A" w:rsidRPr="004D2D8C">
        <w:rPr>
          <w:rFonts w:ascii="Comic Sans MS" w:hAnsi="Comic Sans MS"/>
          <w:sz w:val="20"/>
          <w:szCs w:val="20"/>
        </w:rPr>
        <w:t xml:space="preserve">dobrovoljni je </w:t>
      </w:r>
      <w:r w:rsidR="0036373B" w:rsidRPr="004D2D8C">
        <w:rPr>
          <w:rFonts w:ascii="Comic Sans MS" w:hAnsi="Comic Sans MS"/>
          <w:sz w:val="20"/>
          <w:szCs w:val="20"/>
        </w:rPr>
        <w:t>instrument</w:t>
      </w:r>
      <w:r w:rsidR="008F242A" w:rsidRPr="004D2D8C">
        <w:rPr>
          <w:rFonts w:ascii="Comic Sans MS" w:hAnsi="Comic Sans MS"/>
          <w:sz w:val="20"/>
          <w:szCs w:val="20"/>
        </w:rPr>
        <w:t xml:space="preserve"> EU-a kojim se odaje priznanje organizacijama za kontinuirano unapr</w:t>
      </w:r>
      <w:r w:rsidR="009748E6" w:rsidRPr="004D2D8C">
        <w:rPr>
          <w:rFonts w:ascii="Comic Sans MS" w:hAnsi="Comic Sans MS"/>
          <w:sz w:val="20"/>
          <w:szCs w:val="20"/>
        </w:rPr>
        <w:t xml:space="preserve">eđivanje </w:t>
      </w:r>
      <w:r w:rsidR="008F242A" w:rsidRPr="004D2D8C">
        <w:rPr>
          <w:rFonts w:ascii="Comic Sans MS" w:hAnsi="Comic Sans MS"/>
          <w:sz w:val="20"/>
          <w:szCs w:val="20"/>
        </w:rPr>
        <w:t>okolišn</w:t>
      </w:r>
      <w:r w:rsidR="009748E6" w:rsidRPr="004D2D8C">
        <w:rPr>
          <w:rFonts w:ascii="Comic Sans MS" w:hAnsi="Comic Sans MS"/>
          <w:sz w:val="20"/>
          <w:szCs w:val="20"/>
        </w:rPr>
        <w:t>e</w:t>
      </w:r>
      <w:r w:rsidR="008F242A" w:rsidRPr="004D2D8C">
        <w:rPr>
          <w:rFonts w:ascii="Comic Sans MS" w:hAnsi="Comic Sans MS"/>
          <w:sz w:val="20"/>
          <w:szCs w:val="20"/>
        </w:rPr>
        <w:t xml:space="preserve"> uspješnost</w:t>
      </w:r>
      <w:r w:rsidR="009748E6" w:rsidRPr="004D2D8C">
        <w:rPr>
          <w:rFonts w:ascii="Comic Sans MS" w:hAnsi="Comic Sans MS"/>
          <w:sz w:val="20"/>
          <w:szCs w:val="20"/>
        </w:rPr>
        <w:t>i</w:t>
      </w:r>
      <w:r w:rsidR="0036373B" w:rsidRPr="004D2D8C">
        <w:rPr>
          <w:rFonts w:ascii="Comic Sans MS" w:hAnsi="Comic Sans MS"/>
          <w:sz w:val="20"/>
          <w:szCs w:val="20"/>
        </w:rPr>
        <w:t xml:space="preserve">. </w:t>
      </w:r>
      <w:r w:rsidR="009748E6" w:rsidRPr="004D2D8C">
        <w:rPr>
          <w:rFonts w:ascii="Comic Sans MS" w:hAnsi="Comic Sans MS"/>
          <w:sz w:val="20"/>
          <w:szCs w:val="20"/>
        </w:rPr>
        <w:t xml:space="preserve">Organizacije koje su registrirane u </w:t>
      </w:r>
      <w:r w:rsidR="0036373B" w:rsidRPr="004D2D8C">
        <w:rPr>
          <w:rFonts w:ascii="Comic Sans MS" w:hAnsi="Comic Sans MS"/>
          <w:sz w:val="20"/>
          <w:szCs w:val="20"/>
        </w:rPr>
        <w:t>EMAS</w:t>
      </w:r>
      <w:r w:rsidR="009748E6" w:rsidRPr="004D2D8C">
        <w:rPr>
          <w:rFonts w:ascii="Comic Sans MS" w:hAnsi="Comic Sans MS"/>
          <w:sz w:val="20"/>
          <w:szCs w:val="20"/>
        </w:rPr>
        <w:t>-u pravno su usklađene, imaju sustav okolišnog upravljanja i podnose izvještaje o svojoj okolišnoj uspješnosti kroz objavu okolišnih izjava ovjerenih od strane nezavisnim stručnjaka</w:t>
      </w:r>
      <w:r w:rsidR="0036373B" w:rsidRPr="004D2D8C">
        <w:rPr>
          <w:rFonts w:ascii="Comic Sans MS" w:hAnsi="Comic Sans MS"/>
          <w:sz w:val="20"/>
          <w:szCs w:val="20"/>
        </w:rPr>
        <w:t xml:space="preserve">. </w:t>
      </w:r>
      <w:r w:rsidR="009748E6" w:rsidRPr="004D2D8C">
        <w:rPr>
          <w:rFonts w:ascii="Comic Sans MS" w:hAnsi="Comic Sans MS"/>
          <w:sz w:val="20"/>
          <w:szCs w:val="20"/>
        </w:rPr>
        <w:t>Izvor</w:t>
      </w:r>
      <w:r w:rsidR="0036373B" w:rsidRPr="004D2D8C">
        <w:rPr>
          <w:rFonts w:ascii="Comic Sans MS" w:hAnsi="Comic Sans MS"/>
          <w:sz w:val="20"/>
          <w:szCs w:val="20"/>
        </w:rPr>
        <w:t>: EMAS</w:t>
      </w:r>
      <w:r w:rsidR="009748E6" w:rsidRPr="004D2D8C">
        <w:rPr>
          <w:rFonts w:ascii="Comic Sans MS" w:hAnsi="Comic Sans MS"/>
          <w:sz w:val="20"/>
          <w:szCs w:val="20"/>
        </w:rPr>
        <w:t xml:space="preserve">-ove </w:t>
      </w:r>
      <w:r w:rsidR="0036373B" w:rsidRPr="004D2D8C">
        <w:rPr>
          <w:rFonts w:ascii="Comic Sans MS" w:hAnsi="Comic Sans MS"/>
          <w:sz w:val="20"/>
          <w:szCs w:val="20"/>
        </w:rPr>
        <w:t>web</w:t>
      </w:r>
      <w:r w:rsidR="009748E6" w:rsidRPr="004D2D8C">
        <w:rPr>
          <w:rFonts w:ascii="Comic Sans MS" w:hAnsi="Comic Sans MS"/>
          <w:sz w:val="20"/>
          <w:szCs w:val="20"/>
        </w:rPr>
        <w:t xml:space="preserve"> </w:t>
      </w:r>
      <w:r w:rsidR="0036373B" w:rsidRPr="004D2D8C">
        <w:rPr>
          <w:rFonts w:ascii="Comic Sans MS" w:hAnsi="Comic Sans MS"/>
          <w:sz w:val="20"/>
          <w:szCs w:val="20"/>
        </w:rPr>
        <w:t>st</w:t>
      </w:r>
      <w:r w:rsidR="009748E6" w:rsidRPr="004D2D8C">
        <w:rPr>
          <w:rFonts w:ascii="Comic Sans MS" w:hAnsi="Comic Sans MS"/>
          <w:sz w:val="20"/>
          <w:szCs w:val="20"/>
        </w:rPr>
        <w:t>ranic</w:t>
      </w:r>
      <w:r w:rsidR="0036373B" w:rsidRPr="004D2D8C">
        <w:rPr>
          <w:rFonts w:ascii="Comic Sans MS" w:hAnsi="Comic Sans MS"/>
          <w:sz w:val="20"/>
          <w:szCs w:val="20"/>
        </w:rPr>
        <w:t>e.</w:t>
      </w:r>
    </w:p>
    <w:p w:rsidR="0036373B" w:rsidRPr="004D2D8C" w:rsidRDefault="000C2771" w:rsidP="0036373B">
      <w:pPr>
        <w:jc w:val="both"/>
        <w:rPr>
          <w:rFonts w:ascii="Comic Sans MS" w:hAnsi="Comic Sans MS"/>
          <w:b/>
          <w:sz w:val="20"/>
          <w:szCs w:val="20"/>
        </w:rPr>
      </w:pPr>
      <w:r w:rsidRPr="004D2D8C">
        <w:rPr>
          <w:rFonts w:ascii="Comic Sans MS" w:hAnsi="Comic Sans MS"/>
          <w:b/>
          <w:sz w:val="20"/>
          <w:szCs w:val="20"/>
        </w:rPr>
        <w:t>Okoliš</w:t>
      </w:r>
    </w:p>
    <w:p w:rsidR="0036373B" w:rsidRPr="004D2D8C" w:rsidRDefault="00C17E71" w:rsidP="0036373B">
      <w:pPr>
        <w:jc w:val="both"/>
        <w:rPr>
          <w:rFonts w:ascii="Comic Sans MS" w:hAnsi="Comic Sans MS"/>
          <w:sz w:val="20"/>
          <w:szCs w:val="20"/>
        </w:rPr>
      </w:pPr>
      <w:r w:rsidRPr="004D2D8C">
        <w:rPr>
          <w:rFonts w:ascii="Comic Sans MS" w:hAnsi="Comic Sans MS"/>
          <w:sz w:val="20"/>
          <w:szCs w:val="20"/>
        </w:rPr>
        <w:t xml:space="preserve">Za </w:t>
      </w:r>
      <w:r w:rsidR="0036373B" w:rsidRPr="004D2D8C">
        <w:rPr>
          <w:rFonts w:ascii="Comic Sans MS" w:hAnsi="Comic Sans MS"/>
          <w:sz w:val="20"/>
          <w:szCs w:val="20"/>
        </w:rPr>
        <w:t xml:space="preserve">EIB </w:t>
      </w:r>
      <w:r w:rsidRPr="004D2D8C">
        <w:rPr>
          <w:rFonts w:ascii="Comic Sans MS" w:hAnsi="Comic Sans MS"/>
          <w:sz w:val="20"/>
          <w:szCs w:val="20"/>
        </w:rPr>
        <w:t xml:space="preserve">te u onolikoj mjeri u kojoj projekti koje </w:t>
      </w:r>
      <w:r w:rsidR="0036373B" w:rsidRPr="004D2D8C">
        <w:rPr>
          <w:rFonts w:ascii="Comic Sans MS" w:hAnsi="Comic Sans MS"/>
          <w:sz w:val="20"/>
          <w:szCs w:val="20"/>
        </w:rPr>
        <w:t>EIB financ</w:t>
      </w:r>
      <w:r w:rsidRPr="004D2D8C">
        <w:rPr>
          <w:rFonts w:ascii="Comic Sans MS" w:hAnsi="Comic Sans MS"/>
          <w:sz w:val="20"/>
          <w:szCs w:val="20"/>
        </w:rPr>
        <w:t xml:space="preserve">ira utječu na dobrobit ljudi, „okoliš“ znači </w:t>
      </w:r>
      <w:r w:rsidR="0036373B" w:rsidRPr="004D2D8C">
        <w:rPr>
          <w:rFonts w:ascii="Comic Sans MS" w:hAnsi="Comic Sans MS"/>
          <w:sz w:val="20"/>
          <w:szCs w:val="20"/>
        </w:rPr>
        <w:t xml:space="preserve">(a) fauna </w:t>
      </w:r>
      <w:r w:rsidRPr="004D2D8C">
        <w:rPr>
          <w:rFonts w:ascii="Comic Sans MS" w:hAnsi="Comic Sans MS"/>
          <w:sz w:val="20"/>
          <w:szCs w:val="20"/>
        </w:rPr>
        <w:t>i</w:t>
      </w:r>
      <w:r w:rsidR="0036373B" w:rsidRPr="004D2D8C">
        <w:rPr>
          <w:rFonts w:ascii="Comic Sans MS" w:hAnsi="Comic Sans MS"/>
          <w:sz w:val="20"/>
          <w:szCs w:val="20"/>
        </w:rPr>
        <w:t xml:space="preserve"> flora; (b) </w:t>
      </w:r>
      <w:r w:rsidRPr="004D2D8C">
        <w:rPr>
          <w:rFonts w:ascii="Comic Sans MS" w:hAnsi="Comic Sans MS"/>
          <w:sz w:val="20"/>
          <w:szCs w:val="20"/>
        </w:rPr>
        <w:t>tlo</w:t>
      </w:r>
      <w:r w:rsidR="0036373B" w:rsidRPr="004D2D8C">
        <w:rPr>
          <w:rFonts w:ascii="Comic Sans MS" w:hAnsi="Comic Sans MS"/>
          <w:sz w:val="20"/>
          <w:szCs w:val="20"/>
        </w:rPr>
        <w:t xml:space="preserve">, </w:t>
      </w:r>
      <w:r w:rsidRPr="004D2D8C">
        <w:rPr>
          <w:rFonts w:ascii="Comic Sans MS" w:hAnsi="Comic Sans MS"/>
          <w:sz w:val="20"/>
          <w:szCs w:val="20"/>
        </w:rPr>
        <w:t>voda</w:t>
      </w:r>
      <w:r w:rsidR="0036373B" w:rsidRPr="004D2D8C">
        <w:rPr>
          <w:rFonts w:ascii="Comic Sans MS" w:hAnsi="Comic Sans MS"/>
          <w:sz w:val="20"/>
          <w:szCs w:val="20"/>
        </w:rPr>
        <w:t xml:space="preserve">, </w:t>
      </w:r>
      <w:r w:rsidRPr="004D2D8C">
        <w:rPr>
          <w:rFonts w:ascii="Comic Sans MS" w:hAnsi="Comic Sans MS"/>
          <w:sz w:val="20"/>
          <w:szCs w:val="20"/>
        </w:rPr>
        <w:t>zrak</w:t>
      </w:r>
      <w:r w:rsidR="0036373B" w:rsidRPr="004D2D8C">
        <w:rPr>
          <w:rFonts w:ascii="Comic Sans MS" w:hAnsi="Comic Sans MS"/>
          <w:sz w:val="20"/>
          <w:szCs w:val="20"/>
        </w:rPr>
        <w:t xml:space="preserve">, </w:t>
      </w:r>
      <w:r w:rsidRPr="004D2D8C">
        <w:rPr>
          <w:rFonts w:ascii="Comic Sans MS" w:hAnsi="Comic Sans MS"/>
          <w:sz w:val="20"/>
          <w:szCs w:val="20"/>
        </w:rPr>
        <w:t>klima i krajobraz</w:t>
      </w:r>
      <w:r w:rsidR="0036373B" w:rsidRPr="004D2D8C">
        <w:rPr>
          <w:rFonts w:ascii="Comic Sans MS" w:hAnsi="Comic Sans MS"/>
          <w:sz w:val="20"/>
          <w:szCs w:val="20"/>
        </w:rPr>
        <w:t xml:space="preserve">; </w:t>
      </w:r>
      <w:r w:rsidRPr="004D2D8C">
        <w:rPr>
          <w:rFonts w:ascii="Comic Sans MS" w:hAnsi="Comic Sans MS"/>
          <w:sz w:val="20"/>
          <w:szCs w:val="20"/>
        </w:rPr>
        <w:t>te</w:t>
      </w:r>
      <w:r w:rsidR="0036373B" w:rsidRPr="004D2D8C">
        <w:rPr>
          <w:rFonts w:ascii="Comic Sans MS" w:hAnsi="Comic Sans MS"/>
          <w:sz w:val="20"/>
          <w:szCs w:val="20"/>
        </w:rPr>
        <w:t xml:space="preserve"> (c) </w:t>
      </w:r>
      <w:r w:rsidRPr="004D2D8C">
        <w:rPr>
          <w:rFonts w:ascii="Comic Sans MS" w:hAnsi="Comic Sans MS"/>
          <w:sz w:val="20"/>
          <w:szCs w:val="20"/>
        </w:rPr>
        <w:t>kulturna baština i izgrađeni okoliš</w:t>
      </w:r>
      <w:r w:rsidR="0036373B" w:rsidRPr="004D2D8C">
        <w:rPr>
          <w:rFonts w:ascii="Comic Sans MS" w:hAnsi="Comic Sans MS"/>
          <w:sz w:val="20"/>
          <w:szCs w:val="20"/>
        </w:rPr>
        <w:t>; (</w:t>
      </w:r>
      <w:r w:rsidRPr="004D2D8C">
        <w:rPr>
          <w:rFonts w:ascii="Comic Sans MS" w:hAnsi="Comic Sans MS"/>
          <w:sz w:val="20"/>
          <w:szCs w:val="20"/>
        </w:rPr>
        <w:t>i obuhvaća sigurnost i zaštitu na radu kao i socijalne učinke projek</w:t>
      </w:r>
      <w:r w:rsidR="00CE2F18" w:rsidRPr="004D2D8C">
        <w:rPr>
          <w:rFonts w:ascii="Comic Sans MS" w:hAnsi="Comic Sans MS"/>
          <w:sz w:val="20"/>
          <w:szCs w:val="20"/>
        </w:rPr>
        <w:t>a</w:t>
      </w:r>
      <w:r w:rsidRPr="004D2D8C">
        <w:rPr>
          <w:rFonts w:ascii="Comic Sans MS" w:hAnsi="Comic Sans MS"/>
          <w:sz w:val="20"/>
          <w:szCs w:val="20"/>
        </w:rPr>
        <w:t>ta u zemljama koje nisu zemlje Europske unije</w:t>
      </w:r>
      <w:r w:rsidR="0036373B" w:rsidRPr="004D2D8C">
        <w:rPr>
          <w:rFonts w:ascii="Comic Sans MS" w:hAnsi="Comic Sans MS"/>
          <w:sz w:val="20"/>
          <w:szCs w:val="20"/>
        </w:rPr>
        <w:t xml:space="preserve">). </w:t>
      </w:r>
      <w:r w:rsidRPr="004D2D8C">
        <w:rPr>
          <w:rFonts w:ascii="Comic Sans MS" w:hAnsi="Comic Sans MS"/>
          <w:sz w:val="20"/>
          <w:szCs w:val="20"/>
        </w:rPr>
        <w:t>Izvor</w:t>
      </w:r>
      <w:r w:rsidR="0036373B" w:rsidRPr="004D2D8C">
        <w:rPr>
          <w:rFonts w:ascii="Comic Sans MS" w:hAnsi="Comic Sans MS"/>
          <w:sz w:val="20"/>
          <w:szCs w:val="20"/>
        </w:rPr>
        <w:t xml:space="preserve">: </w:t>
      </w:r>
      <w:r w:rsidRPr="004D2D8C">
        <w:rPr>
          <w:rFonts w:ascii="Comic Sans MS" w:hAnsi="Comic Sans MS"/>
          <w:sz w:val="20"/>
          <w:szCs w:val="20"/>
        </w:rPr>
        <w:t>EIB-ov Priručnik o ekološkim i socijalnim praksama</w:t>
      </w:r>
      <w:r w:rsidR="0036373B" w:rsidRPr="004D2D8C">
        <w:rPr>
          <w:rFonts w:ascii="Comic Sans MS" w:hAnsi="Comic Sans MS"/>
          <w:sz w:val="20"/>
          <w:szCs w:val="20"/>
        </w:rPr>
        <w:t>-2007, §201.</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 xml:space="preserve">* </w:t>
      </w:r>
      <w:r w:rsidR="000C2771" w:rsidRPr="004D2D8C">
        <w:rPr>
          <w:rFonts w:ascii="Comic Sans MS" w:hAnsi="Comic Sans MS"/>
          <w:b/>
          <w:sz w:val="20"/>
          <w:szCs w:val="20"/>
        </w:rPr>
        <w:t>Prirod</w:t>
      </w:r>
      <w:r w:rsidR="00C17E71" w:rsidRPr="004D2D8C">
        <w:rPr>
          <w:rFonts w:ascii="Comic Sans MS" w:hAnsi="Comic Sans MS"/>
          <w:b/>
          <w:sz w:val="20"/>
          <w:szCs w:val="20"/>
        </w:rPr>
        <w:t>ni</w:t>
      </w:r>
      <w:r w:rsidR="000C2771" w:rsidRPr="004D2D8C">
        <w:rPr>
          <w:rFonts w:ascii="Comic Sans MS" w:hAnsi="Comic Sans MS"/>
          <w:sz w:val="20"/>
          <w:szCs w:val="20"/>
        </w:rPr>
        <w:t xml:space="preserve"> okoliš</w:t>
      </w:r>
    </w:p>
    <w:p w:rsidR="0036373B" w:rsidRPr="004D2D8C" w:rsidRDefault="00C17E71" w:rsidP="0036373B">
      <w:pPr>
        <w:jc w:val="both"/>
        <w:rPr>
          <w:rFonts w:ascii="Comic Sans MS" w:hAnsi="Comic Sans MS"/>
          <w:sz w:val="20"/>
          <w:szCs w:val="20"/>
        </w:rPr>
      </w:pPr>
      <w:r w:rsidRPr="004D2D8C">
        <w:rPr>
          <w:rFonts w:ascii="Comic Sans MS" w:hAnsi="Comic Sans MS"/>
          <w:sz w:val="20"/>
          <w:szCs w:val="20"/>
        </w:rPr>
        <w:t xml:space="preserve">Kada </w:t>
      </w:r>
      <w:r w:rsidR="0036373B" w:rsidRPr="004D2D8C">
        <w:rPr>
          <w:rFonts w:ascii="Comic Sans MS" w:hAnsi="Comic Sans MS"/>
          <w:sz w:val="20"/>
          <w:szCs w:val="20"/>
        </w:rPr>
        <w:t>EIB</w:t>
      </w:r>
      <w:r w:rsidRPr="004D2D8C">
        <w:rPr>
          <w:rFonts w:ascii="Comic Sans MS" w:hAnsi="Comic Sans MS"/>
          <w:sz w:val="20"/>
          <w:szCs w:val="20"/>
        </w:rPr>
        <w:t xml:space="preserve"> koristi pojam „prirodni“ on se odnosi na sve procese i komponente u okolišu koje su spontano nastale i na koje čovjek nema utjecaja ili je njegov utjecaj minimalan</w:t>
      </w:r>
      <w:r w:rsidR="0036373B" w:rsidRPr="004D2D8C">
        <w:rPr>
          <w:rFonts w:ascii="Comic Sans MS" w:hAnsi="Comic Sans MS"/>
          <w:sz w:val="20"/>
          <w:szCs w:val="20"/>
        </w:rPr>
        <w:t>.</w:t>
      </w:r>
    </w:p>
    <w:p w:rsidR="0036373B" w:rsidRPr="004D2D8C" w:rsidRDefault="0036373B" w:rsidP="0036373B">
      <w:pPr>
        <w:jc w:val="both"/>
        <w:rPr>
          <w:rFonts w:ascii="Comic Sans MS" w:hAnsi="Comic Sans MS"/>
          <w:sz w:val="20"/>
          <w:szCs w:val="20"/>
        </w:rPr>
      </w:pPr>
      <w:r w:rsidRPr="004D2D8C">
        <w:rPr>
          <w:rFonts w:ascii="Comic Sans MS" w:hAnsi="Comic Sans MS"/>
          <w:sz w:val="20"/>
          <w:szCs w:val="20"/>
        </w:rPr>
        <w:t xml:space="preserve">* </w:t>
      </w:r>
      <w:r w:rsidR="000C2771" w:rsidRPr="004D2D8C">
        <w:rPr>
          <w:rFonts w:ascii="Comic Sans MS" w:hAnsi="Comic Sans MS"/>
          <w:b/>
          <w:sz w:val="20"/>
          <w:szCs w:val="20"/>
        </w:rPr>
        <w:t>Izgrađeni</w:t>
      </w:r>
      <w:r w:rsidR="000C2771" w:rsidRPr="004D2D8C">
        <w:rPr>
          <w:rFonts w:ascii="Comic Sans MS" w:hAnsi="Comic Sans MS"/>
          <w:sz w:val="20"/>
          <w:szCs w:val="20"/>
        </w:rPr>
        <w:t xml:space="preserve"> okoliš</w:t>
      </w:r>
    </w:p>
    <w:p w:rsidR="0036373B" w:rsidRPr="004D2D8C" w:rsidRDefault="00FE5068" w:rsidP="0036373B">
      <w:pPr>
        <w:jc w:val="both"/>
        <w:rPr>
          <w:rFonts w:ascii="Comic Sans MS" w:hAnsi="Comic Sans MS"/>
          <w:sz w:val="20"/>
          <w:szCs w:val="20"/>
        </w:rPr>
      </w:pPr>
      <w:r w:rsidRPr="004D2D8C">
        <w:rPr>
          <w:rFonts w:ascii="Comic Sans MS" w:hAnsi="Comic Sans MS"/>
          <w:sz w:val="20"/>
          <w:szCs w:val="20"/>
        </w:rPr>
        <w:t>Nasuprot tome</w:t>
      </w:r>
      <w:r w:rsidR="00C17E71" w:rsidRPr="004D2D8C">
        <w:rPr>
          <w:rFonts w:ascii="Comic Sans MS" w:hAnsi="Comic Sans MS"/>
          <w:sz w:val="20"/>
          <w:szCs w:val="20"/>
        </w:rPr>
        <w:t xml:space="preserve">, izgrađeni okoliš obuhvaća sva područja na kojima je bilo razvojnih ili građevinskih aktivnosti </w:t>
      </w:r>
      <w:r w:rsidR="0036373B" w:rsidRPr="004D2D8C">
        <w:rPr>
          <w:rFonts w:ascii="Comic Sans MS" w:hAnsi="Comic Sans MS"/>
          <w:sz w:val="20"/>
          <w:szCs w:val="20"/>
        </w:rPr>
        <w:t>(</w:t>
      </w:r>
      <w:r w:rsidR="00C17E71" w:rsidRPr="004D2D8C">
        <w:rPr>
          <w:rFonts w:ascii="Comic Sans MS" w:hAnsi="Comic Sans MS"/>
          <w:sz w:val="20"/>
          <w:szCs w:val="20"/>
        </w:rPr>
        <w:t xml:space="preserve">ili su takve aktivnosti </w:t>
      </w:r>
      <w:r w:rsidR="0036373B" w:rsidRPr="004D2D8C">
        <w:rPr>
          <w:rFonts w:ascii="Comic Sans MS" w:hAnsi="Comic Sans MS"/>
          <w:sz w:val="20"/>
          <w:szCs w:val="20"/>
        </w:rPr>
        <w:t>plan</w:t>
      </w:r>
      <w:r w:rsidR="00C17E71" w:rsidRPr="004D2D8C">
        <w:rPr>
          <w:rFonts w:ascii="Comic Sans MS" w:hAnsi="Comic Sans MS"/>
          <w:sz w:val="20"/>
          <w:szCs w:val="20"/>
        </w:rPr>
        <w:t>irane</w:t>
      </w:r>
      <w:r w:rsidR="0036373B" w:rsidRPr="004D2D8C">
        <w:rPr>
          <w:rFonts w:ascii="Comic Sans MS" w:hAnsi="Comic Sans MS"/>
          <w:sz w:val="20"/>
          <w:szCs w:val="20"/>
        </w:rPr>
        <w:t xml:space="preserve">) </w:t>
      </w:r>
      <w:r w:rsidR="00C17E71" w:rsidRPr="004D2D8C">
        <w:rPr>
          <w:rFonts w:ascii="Comic Sans MS" w:hAnsi="Comic Sans MS"/>
          <w:sz w:val="20"/>
          <w:szCs w:val="20"/>
        </w:rPr>
        <w:t>i odnosi se kako na urbana tako i na ruralna područja</w:t>
      </w:r>
      <w:r w:rsidR="0036373B" w:rsidRPr="004D2D8C">
        <w:rPr>
          <w:rFonts w:ascii="Comic Sans MS" w:hAnsi="Comic Sans MS"/>
          <w:sz w:val="20"/>
          <w:szCs w:val="20"/>
        </w:rPr>
        <w:t>.</w:t>
      </w:r>
    </w:p>
    <w:p w:rsidR="0036373B" w:rsidRPr="004D2D8C" w:rsidRDefault="00C17E71" w:rsidP="0036373B">
      <w:pPr>
        <w:jc w:val="both"/>
        <w:rPr>
          <w:rFonts w:ascii="Comic Sans MS" w:hAnsi="Comic Sans MS"/>
          <w:sz w:val="20"/>
          <w:szCs w:val="20"/>
        </w:rPr>
      </w:pPr>
      <w:r w:rsidRPr="004D2D8C">
        <w:rPr>
          <w:rFonts w:ascii="Comic Sans MS" w:hAnsi="Comic Sans MS"/>
          <w:sz w:val="20"/>
          <w:szCs w:val="20"/>
        </w:rPr>
        <w:t>Izvor</w:t>
      </w:r>
      <w:r w:rsidR="0036373B" w:rsidRPr="004D2D8C">
        <w:rPr>
          <w:rFonts w:ascii="Comic Sans MS" w:hAnsi="Comic Sans MS"/>
          <w:sz w:val="20"/>
          <w:szCs w:val="20"/>
        </w:rPr>
        <w:t xml:space="preserve">: </w:t>
      </w:r>
      <w:r w:rsidRPr="004D2D8C">
        <w:rPr>
          <w:rFonts w:ascii="Comic Sans MS" w:hAnsi="Comic Sans MS"/>
          <w:sz w:val="20"/>
          <w:szCs w:val="20"/>
        </w:rPr>
        <w:t>web stranice Ministarstva okoliša, hrane i ruralnih pitanja Ujedinjenog Kraljevstva</w:t>
      </w:r>
      <w:r w:rsidR="0036373B" w:rsidRPr="004D2D8C">
        <w:rPr>
          <w:rFonts w:ascii="Comic Sans MS" w:hAnsi="Comic Sans MS"/>
          <w:sz w:val="20"/>
          <w:szCs w:val="20"/>
        </w:rPr>
        <w:t>–DEFRA.</w:t>
      </w:r>
    </w:p>
    <w:p w:rsidR="007A0368" w:rsidRPr="004D2D8C" w:rsidRDefault="007A0368" w:rsidP="0036373B">
      <w:pPr>
        <w:jc w:val="both"/>
        <w:rPr>
          <w:rFonts w:ascii="Comic Sans MS" w:hAnsi="Comic Sans MS"/>
          <w:b/>
          <w:sz w:val="20"/>
          <w:szCs w:val="20"/>
        </w:rPr>
      </w:pPr>
    </w:p>
    <w:p w:rsidR="0036373B" w:rsidRPr="004D2D8C" w:rsidRDefault="00097E35" w:rsidP="0036373B">
      <w:pPr>
        <w:jc w:val="both"/>
        <w:rPr>
          <w:rFonts w:ascii="Comic Sans MS" w:hAnsi="Comic Sans MS"/>
          <w:b/>
          <w:sz w:val="20"/>
          <w:szCs w:val="20"/>
        </w:rPr>
      </w:pPr>
      <w:r w:rsidRPr="004D2D8C">
        <w:rPr>
          <w:rFonts w:ascii="Comic Sans MS" w:hAnsi="Comic Sans MS"/>
          <w:b/>
          <w:sz w:val="20"/>
          <w:szCs w:val="20"/>
        </w:rPr>
        <w:t xml:space="preserve">Okolišna procjena </w:t>
      </w:r>
    </w:p>
    <w:p w:rsidR="0036373B" w:rsidRPr="004D2D8C" w:rsidRDefault="006B5492" w:rsidP="0036373B">
      <w:pPr>
        <w:jc w:val="both"/>
        <w:rPr>
          <w:rFonts w:ascii="Comic Sans MS" w:hAnsi="Comic Sans MS"/>
          <w:sz w:val="20"/>
          <w:szCs w:val="20"/>
        </w:rPr>
      </w:pPr>
      <w:r w:rsidRPr="004D2D8C">
        <w:rPr>
          <w:rFonts w:ascii="Comic Sans MS" w:hAnsi="Comic Sans MS"/>
          <w:sz w:val="20"/>
          <w:szCs w:val="20"/>
        </w:rPr>
        <w:t xml:space="preserve">Pojam koji </w:t>
      </w:r>
      <w:r w:rsidR="0036373B" w:rsidRPr="004D2D8C">
        <w:rPr>
          <w:rFonts w:ascii="Comic Sans MS" w:hAnsi="Comic Sans MS"/>
          <w:sz w:val="20"/>
          <w:szCs w:val="20"/>
        </w:rPr>
        <w:t>EIB</w:t>
      </w:r>
      <w:r w:rsidRPr="004D2D8C">
        <w:rPr>
          <w:rFonts w:ascii="Comic Sans MS" w:hAnsi="Comic Sans MS"/>
          <w:sz w:val="20"/>
          <w:szCs w:val="20"/>
        </w:rPr>
        <w:t xml:space="preserve"> koristi za EIB-ovu vlastitu procjenu okolišnih i socijalnih utjecaja nekog projekta</w:t>
      </w:r>
      <w:r w:rsidR="0036373B" w:rsidRPr="004D2D8C">
        <w:rPr>
          <w:rFonts w:ascii="Comic Sans MS" w:hAnsi="Comic Sans MS"/>
          <w:sz w:val="20"/>
          <w:szCs w:val="20"/>
        </w:rPr>
        <w:t>.</w:t>
      </w:r>
      <w:r w:rsidRPr="004D2D8C">
        <w:rPr>
          <w:rFonts w:ascii="Comic Sans MS" w:hAnsi="Comic Sans MS"/>
          <w:sz w:val="20"/>
          <w:szCs w:val="20"/>
        </w:rPr>
        <w:t xml:space="preserve"> Postupak obuhvaća inicijalni pregled promotorovih vlastitih studija provedivosti i preliminarnu procjenu okolišnih i socijalnih utjecaja projekta nakon čega slijedi detaljna procjena koju provodi </w:t>
      </w:r>
      <w:r w:rsidR="0036373B" w:rsidRPr="004D2D8C">
        <w:rPr>
          <w:rFonts w:ascii="Comic Sans MS" w:hAnsi="Comic Sans MS"/>
          <w:sz w:val="20"/>
          <w:szCs w:val="20"/>
        </w:rPr>
        <w:t>EIB</w:t>
      </w:r>
      <w:r w:rsidRPr="004D2D8C">
        <w:rPr>
          <w:rFonts w:ascii="Comic Sans MS" w:hAnsi="Comic Sans MS"/>
          <w:sz w:val="20"/>
          <w:szCs w:val="20"/>
        </w:rPr>
        <w:t>-ov tim kako bi se mogla donijeti odluka o financiranju</w:t>
      </w:r>
      <w:r w:rsidR="0036373B" w:rsidRPr="004D2D8C">
        <w:rPr>
          <w:rFonts w:ascii="Comic Sans MS" w:hAnsi="Comic Sans MS"/>
          <w:sz w:val="20"/>
          <w:szCs w:val="20"/>
        </w:rPr>
        <w:t>.</w:t>
      </w:r>
    </w:p>
    <w:p w:rsidR="0036373B" w:rsidRPr="004D2D8C" w:rsidRDefault="00097E35" w:rsidP="0036373B">
      <w:pPr>
        <w:jc w:val="both"/>
        <w:rPr>
          <w:rFonts w:ascii="Comic Sans MS" w:hAnsi="Comic Sans MS"/>
          <w:b/>
          <w:sz w:val="20"/>
          <w:szCs w:val="20"/>
        </w:rPr>
      </w:pPr>
      <w:r w:rsidRPr="004D2D8C">
        <w:rPr>
          <w:rFonts w:ascii="Comic Sans MS" w:hAnsi="Comic Sans MS"/>
          <w:b/>
          <w:sz w:val="20"/>
          <w:szCs w:val="20"/>
        </w:rPr>
        <w:t xml:space="preserve">Procjena utjecaja na okoliš </w:t>
      </w:r>
      <w:r w:rsidR="0036373B" w:rsidRPr="004D2D8C">
        <w:rPr>
          <w:rFonts w:ascii="Comic Sans MS" w:hAnsi="Comic Sans MS"/>
          <w:sz w:val="20"/>
          <w:szCs w:val="20"/>
        </w:rPr>
        <w:t>(EIA)</w:t>
      </w:r>
      <w:r w:rsidR="00FE01A6" w:rsidRPr="004D2D8C">
        <w:rPr>
          <w:rFonts w:ascii="Comic Sans MS" w:hAnsi="Comic Sans MS"/>
          <w:b/>
          <w:sz w:val="20"/>
          <w:szCs w:val="20"/>
        </w:rPr>
        <w:t xml:space="preserve"> </w:t>
      </w:r>
    </w:p>
    <w:p w:rsidR="006B42D1" w:rsidRPr="004D2D8C" w:rsidRDefault="0036373B" w:rsidP="00F422B2">
      <w:pPr>
        <w:jc w:val="both"/>
        <w:rPr>
          <w:rFonts w:ascii="Comic Sans MS" w:hAnsi="Comic Sans MS"/>
          <w:sz w:val="20"/>
          <w:szCs w:val="20"/>
        </w:rPr>
      </w:pPr>
      <w:r w:rsidRPr="004D2D8C">
        <w:rPr>
          <w:rFonts w:ascii="Comic Sans MS" w:hAnsi="Comic Sans MS"/>
          <w:sz w:val="20"/>
          <w:szCs w:val="20"/>
        </w:rPr>
        <w:t xml:space="preserve">EIA </w:t>
      </w:r>
      <w:r w:rsidR="006B5492" w:rsidRPr="004D2D8C">
        <w:rPr>
          <w:rFonts w:ascii="Comic Sans MS" w:hAnsi="Comic Sans MS"/>
          <w:sz w:val="20"/>
          <w:szCs w:val="20"/>
        </w:rPr>
        <w:t>je pojam koji se koristi za formalizirani</w:t>
      </w:r>
      <w:r w:rsidR="00110128" w:rsidRPr="004D2D8C">
        <w:rPr>
          <w:rFonts w:ascii="Comic Sans MS" w:hAnsi="Comic Sans MS"/>
          <w:sz w:val="20"/>
          <w:szCs w:val="20"/>
        </w:rPr>
        <w:t xml:space="preserve"> postupak, uključujući i javne konzultacije, kojim se identificiraju i procjenjuju sve relevantne okolišne posljedice nekog projekta prije izdavanja odobrenja</w:t>
      </w:r>
      <w:r w:rsidRPr="004D2D8C">
        <w:rPr>
          <w:rFonts w:ascii="Comic Sans MS" w:hAnsi="Comic Sans MS"/>
          <w:sz w:val="20"/>
          <w:szCs w:val="20"/>
        </w:rPr>
        <w:t xml:space="preserve">. </w:t>
      </w:r>
      <w:r w:rsidR="00110128" w:rsidRPr="004D2D8C">
        <w:rPr>
          <w:rFonts w:ascii="Comic Sans MS" w:hAnsi="Comic Sans MS"/>
          <w:sz w:val="20"/>
          <w:szCs w:val="20"/>
        </w:rPr>
        <w:t xml:space="preserve">U Europskoj </w:t>
      </w:r>
      <w:r w:rsidR="00F422B2" w:rsidRPr="004D2D8C">
        <w:rPr>
          <w:rFonts w:ascii="Comic Sans MS" w:hAnsi="Comic Sans MS"/>
          <w:sz w:val="20"/>
          <w:szCs w:val="20"/>
        </w:rPr>
        <w:t>j</w:t>
      </w:r>
      <w:r w:rsidR="00110128" w:rsidRPr="004D2D8C">
        <w:rPr>
          <w:rFonts w:ascii="Comic Sans MS" w:hAnsi="Comic Sans MS"/>
          <w:sz w:val="20"/>
          <w:szCs w:val="20"/>
        </w:rPr>
        <w:t xml:space="preserve">e uniji, ako se traži </w:t>
      </w:r>
      <w:r w:rsidRPr="004D2D8C">
        <w:rPr>
          <w:rFonts w:ascii="Comic Sans MS" w:hAnsi="Comic Sans MS"/>
          <w:sz w:val="20"/>
          <w:szCs w:val="20"/>
        </w:rPr>
        <w:t>EIA,</w:t>
      </w:r>
      <w:r w:rsidR="00110128" w:rsidRPr="004D2D8C">
        <w:rPr>
          <w:rFonts w:ascii="Comic Sans MS" w:hAnsi="Comic Sans MS"/>
          <w:sz w:val="20"/>
          <w:szCs w:val="20"/>
        </w:rPr>
        <w:t xml:space="preserve"> to </w:t>
      </w:r>
      <w:r w:rsidR="00F422B2" w:rsidRPr="004D2D8C">
        <w:rPr>
          <w:rFonts w:ascii="Comic Sans MS" w:hAnsi="Comic Sans MS"/>
          <w:sz w:val="20"/>
          <w:szCs w:val="20"/>
        </w:rPr>
        <w:t xml:space="preserve">regulirano </w:t>
      </w:r>
      <w:r w:rsidR="00110128" w:rsidRPr="004D2D8C">
        <w:rPr>
          <w:rFonts w:ascii="Comic Sans MS" w:hAnsi="Comic Sans MS"/>
          <w:sz w:val="20"/>
          <w:szCs w:val="20"/>
        </w:rPr>
        <w:t xml:space="preserve">Direktivom o </w:t>
      </w:r>
      <w:r w:rsidRPr="004D2D8C">
        <w:rPr>
          <w:rFonts w:ascii="Comic Sans MS" w:hAnsi="Comic Sans MS"/>
          <w:sz w:val="20"/>
          <w:szCs w:val="20"/>
        </w:rPr>
        <w:t>EIA 85/337/EE</w:t>
      </w:r>
      <w:r w:rsidR="00110128" w:rsidRPr="004D2D8C">
        <w:rPr>
          <w:rFonts w:ascii="Comic Sans MS" w:hAnsi="Comic Sans MS"/>
          <w:sz w:val="20"/>
          <w:szCs w:val="20"/>
        </w:rPr>
        <w:t xml:space="preserve">Z </w:t>
      </w:r>
      <w:r w:rsidR="00B41262" w:rsidRPr="004D2D8C">
        <w:rPr>
          <w:rFonts w:ascii="Comic Sans MS" w:hAnsi="Comic Sans MS"/>
          <w:sz w:val="20"/>
          <w:szCs w:val="20"/>
        </w:rPr>
        <w:t xml:space="preserve">koja je </w:t>
      </w:r>
      <w:r w:rsidR="00F422B2" w:rsidRPr="004D2D8C">
        <w:rPr>
          <w:rFonts w:ascii="Comic Sans MS" w:hAnsi="Comic Sans MS"/>
          <w:sz w:val="20"/>
          <w:szCs w:val="20"/>
        </w:rPr>
        <w:t>izmijenjen</w:t>
      </w:r>
      <w:r w:rsidR="00B41262" w:rsidRPr="004D2D8C">
        <w:rPr>
          <w:rFonts w:ascii="Comic Sans MS" w:hAnsi="Comic Sans MS"/>
          <w:sz w:val="20"/>
          <w:szCs w:val="20"/>
        </w:rPr>
        <w:t>a</w:t>
      </w:r>
      <w:r w:rsidR="00F422B2" w:rsidRPr="004D2D8C">
        <w:rPr>
          <w:rFonts w:ascii="Comic Sans MS" w:hAnsi="Comic Sans MS"/>
          <w:sz w:val="20"/>
          <w:szCs w:val="20"/>
        </w:rPr>
        <w:t xml:space="preserve"> i dopunjen</w:t>
      </w:r>
      <w:r w:rsidR="00B41262" w:rsidRPr="004D2D8C">
        <w:rPr>
          <w:rFonts w:ascii="Comic Sans MS" w:hAnsi="Comic Sans MS"/>
          <w:sz w:val="20"/>
          <w:szCs w:val="20"/>
        </w:rPr>
        <w:t>a</w:t>
      </w:r>
      <w:r w:rsidR="00F422B2" w:rsidRPr="004D2D8C">
        <w:rPr>
          <w:rFonts w:ascii="Comic Sans MS" w:hAnsi="Comic Sans MS"/>
          <w:sz w:val="20"/>
          <w:szCs w:val="20"/>
        </w:rPr>
        <w:t xml:space="preserve"> Direktivama 97/11/EZ i 2003/35/EZ (vidi u nastavku). Izvor: EIB-ov Priručnik o ekološkim i socijalnim praksama - 2007.</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Studija o utjecaju na okoliš (Environmental Impact Study or Statement - </w:t>
      </w:r>
      <w:r w:rsidRPr="004D2D8C">
        <w:rPr>
          <w:rFonts w:ascii="Comic Sans MS" w:hAnsi="Comic Sans MS" w:cs="Comic Sans MS"/>
          <w:sz w:val="20"/>
          <w:szCs w:val="20"/>
        </w:rPr>
        <w:t xml:space="preserve">EIS)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U mnogim ali ne svim Režimima EIA, Okolišne informacije koje Promotor pruža Nadležnom organu vlasti predočene su u obliku EIS: pisanog izvještaja koji proizlazi iz postupka EIA. To je dokument ili dokumenti koji sadrže Okolišne informacije koje se traže prema Članku 5 Direktive o EIA 85/337/EEZ koja je dopunjena Direktivama 97/11/EZ i 2003/35/EZ (vidi gore). Izvor: </w:t>
      </w:r>
      <w:r w:rsidRPr="004D2D8C">
        <w:rPr>
          <w:rFonts w:ascii="Comic Sans MS" w:hAnsi="Comic Sans MS" w:cs="Comic Sans MS"/>
          <w:sz w:val="20"/>
          <w:szCs w:val="20"/>
          <w:u w:val="single"/>
        </w:rPr>
        <w:t>EIB-ov Priručnik o okolišnim i socijalnim praksama - 2007</w:t>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Plan za okolišno i socijalno upravljanje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Plan “ESM” je plan ili sustav djelovanja koji upućuje kako, kada, tko, gdje i što od integrirajućih mjera za okolišno i socijalno ublažavanje i praćenje kroz postojeće ili predložene transakcije ili aktivnost. Ono obuhvaća sve elemente koje se ponekad rješavaju zasebno u planovima za ublažavanje, praćenje i djelovanje. Izvor: </w:t>
      </w:r>
      <w:r w:rsidRPr="004D2D8C">
        <w:rPr>
          <w:rFonts w:ascii="Comic Sans MS" w:hAnsi="Comic Sans MS" w:cs="Comic Sans MS"/>
          <w:sz w:val="20"/>
          <w:szCs w:val="20"/>
          <w:u w:val="single"/>
        </w:rPr>
        <w:t xml:space="preserve">Glosar EEA. </w:t>
      </w:r>
    </w:p>
    <w:p w:rsidR="0072732B" w:rsidRPr="004D2D8C" w:rsidRDefault="0072732B" w:rsidP="0072732B">
      <w:pPr>
        <w:autoSpaceDE w:val="0"/>
        <w:autoSpaceDN w:val="0"/>
        <w:adjustRightInd w:val="0"/>
        <w:spacing w:after="0" w:line="240" w:lineRule="auto"/>
        <w:jc w:val="both"/>
        <w:rPr>
          <w:rFonts w:ascii="Comic Sans MS" w:hAnsi="Comic Sans MS" w:cs="Comic Sans MS"/>
          <w:b/>
          <w:bCs/>
          <w:sz w:val="20"/>
          <w:szCs w:val="20"/>
        </w:rPr>
      </w:pP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Okvir za procjenu ekonomskog i socijalnog učinka </w:t>
      </w:r>
      <w:r w:rsidRPr="004D2D8C">
        <w:rPr>
          <w:rFonts w:ascii="Comic Sans MS" w:hAnsi="Comic Sans MS" w:cs="Comic Sans MS"/>
          <w:sz w:val="20"/>
          <w:szCs w:val="20"/>
        </w:rPr>
        <w:t xml:space="preserve">(ESIAF)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je dokument koji se koristi za mjerenje Dodane vrijednosti, a početno se primjenjuje na transakcije u afričkim, karipskim i pacifičkim zemljama. U srpnju 2007., proširen je na sve Investicijske kredite izvan EU-a, Zemljama kandidatkinjama i potencijalnim zemljama kandidatkinjama (tj. na operacije u okviru EIB-ovih mandata za zemlje u susjedstvu i zemlje ACP, Aziju i Latinsku Ameriku, kao i Južnu Afriku). ESIAF je niz pokazatelja za bolju procjenu kako operacije pridonose održivom razvoju u tim zemljama. Taj alat za procjenu koristi kvalitativne rejtinge a ne numeričke bodove i oslanja se na utemeljene prosudbe a ne na ponderirane prosjeke niza unaprijed definiranih pokazatelja. Kako bi se izvršila prosudba o utjecaju pojedinačnih procjena na razvoj, ESIAF je usredotočen na financijsku i ekonomsku učinkovitost, stavlja naglasak na okolišna, upravljačka i socijalna pitanja i ocrtava doprinos projekta relevantnom mandatu i Milenijskom razvoju. Izvor: </w:t>
      </w:r>
      <w:r w:rsidRPr="004D2D8C">
        <w:rPr>
          <w:rFonts w:ascii="Comic Sans MS" w:hAnsi="Comic Sans MS" w:cs="Comic Sans MS"/>
          <w:sz w:val="20"/>
          <w:szCs w:val="20"/>
          <w:u w:val="single"/>
        </w:rPr>
        <w:t>EIB-ov Priručnik o okolišnim i socijalnim praksama - 2007</w:t>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Ekološki i socijalni analitički pregled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Postupak, tijekom EIB-ove prethodne procjene projekta, kojim Uprava za projekte određuje vrstu/opseg okolišne i socijalne procjene, odnošenjem na niz pitanja koja su navedena u EIB-ovom priručniku o okolišnim i socijalnim praksama </w:t>
      </w:r>
      <w:r w:rsidRPr="004D2D8C">
        <w:rPr>
          <w:rFonts w:ascii="Comic Sans MS" w:hAnsi="Comic Sans MS" w:cs="Comic Sans MS"/>
          <w:sz w:val="20"/>
          <w:szCs w:val="20"/>
          <w:u w:val="single"/>
        </w:rPr>
        <w:t xml:space="preserve">(Tabela E). Potrebno je izvršiti analitički pregled svih okolišnih i socijalnih pitanja.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Ekvatorska načela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Usvojena u lipnju 2003. od strane deset međunarodnih poslovnih banaka, Ekvatorska načela su dobrovoljan niz smjernica za upravljanje okolišnim i socijalnim pitanjima u projektnom financiranju. Načela se temelje na okolišnim i socijalnim standardima Međunarodne financijske korporacije (IFC) te su osmišljena uz njihovu pomoć i savjetovanje. U lipnju 2006., 41 banka je usvojila Načela, te se procjenjuje da ista sada obuhvaćaju otprilike 80 posto globalnog projektnog financiranja. 6. srpnja 2006., usvojena je revidirana verzija, koja odražava posljednje revizije vlastitih </w:t>
      </w:r>
      <w:r w:rsidRPr="004D2D8C">
        <w:rPr>
          <w:rFonts w:ascii="Comic Sans MS" w:hAnsi="Comic Sans MS" w:cs="Comic Sans MS"/>
          <w:sz w:val="20"/>
          <w:szCs w:val="20"/>
          <w:u w:val="single"/>
        </w:rPr>
        <w:t>Standarda uspješnosti socijalne i okolišne održivosti</w:t>
      </w:r>
      <w:r w:rsidRPr="004D2D8C">
        <w:rPr>
          <w:rFonts w:ascii="Comic Sans MS" w:hAnsi="Comic Sans MS" w:cs="Comic Sans MS"/>
          <w:sz w:val="20"/>
          <w:szCs w:val="20"/>
        </w:rPr>
        <w:t xml:space="preserve"> Međunarodne financijske korporacije. Nova Ekvatorska načela primjenjuju se na sve države i sektore, te na sva financiranja projekata s kapitalnim troškovima većim od 10 milijuna US$. Izvor: </w:t>
      </w:r>
      <w:r w:rsidRPr="004D2D8C">
        <w:rPr>
          <w:rFonts w:ascii="Comic Sans MS" w:hAnsi="Comic Sans MS" w:cs="Comic Sans MS"/>
          <w:sz w:val="20"/>
          <w:szCs w:val="20"/>
          <w:u w:val="single"/>
        </w:rPr>
        <w:t>Internetska stranica Ekvatorskih načela</w:t>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Espoo konvencija </w:t>
      </w:r>
      <w:r w:rsidRPr="004D2D8C">
        <w:rPr>
          <w:rFonts w:ascii="Comic Sans MS" w:hAnsi="Comic Sans MS" w:cs="Comic Sans MS"/>
          <w:sz w:val="20"/>
          <w:szCs w:val="20"/>
        </w:rPr>
        <w:t xml:space="preserve">o Procjeni utjecaja na okoliš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Stupanjem na snagu 1997. godine, UNECE (United Nations Economic Commission for Europe) Konvencija o Procjeni utjecaja na okoliš u Transgraničnom kontekstu ili Espoo (EIA) Konvencija navodi obveze Stranaka na procjenu okolišnog učinka određenih aktivnosti na ranom stupnju planiranja. Također utvrđuje opću obavezu Država da obavještavaju i konzultiraju jedna drugu o svim velikim projektima koji se razmatraju a za koje je vjerojatno  da će imati značajan negativni okolišni učinak i izvan granica. Izvor: Internetske stranice </w:t>
      </w:r>
      <w:r w:rsidRPr="004D2D8C">
        <w:rPr>
          <w:rFonts w:ascii="Comic Sans MS" w:hAnsi="Comic Sans MS" w:cs="Comic Sans MS"/>
          <w:sz w:val="20"/>
          <w:szCs w:val="20"/>
          <w:u w:val="single"/>
        </w:rPr>
        <w:t xml:space="preserve">UNECE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Europska načela za okoliš </w:t>
      </w:r>
      <w:r w:rsidRPr="004D2D8C">
        <w:rPr>
          <w:rFonts w:ascii="Comic Sans MS" w:hAnsi="Comic Sans MS" w:cs="Comic Sans MS"/>
          <w:sz w:val="20"/>
          <w:szCs w:val="20"/>
        </w:rPr>
        <w:t xml:space="preserve">(EPE)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Inicijativa koja obvezuje pet potpisnica, multilateralnih financijskih institucija sa sjedištem u Europi – Razvojnu banku Vijeća Europe (CEB), Europsku banku za obnovu i razvoj (EBRD), Europsku investicijsku banku (EIB), Nordijsku korporaciju za financiranje okoliša (NEFCO) i Nordijsku investicijsku banku (NIB) – na korištenje okolišnih načela, standarda i praksi EU-a kao glavno mjerilo za njihove predmetne aktivnosti financiranja diljem svih sektora i kroz područja poslovanja, ne samo između država članica EU-a, gdje su takvi zahtjevi obvezatni, već i kod bliskih susjeda EU-a i ostalih regija u Svijetu. Cilj je osigurati zaštitu okoliša i promovirati globalni održivi razvoj. Izvor: </w:t>
      </w:r>
      <w:r w:rsidRPr="004D2D8C">
        <w:rPr>
          <w:rFonts w:ascii="Comic Sans MS" w:hAnsi="Comic Sans MS" w:cs="Comic Sans MS"/>
          <w:sz w:val="20"/>
          <w:szCs w:val="20"/>
          <w:u w:val="single"/>
        </w:rPr>
        <w:t>Internetska stranica EIB-a</w:t>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Ugovor o financiranju</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Pojam koji koristi EIB za opisivanje ugovora o kreditu između Banke i njezinih Korisnika kredita.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Forest Stewardship Council </w:t>
      </w:r>
      <w:r w:rsidRPr="004D2D8C">
        <w:rPr>
          <w:rFonts w:ascii="Comic Sans MS" w:hAnsi="Comic Sans MS" w:cs="Comic Sans MS"/>
          <w:sz w:val="20"/>
          <w:szCs w:val="20"/>
        </w:rPr>
        <w:t xml:space="preserve">(FSC)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FSC je međunarodna neprofitna organizacija u vlasništvu dionika koja okuplja vlasnike šuma, upravitelje, proizvođače proizvoda od drveta, lokalne zajednice, nevladine organizacije i druge interesne skupine koje su posvećene poticanju odgovornog upravljanja svjetskim šumama. Izvor: </w:t>
      </w:r>
      <w:r w:rsidRPr="004D2D8C">
        <w:rPr>
          <w:rFonts w:ascii="Comic Sans MS" w:hAnsi="Comic Sans MS" w:cs="Comic Sans MS"/>
          <w:sz w:val="20"/>
          <w:szCs w:val="20"/>
          <w:u w:val="single"/>
        </w:rPr>
        <w:t>Internetska stranica</w:t>
      </w:r>
      <w:r w:rsidRPr="004D2D8C">
        <w:rPr>
          <w:rFonts w:ascii="Comic Sans MS" w:hAnsi="Comic Sans MS" w:cs="Comic Sans MS"/>
          <w:sz w:val="20"/>
          <w:szCs w:val="20"/>
        </w:rPr>
        <w:t xml:space="preserve"> </w:t>
      </w:r>
      <w:r w:rsidRPr="004D2D8C">
        <w:rPr>
          <w:rFonts w:ascii="Comic Sans MS" w:hAnsi="Comic Sans MS" w:cs="Comic Sans MS"/>
          <w:sz w:val="20"/>
          <w:szCs w:val="20"/>
          <w:u w:val="single"/>
        </w:rPr>
        <w:t>FSC</w:t>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Međunarodna organizacija rada </w:t>
      </w:r>
      <w:r w:rsidRPr="004D2D8C">
        <w:rPr>
          <w:rFonts w:ascii="Comic Sans MS" w:hAnsi="Comic Sans MS" w:cs="Comic Sans MS"/>
          <w:sz w:val="20"/>
          <w:szCs w:val="20"/>
        </w:rPr>
        <w:t xml:space="preserve">(ILO)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Specijalizirana tripartitna agencija Ujedinjenih nacija koja okuplja vlade, poslodavce i radnike u njezinim državama članicama u zajedničkoj akciji poticanja poštenog rada diljem svijeta. Njezino tajništvo je poznato kao Međunarodni ured rada. Izvor: </w:t>
      </w:r>
      <w:r w:rsidRPr="004D2D8C">
        <w:rPr>
          <w:rFonts w:ascii="Comic Sans MS" w:hAnsi="Comic Sans MS" w:cs="Comic Sans MS"/>
          <w:sz w:val="20"/>
          <w:szCs w:val="20"/>
          <w:u w:val="single"/>
        </w:rPr>
        <w:t>Internetska stranica ILO.</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Direktiva o cjelovitom sprječavanju i nadzoru onečišćenja (IPPC) </w:t>
      </w:r>
      <w:r w:rsidRPr="004D2D8C">
        <w:rPr>
          <w:rFonts w:ascii="Comic Sans MS" w:hAnsi="Comic Sans MS" w:cs="Comic Sans MS"/>
          <w:sz w:val="20"/>
          <w:szCs w:val="20"/>
        </w:rPr>
        <w:t xml:space="preserve">(96/91/EZ)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Direktiva IPPC ima za cilj smanjiti na najmanju moguću mjeru onečišćenje iz različitih industrijskih izvora diljem EU. Od operatera industrijskih postrojenja koji su obuhvaćeni Dodatkom I Direktive zahtijeva se da dobiju odobrenje (ekološku dozvolu) od relevantnih organa vlasti. Oko 50.000 postrojenja obuhvaćeno je Direktivom, a krajnji rok za cjelokupnu implementaciju je bio 30. listopad 2007. Direktiva se temelji na više načela, naime (1) integriranom pristupu, (2) najboljim raspoloživim tehnikama, (3) fleksibilnosti i (4) javnom sudjelovanju. Izvor: </w:t>
      </w:r>
      <w:r w:rsidRPr="004D2D8C">
        <w:rPr>
          <w:rFonts w:ascii="Comic Sans MS" w:hAnsi="Comic Sans MS" w:cs="Comic Sans MS"/>
          <w:sz w:val="20"/>
          <w:szCs w:val="20"/>
          <w:u w:val="single"/>
        </w:rPr>
        <w:t>EZ, Internetska stranica Opće uprave za okoliš</w:t>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ISO 14000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Niz normi ISO 14000 je skupina standarda za upravljanje okolišem koje je osmislila Međunarodna organizacija za standardizaciju (ISO). Standardi ISO 14000 osmišljeni su kako bi se osigurao međunarodno priznati okvir za okolišno upravljanje, mjerenje, procjenu i reviziju. Oni ne propisuju ciljeve za okolišnu uspješnost, već umjesto toga osiguravaju organizacijama alate za procjenu i kontrolu okolišnih učinaka njihovih aktivnosti, proizvoda ili usluga. Standardi se odnose na sljedeće predmete: sustave upravljanja okolišem; reviziju okoliša; okolišne oznake i deklaracije; procjenu okolišne uspješnosti; i procjenu životnog ciklusa. Izvor: </w:t>
      </w:r>
      <w:r w:rsidRPr="004D2D8C">
        <w:rPr>
          <w:rFonts w:ascii="Comic Sans MS" w:hAnsi="Comic Sans MS" w:cs="Comic Sans MS"/>
          <w:sz w:val="20"/>
          <w:szCs w:val="20"/>
          <w:u w:val="single"/>
        </w:rPr>
        <w:t>Glosar EEA</w:t>
      </w:r>
      <w:r w:rsidRPr="004D2D8C">
        <w:rPr>
          <w:rFonts w:ascii="Comic Sans MS" w:hAnsi="Comic Sans MS" w:cs="Comic Sans MS"/>
          <w:b/>
          <w:bCs/>
          <w:sz w:val="20"/>
          <w:szCs w:val="20"/>
        </w:rPr>
        <w:t xml:space="preserv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IUCN – Međunarodna unija za očuvanje prirode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bCs/>
          <w:sz w:val="20"/>
          <w:szCs w:val="20"/>
        </w:rPr>
        <w:t>Međunarodna unija za očuvanje prirode</w:t>
      </w:r>
      <w:r w:rsidRPr="004D2D8C">
        <w:rPr>
          <w:rFonts w:ascii="Comic Sans MS" w:hAnsi="Comic Sans MS" w:cs="Comic Sans MS"/>
          <w:b/>
          <w:bCs/>
          <w:sz w:val="20"/>
          <w:szCs w:val="20"/>
        </w:rPr>
        <w:t xml:space="preserve"> </w:t>
      </w:r>
      <w:r w:rsidRPr="004D2D8C">
        <w:rPr>
          <w:rFonts w:ascii="Comic Sans MS" w:hAnsi="Comic Sans MS" w:cs="Comic Sans MS"/>
          <w:sz w:val="20"/>
          <w:szCs w:val="20"/>
        </w:rPr>
        <w:t xml:space="preserve">je najveća i najvažnija svjetska mreža za očuvanje prirode. Unija okuplja 83 država, 110 vladinih agencija, više od 800 nevladinih organizacija (NGO), te oko 10.000 znanstvenika i stručnjaka iz 181 zemlje u jedinstvenom partnerstvu diljem svijeta. Misija Unije je utjecati, poticati i pomagati društvima diljem svijeta u očuvanju integriteta i raznolikosti prirode te osigurati da bilo koje korištenje prirodnih resursa bude pravično i ekološki održivo. Izvor: Internetska stranica IUCN.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Vrste kredita </w:t>
      </w:r>
      <w:r w:rsidRPr="004D2D8C">
        <w:rPr>
          <w:rFonts w:ascii="Comic Sans MS" w:hAnsi="Comic Sans MS" w:cs="Comic Sans MS"/>
          <w:sz w:val="20"/>
          <w:szCs w:val="20"/>
        </w:rPr>
        <w:t xml:space="preserve">(EIB)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Banka financira projekte koristeći niz različitih financijskih instrumenata koji čine 5 različitih vrsta: </w:t>
      </w:r>
    </w:p>
    <w:p w:rsidR="0072732B" w:rsidRPr="004D2D8C" w:rsidRDefault="0072732B" w:rsidP="0072732B">
      <w:pPr>
        <w:autoSpaceDE w:val="0"/>
        <w:autoSpaceDN w:val="0"/>
        <w:adjustRightInd w:val="0"/>
        <w:spacing w:before="120" w:after="0" w:line="240" w:lineRule="auto"/>
        <w:ind w:left="340"/>
        <w:jc w:val="both"/>
        <w:rPr>
          <w:rFonts w:ascii="Comic Sans MS" w:hAnsi="Comic Sans MS" w:cs="Arial"/>
          <w:sz w:val="20"/>
          <w:szCs w:val="20"/>
        </w:rPr>
      </w:pPr>
      <w:r w:rsidRPr="004D2D8C">
        <w:rPr>
          <w:rFonts w:ascii="Comic Sans MS" w:hAnsi="Comic Sans MS" w:cs="Comic Sans MS"/>
          <w:sz w:val="20"/>
          <w:szCs w:val="20"/>
          <w:u w:val="single"/>
        </w:rPr>
        <w:t>Investicijski krediti (IL)</w:t>
      </w:r>
      <w:r w:rsidRPr="004D2D8C">
        <w:rPr>
          <w:rFonts w:ascii="Comic Sans MS" w:hAnsi="Comic Sans MS" w:cs="Comic Sans MS"/>
          <w:sz w:val="20"/>
          <w:szCs w:val="20"/>
        </w:rPr>
        <w:t xml:space="preserve">: Obuhvaćaju sve transakcije (bez obzira je li riječ o jednoj transakciji ili više njih, jednom ili više Promotora) gdje postoje odgovarajuće informacije za odobrenje na jednom stupnju prije odluke Odbora direktora. </w:t>
      </w:r>
      <w:r w:rsidRPr="004D2D8C">
        <w:rPr>
          <w:rFonts w:ascii="Comic Sans MS" w:hAnsi="Comic Sans MS" w:cs="Arial"/>
          <w:sz w:val="20"/>
          <w:szCs w:val="20"/>
        </w:rPr>
        <w:t xml:space="preserve">Investicijski krediti se dalje mogu podijeliti na dvije potkategorije: </w:t>
      </w:r>
    </w:p>
    <w:p w:rsidR="0072732B" w:rsidRPr="004D2D8C" w:rsidRDefault="0072732B" w:rsidP="0072732B">
      <w:pPr>
        <w:autoSpaceDE w:val="0"/>
        <w:autoSpaceDN w:val="0"/>
        <w:adjustRightInd w:val="0"/>
        <w:spacing w:after="0" w:line="240" w:lineRule="auto"/>
        <w:ind w:left="560" w:hanging="200"/>
        <w:jc w:val="both"/>
        <w:rPr>
          <w:rFonts w:ascii="Comic Sans MS" w:hAnsi="Comic Sans MS" w:cs="Comic Sans MS"/>
          <w:sz w:val="20"/>
          <w:szCs w:val="20"/>
        </w:rPr>
      </w:pPr>
      <w:r w:rsidRPr="004D2D8C">
        <w:rPr>
          <w:rFonts w:ascii="Comic Sans MS" w:hAnsi="Comic Sans MS" w:cs="Comic Sans MS"/>
          <w:sz w:val="20"/>
          <w:szCs w:val="20"/>
        </w:rPr>
        <w:t xml:space="preserve">- Projekti za klasična samostalna ulaganja (u načelu, jedna shema, jedan promotor); i, </w:t>
      </w:r>
    </w:p>
    <w:p w:rsidR="0072732B" w:rsidRPr="004D2D8C" w:rsidRDefault="0072732B" w:rsidP="0072732B">
      <w:pPr>
        <w:autoSpaceDE w:val="0"/>
        <w:autoSpaceDN w:val="0"/>
        <w:adjustRightInd w:val="0"/>
        <w:spacing w:after="0" w:line="240" w:lineRule="auto"/>
        <w:ind w:left="560" w:hanging="200"/>
        <w:jc w:val="both"/>
        <w:rPr>
          <w:rFonts w:ascii="Comic Sans MS" w:hAnsi="Comic Sans MS" w:cs="Comic Sans MS"/>
          <w:sz w:val="20"/>
          <w:szCs w:val="20"/>
        </w:rPr>
      </w:pPr>
      <w:r w:rsidRPr="004D2D8C">
        <w:rPr>
          <w:rFonts w:ascii="Comic Sans MS" w:hAnsi="Comic Sans MS" w:cs="Comic Sans MS"/>
          <w:sz w:val="20"/>
          <w:szCs w:val="20"/>
        </w:rPr>
        <w:t xml:space="preserve">- Programi za višestruke transakcije s karakteristikom zajedništva (Promotor ili cilj ili sektor). Primjeri uključuju korporativne programe istraživanja i razvoja, infrastrukturne programe i komunalne programe. </w:t>
      </w:r>
    </w:p>
    <w:p w:rsidR="0072732B" w:rsidRPr="004D2D8C" w:rsidRDefault="0072732B" w:rsidP="0072732B">
      <w:pPr>
        <w:autoSpaceDE w:val="0"/>
        <w:autoSpaceDN w:val="0"/>
        <w:adjustRightInd w:val="0"/>
        <w:spacing w:after="0" w:line="240" w:lineRule="auto"/>
        <w:ind w:left="360"/>
        <w:jc w:val="both"/>
        <w:rPr>
          <w:rFonts w:ascii="Comic Sans MS" w:hAnsi="Comic Sans MS" w:cs="Comic Sans MS"/>
          <w:sz w:val="20"/>
          <w:szCs w:val="20"/>
        </w:rPr>
      </w:pPr>
      <w:r w:rsidRPr="004D2D8C">
        <w:rPr>
          <w:rFonts w:ascii="Comic Sans MS" w:hAnsi="Comic Sans MS" w:cs="Comic Sans MS"/>
          <w:sz w:val="20"/>
          <w:szCs w:val="20"/>
          <w:u w:val="single"/>
        </w:rPr>
        <w:t>Okvirni krediti (FL)</w:t>
      </w:r>
      <w:r w:rsidRPr="004D2D8C">
        <w:rPr>
          <w:rFonts w:ascii="Comic Sans MS" w:hAnsi="Comic Sans MS" w:cs="Comic Sans MS"/>
          <w:sz w:val="20"/>
          <w:szCs w:val="20"/>
        </w:rPr>
        <w:t xml:space="preserve">: Višestruke transakcije kod kojih je, zbog nepotpunih informacija na stupnju procjene, odluke koje se odnose na financiranje specifičnih podshema potrebno donijeti nakon odobrenja Odbora na temelju dodatnih informacija. Krediti strukturnog programa, koji se sastoji od programa sufinanciranja koji koriste pogodnosti Strukturnih ili kohezijskih fondova EU-a, dio je ove kategorije. </w:t>
      </w:r>
    </w:p>
    <w:p w:rsidR="0072732B" w:rsidRPr="004D2D8C" w:rsidRDefault="0072732B" w:rsidP="0072732B">
      <w:pPr>
        <w:autoSpaceDE w:val="0"/>
        <w:autoSpaceDN w:val="0"/>
        <w:adjustRightInd w:val="0"/>
        <w:spacing w:after="0" w:line="240" w:lineRule="auto"/>
        <w:ind w:left="360"/>
        <w:jc w:val="both"/>
        <w:rPr>
          <w:rFonts w:ascii="Comic Sans MS" w:hAnsi="Comic Sans MS" w:cs="Comic Sans MS"/>
          <w:sz w:val="20"/>
          <w:szCs w:val="20"/>
        </w:rPr>
      </w:pPr>
      <w:r w:rsidRPr="004D2D8C">
        <w:rPr>
          <w:rFonts w:ascii="Comic Sans MS" w:hAnsi="Comic Sans MS" w:cs="Comic Sans MS"/>
          <w:sz w:val="20"/>
          <w:szCs w:val="20"/>
          <w:u w:val="single"/>
        </w:rPr>
        <w:t>Krediti za srednje kapitalizirana poduzeća (ML)</w:t>
      </w:r>
      <w:r w:rsidRPr="004D2D8C">
        <w:rPr>
          <w:rFonts w:ascii="Comic Sans MS" w:hAnsi="Comic Sans MS" w:cs="Comic Sans MS"/>
          <w:sz w:val="20"/>
          <w:szCs w:val="20"/>
        </w:rPr>
        <w:t xml:space="preserve">: Kreditna linija s financijskim posrednicima za potporu srednje velikim industrijskim transakcijama, u načelu s investicijskim troškovima između 25m € i 50m € koji nisu neophodno identificirani u vrijeme podnošenja Odboru. </w:t>
      </w:r>
    </w:p>
    <w:p w:rsidR="0072732B" w:rsidRPr="004D2D8C" w:rsidRDefault="0072732B" w:rsidP="0072732B">
      <w:pPr>
        <w:autoSpaceDE w:val="0"/>
        <w:autoSpaceDN w:val="0"/>
        <w:adjustRightInd w:val="0"/>
        <w:spacing w:after="0" w:line="240" w:lineRule="auto"/>
        <w:ind w:left="360"/>
        <w:jc w:val="both"/>
        <w:rPr>
          <w:rFonts w:ascii="Comic Sans MS" w:hAnsi="Comic Sans MS" w:cs="Comic Sans MS"/>
          <w:sz w:val="20"/>
          <w:szCs w:val="20"/>
        </w:rPr>
      </w:pPr>
      <w:r w:rsidRPr="004D2D8C">
        <w:rPr>
          <w:rFonts w:ascii="Comic Sans MS" w:hAnsi="Comic Sans MS" w:cs="Comic Sans MS"/>
          <w:sz w:val="20"/>
          <w:szCs w:val="20"/>
          <w:u w:val="single"/>
        </w:rPr>
        <w:t>Posrednički krediti (bivši Globalni krediti)</w:t>
      </w:r>
      <w:r w:rsidRPr="004D2D8C">
        <w:rPr>
          <w:rFonts w:ascii="Comic Sans MS" w:hAnsi="Comic Sans MS" w:cs="Comic Sans MS"/>
          <w:sz w:val="20"/>
          <w:szCs w:val="20"/>
        </w:rPr>
        <w:t xml:space="preserve">: Kreditna linija financijskom posredniku sa stručnim poznavanjem lokalnog tržišta za odabir i financiranje malih transakcija (ukupan trošak ulaganja 40.000 € do 25m €) koje doprinose unaprijed određenim ciljevima koje je utvrdila Banka, a koji nisu identificirani u vrijeme podnošenja Odboru. </w:t>
      </w:r>
    </w:p>
    <w:p w:rsidR="0072732B" w:rsidRPr="004D2D8C" w:rsidRDefault="0072732B" w:rsidP="0072732B">
      <w:pPr>
        <w:autoSpaceDE w:val="0"/>
        <w:autoSpaceDN w:val="0"/>
        <w:adjustRightInd w:val="0"/>
        <w:spacing w:after="0" w:line="240" w:lineRule="auto"/>
        <w:ind w:left="360"/>
        <w:jc w:val="both"/>
        <w:rPr>
          <w:rFonts w:ascii="Comic Sans MS" w:hAnsi="Comic Sans MS" w:cs="Comic Sans MS"/>
          <w:sz w:val="20"/>
          <w:szCs w:val="20"/>
        </w:rPr>
      </w:pPr>
      <w:r w:rsidRPr="004D2D8C">
        <w:rPr>
          <w:rFonts w:ascii="Comic Sans MS" w:hAnsi="Comic Sans MS" w:cs="Comic Sans MS"/>
          <w:sz w:val="20"/>
          <w:szCs w:val="20"/>
          <w:u w:val="single"/>
        </w:rPr>
        <w:t>Fondovi</w:t>
      </w:r>
      <w:r w:rsidRPr="004D2D8C">
        <w:rPr>
          <w:rFonts w:ascii="Comic Sans MS" w:hAnsi="Comic Sans MS" w:cs="Comic Sans MS"/>
          <w:sz w:val="20"/>
          <w:szCs w:val="20"/>
        </w:rPr>
        <w:t xml:space="preserve">: Investicijska transakcija kod koje Banka ulaže kapital u Fond, koji zatim provodi ulaganja u projekte. Izvor: </w:t>
      </w:r>
      <w:r w:rsidRPr="004D2D8C">
        <w:rPr>
          <w:rFonts w:ascii="Comic Sans MS" w:hAnsi="Comic Sans MS" w:cs="Comic Sans MS"/>
          <w:sz w:val="20"/>
          <w:szCs w:val="20"/>
          <w:u w:val="single"/>
        </w:rPr>
        <w:t xml:space="preserve">EIB-ov Priručnik o okolišnim i socijalnim praksama – 2007. </w:t>
      </w:r>
      <w:r w:rsidRPr="004D2D8C">
        <w:rPr>
          <w:rFonts w:ascii="Comic Sans MS" w:hAnsi="Comic Sans MS" w:cs="Comic Sans MS"/>
          <w:sz w:val="20"/>
          <w:szCs w:val="20"/>
        </w:rPr>
        <w:t xml:space="preserve">- Tabela D u Odjeljku A3.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Milenijski razvojni ciljevi </w:t>
      </w:r>
      <w:r w:rsidRPr="004D2D8C">
        <w:rPr>
          <w:rFonts w:ascii="Comic Sans MS" w:hAnsi="Comic Sans MS" w:cs="Comic Sans MS"/>
          <w:sz w:val="20"/>
          <w:szCs w:val="20"/>
        </w:rPr>
        <w:t xml:space="preserve">(MDGs)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Osam milenijskih razvojnih ciljeva Ujedinjenih naroda koji se kreću od smanjenja ekstremnog siromaštva na polovinu do zaustavljanja širenja HIV-a/AIDS-a i pružanja općeg primarnog obrazovanja, a sve do ciljnog datuma 2015. godine, čine plan o kojem su se usuglasile sve svjetske države i sve svjetske vodeće razvojne institucije u studenom 2000. kako bi se zadovoljile potrebe najsiromašnijih na svijetu. Izvor: Internetska stranica Ujedinjenih nacija.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NATURA 2000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Mreža područja zaštićene prirode diljem EU-a koja je osnovana u okviru </w:t>
      </w:r>
      <w:r w:rsidRPr="004D2D8C">
        <w:rPr>
          <w:rFonts w:ascii="Comic Sans MS" w:hAnsi="Comic Sans MS" w:cs="Comic Sans MS"/>
          <w:bCs/>
          <w:sz w:val="20"/>
          <w:szCs w:val="20"/>
        </w:rPr>
        <w:t>takozvane</w:t>
      </w:r>
      <w:r w:rsidRPr="004D2D8C">
        <w:rPr>
          <w:rFonts w:ascii="Comic Sans MS" w:hAnsi="Comic Sans MS" w:cs="Comic Sans MS"/>
          <w:sz w:val="20"/>
          <w:szCs w:val="20"/>
        </w:rPr>
        <w:t xml:space="preserve"> </w:t>
      </w:r>
      <w:r w:rsidRPr="004D2D8C">
        <w:rPr>
          <w:rFonts w:ascii="Comic Sans MS" w:hAnsi="Comic Sans MS" w:cs="Comic Sans MS"/>
          <w:b/>
          <w:bCs/>
          <w:sz w:val="20"/>
          <w:szCs w:val="20"/>
        </w:rPr>
        <w:t xml:space="preserve">Direktive “staništa” iz 1992. godine </w:t>
      </w:r>
      <w:r w:rsidRPr="004D2D8C">
        <w:rPr>
          <w:rFonts w:ascii="Comic Sans MS" w:hAnsi="Comic Sans MS" w:cs="Comic Sans MS"/>
          <w:sz w:val="20"/>
          <w:szCs w:val="20"/>
        </w:rPr>
        <w:t xml:space="preserve">o očuvanju prirodnih staništa te divlje flore i faune, a sadrži više od 26.000 zaštićenih područja ukupne površine od otprilike 850.000 km2 – više od 20% ukupnog teritorija EU-a. Cilj mreže je osigurati dugoročni opstanak europskih najvrjednijih i najugroženijih vrsta i staništa. Ona obuhvaća Posebna područja očuvanja (SACs) koja su države članice označile u okviru Direktive o staništima, te Posebna područja zaštite (SPAs) koja su označena u okviru Direktive 79/409/EEZ o očuvanju divljih ptica, koja se uobičajeno spominje kao </w:t>
      </w:r>
      <w:r w:rsidRPr="004D2D8C">
        <w:rPr>
          <w:rFonts w:ascii="Comic Sans MS" w:hAnsi="Comic Sans MS" w:cs="Comic Sans MS"/>
          <w:b/>
          <w:bCs/>
          <w:sz w:val="20"/>
          <w:szCs w:val="20"/>
        </w:rPr>
        <w:t>Direktiva o pticama</w:t>
      </w:r>
      <w:r w:rsidRPr="004D2D8C">
        <w:rPr>
          <w:rFonts w:ascii="Comic Sans MS" w:hAnsi="Comic Sans MS" w:cs="Comic Sans MS"/>
          <w:sz w:val="20"/>
          <w:szCs w:val="20"/>
        </w:rPr>
        <w:t xml:space="preserve">. Lokacije su klasificirane u skladu s devet biozemljopisnih regija EU-a: alpskom, crnomorskom, atlantskom, borealnom, kontinentalnom, makaronezijskom, mediteranskom, panonskom i stepskom. Natura 2000 nije sustav striktnih prirodnih rezervata u kojima su isključene sve ljudske aktivnosti; većina zemljišta će vjerojatno i dalje biti u  privatnom vlasništvu a naglasak će biti na osiguravanju da buduće upravljanje bude održivo, kako ekološki tako i ekonomski. Utemeljenje Nature 2000 također ispunjava obvezu Zajednice u okviru UN-ove Konvencije o biološkoj raznolikosti. Izvor: Glavna uprava za okoliš (DG ENV).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Netehnički sažetak </w:t>
      </w:r>
      <w:r w:rsidRPr="004D2D8C">
        <w:rPr>
          <w:rFonts w:ascii="Comic Sans MS" w:hAnsi="Comic Sans MS" w:cs="Comic Sans MS"/>
          <w:sz w:val="20"/>
          <w:szCs w:val="20"/>
        </w:rPr>
        <w:t xml:space="preserve">(NTS)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Pojam koji se koristi za opis sažetka dokumenta o Procjeni utjecaja na okoliš ili Stratešku okolišnu procjenu pisan na netehničkom jeziku na način da je javnost može lako razumjeti.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Okolišne i socijalne prakse </w:t>
      </w:r>
      <w:r w:rsidRPr="004D2D8C">
        <w:rPr>
          <w:rFonts w:ascii="Comic Sans MS" w:hAnsi="Comic Sans MS" w:cs="Comic Sans MS"/>
          <w:sz w:val="20"/>
          <w:szCs w:val="20"/>
        </w:rPr>
        <w:t xml:space="preserve">Interni postupci i prakse Banke, posebice rad koji je izvršila njezina Uprava za projekte kako bi se osiguralo da sve financijske aktivnosti budu usklađene s njezinom okolišnom politikom – opisanom u Bančinom </w:t>
      </w:r>
      <w:r w:rsidRPr="004D2D8C">
        <w:rPr>
          <w:rFonts w:ascii="Comic Sans MS" w:hAnsi="Comic Sans MS" w:cs="Comic Sans MS"/>
          <w:sz w:val="20"/>
          <w:szCs w:val="20"/>
          <w:u w:val="single"/>
        </w:rPr>
        <w:t>Priručniku o okolišnim i socijalnim praksama (2007)</w:t>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Projekt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Za EIB, projekt je neko ulaganje s tehnički i ekonomski jasno definiranim opsegom. Pored temeljnog ulaganja ono obuhvaća sve dodatne troškove koji su potrebni za postizanje opsega projekta.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Projektna lista </w:t>
      </w:r>
      <w:r w:rsidRPr="004D2D8C">
        <w:rPr>
          <w:rFonts w:ascii="Comic Sans MS" w:hAnsi="Comic Sans MS" w:cs="Comic Sans MS"/>
          <w:sz w:val="20"/>
          <w:szCs w:val="20"/>
        </w:rPr>
        <w:t xml:space="preserve">(EIB)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EIB-ova projektna lista, također nazvana EIB-ov </w:t>
      </w:r>
      <w:r w:rsidRPr="004D2D8C">
        <w:rPr>
          <w:rFonts w:ascii="Comic Sans MS" w:hAnsi="Comic Sans MS" w:cs="Comic Sans MS"/>
          <w:b/>
          <w:bCs/>
          <w:sz w:val="20"/>
          <w:szCs w:val="20"/>
        </w:rPr>
        <w:t>Lista potencijalnih projekata</w:t>
      </w:r>
      <w:r w:rsidRPr="004D2D8C">
        <w:rPr>
          <w:rFonts w:ascii="Comic Sans MS" w:hAnsi="Comic Sans MS" w:cs="Comic Sans MS"/>
          <w:sz w:val="20"/>
          <w:szCs w:val="20"/>
        </w:rPr>
        <w:t xml:space="preserve">, je lista novih investicijskih projekata koji su u razgovorima s Promotorima postigli napredan stupanj o mogućem uključenju EIB-a. Formira se kako napreduje rad na identifikaciji i procjeni projekata. Projektna lista objavljuje se na internetskim stranicama Banke.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Promotor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“Promotor” je građevinski poduzetnik, sponzor, organizator, ‘vlasnik’ nekog investicijskog projekta. </w:t>
      </w:r>
    </w:p>
    <w:p w:rsidR="00663F8C" w:rsidRPr="004D2D8C" w:rsidRDefault="00663F8C" w:rsidP="0072732B">
      <w:pPr>
        <w:autoSpaceDE w:val="0"/>
        <w:autoSpaceDN w:val="0"/>
        <w:adjustRightInd w:val="0"/>
        <w:spacing w:after="0" w:line="240" w:lineRule="auto"/>
        <w:jc w:val="both"/>
        <w:rPr>
          <w:rFonts w:ascii="Comic Sans MS" w:hAnsi="Comic Sans MS" w:cs="Comic Sans MS"/>
          <w:sz w:val="20"/>
          <w:szCs w:val="20"/>
        </w:rPr>
      </w:pPr>
    </w:p>
    <w:p w:rsidR="00663F8C" w:rsidRPr="004D2D8C" w:rsidRDefault="00663F8C" w:rsidP="0072732B">
      <w:pPr>
        <w:autoSpaceDE w:val="0"/>
        <w:autoSpaceDN w:val="0"/>
        <w:adjustRightInd w:val="0"/>
        <w:spacing w:after="0" w:line="240" w:lineRule="auto"/>
        <w:jc w:val="both"/>
        <w:rPr>
          <w:rFonts w:ascii="Comic Sans MS" w:hAnsi="Comic Sans MS" w:cs="Comic Sans MS"/>
          <w:sz w:val="20"/>
          <w:szCs w:val="20"/>
        </w:rPr>
      </w:pPr>
    </w:p>
    <w:p w:rsidR="0072732B" w:rsidRPr="004D2D8C" w:rsidRDefault="0072732B" w:rsidP="0072732B">
      <w:pPr>
        <w:pageBreakBefore/>
        <w:autoSpaceDE w:val="0"/>
        <w:autoSpaceDN w:val="0"/>
        <w:adjustRightInd w:val="0"/>
        <w:spacing w:before="180" w:after="0" w:line="240" w:lineRule="auto"/>
        <w:jc w:val="both"/>
        <w:rPr>
          <w:rFonts w:ascii="Comic Sans MS" w:hAnsi="Comic Sans MS"/>
          <w:sz w:val="20"/>
          <w:szCs w:val="20"/>
        </w:rPr>
      </w:pPr>
      <w:r w:rsidRPr="004D2D8C">
        <w:rPr>
          <w:rFonts w:ascii="Comic Sans MS" w:hAnsi="Comic Sans MS"/>
          <w:b/>
          <w:bCs/>
          <w:sz w:val="20"/>
          <w:szCs w:val="20"/>
        </w:rPr>
        <w:t>Politika javnog objavljivanja (EIB), 2007.</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Dokument koji utvrđuje načela i pravila za objavljivanje informacija. Politika se temelji na pretpostavci objavljivanja, osim ako ne postoji uvjerljiv razlog za neobjavljivanje. Također obuhvaća procedure za obradu zahtjeva za informacijama i mehanizme za ulaganje žalbe za podnositelje zahtjeva. EIB-ova Politika javnog objavljivanja koja uređuje i promovira javni pristup informacijama, odražava zahtjeve Aarhuške uredbe. U slučajevima kada se odredbe Politike objavljivanja i Aarhuške uredbe razmimoilaze na području okoliša, primjenjuje se Uredba. Revizija Politike javnog objavljivanja planira se u 2009. godini. Izvor: Internetska stranica EIB-a.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Ramsarska konvencija </w:t>
      </w:r>
      <w:r w:rsidRPr="004D2D8C">
        <w:rPr>
          <w:rFonts w:ascii="Comic Sans MS" w:hAnsi="Comic Sans MS" w:cs="Comic Sans MS"/>
          <w:sz w:val="20"/>
          <w:szCs w:val="20"/>
        </w:rPr>
        <w:t xml:space="preserve">(The)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Ramsarska konvencija o močvarama koja je potpisana u Ramsaru, Iran, 1971. godine, je međuvladin sporazum koji daje okvir za nacionalno djelovanje i međunarodnu suradnju za očuvanje i mudro korištenje močvara i njihovih resursa. Izvor: Internetska stranica Ramsarske konvencije.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Dioničari </w:t>
      </w:r>
      <w:r w:rsidRPr="004D2D8C">
        <w:rPr>
          <w:rFonts w:ascii="Comic Sans MS" w:hAnsi="Comic Sans MS" w:cs="Comic Sans MS"/>
          <w:sz w:val="20"/>
          <w:szCs w:val="20"/>
        </w:rPr>
        <w:t xml:space="preserve">(EIB)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27 država članica Europske unije, koje u Bančinom Odboru Guvernera predstavljaju njihovi ministri financija.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Dionici</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Svi pojedinci i/ili skupine na koje utječe, ili na koje može utjecati, predmetna transakcija. Dionici mogu biti pojedinci, interesne skupine, korporativne organizacije. Mogu biti interni (poput dioničara, menadžera, zaposlenika i vladinih dužnosnika) ili vanjski (osobe s interesom za zemljište ili razvoj, vlasnici nekretnina, susjedi, stanovnici u susjedstvu nove izgradnje, skupine stanovnika, ekološke organizacije, organizacije za opće dobro/nasljeđe, vijeća lokalnih zajednica i organi vlasti, organizacije civilnog društva, lokalna poduzeća, poduzeća, sindikati, zaposlenici, klijenti i dobavljači. Izvor: EIB-ov Priručnik o okolišnim i socijalnim praksama</w:t>
      </w:r>
      <w:r w:rsidRPr="004D2D8C">
        <w:rPr>
          <w:rFonts w:ascii="Comic Sans MS" w:hAnsi="Comic Sans MS" w:cs="Comic Sans MS"/>
          <w:sz w:val="20"/>
          <w:szCs w:val="20"/>
          <w:u w:val="single"/>
        </w:rPr>
        <w:t xml:space="preserve">, 2007.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Standardi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”Standard” je uvjet kvantitativne vrste koji nalaže Banka kako bi se osigurali minimalni uvjeti te se može nezavisno verificirati. </w:t>
      </w:r>
    </w:p>
    <w:p w:rsidR="0072732B" w:rsidRPr="004D2D8C" w:rsidRDefault="0072732B" w:rsidP="0072732B">
      <w:pPr>
        <w:autoSpaceDE w:val="0"/>
        <w:autoSpaceDN w:val="0"/>
        <w:adjustRightInd w:val="0"/>
        <w:spacing w:after="0" w:line="240" w:lineRule="auto"/>
        <w:ind w:left="360"/>
        <w:jc w:val="both"/>
        <w:rPr>
          <w:rFonts w:ascii="Comic Sans MS" w:hAnsi="Comic Sans MS" w:cs="Comic Sans MS"/>
          <w:sz w:val="20"/>
          <w:szCs w:val="20"/>
        </w:rPr>
      </w:pPr>
      <w:r w:rsidRPr="004D2D8C">
        <w:rPr>
          <w:rFonts w:ascii="Comic Sans MS" w:hAnsi="Comic Sans MS" w:cs="Comic Sans MS"/>
          <w:b/>
          <w:bCs/>
          <w:sz w:val="20"/>
          <w:szCs w:val="20"/>
        </w:rPr>
        <w:t>Standardi emisije</w:t>
      </w:r>
      <w:r w:rsidRPr="004D2D8C">
        <w:rPr>
          <w:rFonts w:ascii="Comic Sans MS" w:hAnsi="Comic Sans MS" w:cs="Comic Sans MS"/>
          <w:sz w:val="20"/>
          <w:szCs w:val="20"/>
        </w:rPr>
        <w:t xml:space="preserve">: Najveća količina ispuštanja koja je utvrđena u predmetnim Direktivama EU-a i koja je dopuštena iz jednog izvora, mobilnog ili nepokretnog. (Izvor: EEA) </w:t>
      </w:r>
    </w:p>
    <w:p w:rsidR="0072732B" w:rsidRPr="004D2D8C" w:rsidRDefault="0072732B" w:rsidP="0072732B">
      <w:pPr>
        <w:autoSpaceDE w:val="0"/>
        <w:autoSpaceDN w:val="0"/>
        <w:adjustRightInd w:val="0"/>
        <w:spacing w:after="0" w:line="240" w:lineRule="auto"/>
        <w:ind w:left="360"/>
        <w:jc w:val="both"/>
        <w:rPr>
          <w:rFonts w:ascii="Comic Sans MS" w:hAnsi="Comic Sans MS" w:cs="Comic Sans MS"/>
          <w:sz w:val="20"/>
          <w:szCs w:val="20"/>
        </w:rPr>
      </w:pPr>
      <w:r w:rsidRPr="004D2D8C">
        <w:rPr>
          <w:rFonts w:ascii="Comic Sans MS" w:hAnsi="Comic Sans MS" w:cs="Comic Sans MS"/>
          <w:b/>
          <w:bCs/>
          <w:sz w:val="20"/>
          <w:szCs w:val="20"/>
        </w:rPr>
        <w:t>Ambijentalni standardi</w:t>
      </w:r>
      <w:r w:rsidRPr="004D2D8C">
        <w:rPr>
          <w:rFonts w:ascii="Comic Sans MS" w:hAnsi="Comic Sans MS" w:cs="Comic Sans MS"/>
          <w:sz w:val="20"/>
          <w:szCs w:val="20"/>
        </w:rPr>
        <w:t xml:space="preserve">: pravne norme utvrđene u relevantnim Direktivama EU-a kako bi se očuvala kvaliteta zraka, vode i tla u EU. </w:t>
      </w:r>
    </w:p>
    <w:p w:rsidR="0072732B" w:rsidRPr="004D2D8C" w:rsidRDefault="0072732B" w:rsidP="0072732B">
      <w:pPr>
        <w:autoSpaceDE w:val="0"/>
        <w:autoSpaceDN w:val="0"/>
        <w:adjustRightInd w:val="0"/>
        <w:spacing w:after="0" w:line="240" w:lineRule="auto"/>
        <w:ind w:left="360"/>
        <w:jc w:val="both"/>
        <w:rPr>
          <w:rFonts w:ascii="Comic Sans MS" w:hAnsi="Comic Sans MS" w:cs="Comic Sans MS"/>
          <w:sz w:val="20"/>
          <w:szCs w:val="20"/>
        </w:rPr>
      </w:pPr>
      <w:r w:rsidRPr="004D2D8C">
        <w:rPr>
          <w:rFonts w:ascii="Comic Sans MS" w:hAnsi="Comic Sans MS" w:cs="Comic Sans MS"/>
          <w:b/>
          <w:bCs/>
          <w:sz w:val="20"/>
          <w:szCs w:val="20"/>
        </w:rPr>
        <w:t>Procesni standardi</w:t>
      </w:r>
      <w:r w:rsidRPr="004D2D8C">
        <w:rPr>
          <w:rFonts w:ascii="Comic Sans MS" w:hAnsi="Comic Sans MS" w:cs="Comic Sans MS"/>
          <w:sz w:val="20"/>
          <w:szCs w:val="20"/>
        </w:rPr>
        <w:t xml:space="preserve">: Način na koji promotor upravlja okolišnim aspektima nekog projekta. Čitav niz Direktiva EU-a sadrži procesne standarde, od kojih je najznačajniji za EIB-ov rad Direktiva o procjeni utjecaja na okoliš. Ostali uključuju Okvirne direktive za različite sektore, Direktivu IPPC, Direktivu o  odgovornosti za štetu prema životnoj sredini i Direktive koje se odnose na ciljeve Aarhuške konvencije.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 xml:space="preserve">Strateška procjena utjecaja na okoliš </w:t>
      </w:r>
      <w:r w:rsidRPr="004D2D8C">
        <w:rPr>
          <w:rFonts w:ascii="Comic Sans MS" w:hAnsi="Comic Sans MS" w:cs="Comic Sans MS"/>
          <w:sz w:val="20"/>
          <w:szCs w:val="20"/>
        </w:rPr>
        <w:t xml:space="preserve">(SEA) </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Formalni proces osiguravanja da se ekološke posljedice određenih planova i programa javnog sektora planiraju i procjene tijekom njihove pripreme i prije njihovog usvajanja. U EU, postupak strateške procjene utjecaja na okoliš ravna se prema Direktivi o procjeni utjecaja na okoliš 2001/42/EZ. Izvor: </w:t>
      </w:r>
      <w:r w:rsidRPr="004D2D8C">
        <w:rPr>
          <w:rFonts w:ascii="Comic Sans MS" w:hAnsi="Comic Sans MS" w:cs="Comic Sans MS"/>
          <w:sz w:val="20"/>
          <w:szCs w:val="20"/>
          <w:u w:val="single"/>
        </w:rPr>
        <w:t>Opća uprava za okoliš – Pravni kontekst procjene utjecaja na okoliš</w:t>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Održive zajednice</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 xml:space="preserve">Zajednice u okviru kojih ljudi žele živjeti i raditi, sada i u budućnosti. One ispunjavaju različite potrebe sadašnjih i budućih stanovnika, osjetljive su na njihov okoliš i doprinose višoj kvaliteti života. One su sigurne i uključive; dobro planirane, izgrađene i vođene; te nude jednake mogućnosti i dobre usluge za sve. Izvor: </w:t>
      </w:r>
      <w:r w:rsidRPr="004D2D8C">
        <w:rPr>
          <w:rFonts w:ascii="Comic Sans MS" w:hAnsi="Comic Sans MS" w:cs="Comic Sans MS"/>
          <w:sz w:val="20"/>
          <w:szCs w:val="20"/>
          <w:u w:val="single"/>
        </w:rPr>
        <w:t>Studija Europskog parlamenta – 03/2007. ‘Mogućnosti za uspjeh pristupa održivih zajednica i njegova provedba’</w:t>
      </w:r>
      <w:r w:rsidRPr="004D2D8C">
        <w:rPr>
          <w:rFonts w:ascii="Comic Sans MS" w:hAnsi="Comic Sans MS" w:cs="Comic Sans MS"/>
          <w:sz w:val="20"/>
          <w:szCs w:val="20"/>
        </w:rPr>
        <w:t>/ European Urban Knowledge Network (</w:t>
      </w:r>
      <w:r w:rsidRPr="004D2D8C">
        <w:rPr>
          <w:rFonts w:ascii="Comic Sans MS" w:hAnsi="Comic Sans MS" w:cs="Comic Sans MS"/>
          <w:sz w:val="20"/>
          <w:szCs w:val="20"/>
          <w:u w:val="single"/>
        </w:rPr>
        <w:t>Bristolski sporazum</w:t>
      </w:r>
      <w:r w:rsidRPr="004D2D8C">
        <w:rPr>
          <w:rFonts w:ascii="Comic Sans MS" w:hAnsi="Comic Sans MS" w:cs="Comic Sans MS"/>
          <w:sz w:val="20"/>
          <w:szCs w:val="20"/>
        </w:rPr>
        <w:t xml:space="preserve"> – Europski ministarski neformalni sastanak u Bristolu, UK, 6-7/12/2005. Također vidjeti </w:t>
      </w:r>
      <w:r w:rsidRPr="004D2D8C">
        <w:rPr>
          <w:rFonts w:ascii="Comic Sans MS" w:hAnsi="Comic Sans MS" w:cs="Comic Sans MS"/>
          <w:sz w:val="20"/>
          <w:szCs w:val="20"/>
          <w:u w:val="single"/>
        </w:rPr>
        <w:t>EIBURS radni materijal 07/2007</w:t>
      </w:r>
      <w:r w:rsidRPr="004D2D8C">
        <w:rPr>
          <w:rFonts w:ascii="Comic Sans MS" w:hAnsi="Comic Sans MS" w:cs="Comic Sans MS"/>
          <w:sz w:val="20"/>
          <w:szCs w:val="20"/>
        </w:rPr>
        <w:t xml:space="preserve">  ‘Mjerenje socijalne održivosti: najbolja praksa urbane obnove u EU’ (Oxford Brookes Univ.-EIB).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Održivi razvoj</w:t>
      </w:r>
    </w:p>
    <w:p w:rsidR="0072732B" w:rsidRPr="004D2D8C" w:rsidRDefault="0072732B" w:rsidP="0072732B">
      <w:pPr>
        <w:autoSpaceDE w:val="0"/>
        <w:autoSpaceDN w:val="0"/>
        <w:adjustRightInd w:val="0"/>
        <w:spacing w:after="0" w:line="240" w:lineRule="auto"/>
        <w:jc w:val="both"/>
        <w:rPr>
          <w:rFonts w:ascii="Comic Sans MS" w:hAnsi="Comic Sans MS" w:cs="Comic Sans MS"/>
          <w:sz w:val="20"/>
          <w:szCs w:val="20"/>
        </w:rPr>
      </w:pPr>
      <w:r w:rsidRPr="004D2D8C">
        <w:rPr>
          <w:rFonts w:ascii="Comic Sans MS" w:hAnsi="Comic Sans MS" w:cs="Comic Sans MS"/>
          <w:sz w:val="20"/>
          <w:szCs w:val="20"/>
        </w:rPr>
        <w:t>Definiran kao 'razvoj koji zadovoljava potrebe sadašnjosti bez kompromitiranja mogućnosti budućih generacija da zadovolje svoje vlastite potrebe', održivi razvoj bio je glavna tema Svjetskog summita održanog u Rio de Janeiru 1992. godine. Tu su svjetski lideri potpisali konvencije o klimatskim promjenama i bioraznolikosti. Na kraju summita su izdali deklaraciju, navodeći 27 načela o okolišu i održivom razvoju. EU ima svoju vlastitu strategiju o održivom razvoju koja se bavi većinom izazova iz Rija koji obuhvaćaju ekonomska, okolišna i socijalna pitanja. Prvi EU SDS formuliran je 2001. godine (</w:t>
      </w:r>
      <w:r w:rsidRPr="004D2D8C">
        <w:rPr>
          <w:rFonts w:ascii="Comic Sans MS" w:hAnsi="Comic Sans MS" w:cs="Comic Sans MS"/>
          <w:sz w:val="20"/>
          <w:szCs w:val="20"/>
          <w:u w:val="single"/>
        </w:rPr>
        <w:t>http://ec.europa.eu/sustainable/sds2001/index_en.htm</w:t>
      </w:r>
      <w:r w:rsidRPr="004D2D8C">
        <w:rPr>
          <w:rFonts w:ascii="Comic Sans MS" w:hAnsi="Comic Sans MS" w:cs="Comic Sans MS"/>
          <w:sz w:val="20"/>
          <w:szCs w:val="20"/>
        </w:rPr>
        <w:t>), a u 2006. Europsko vijeće usvojilo je ambiciozan i sveobuhvatan obnovljeni SDS za prošireni EU (</w:t>
      </w:r>
      <w:r w:rsidRPr="004D2D8C">
        <w:rPr>
          <w:rFonts w:ascii="Comic Sans MS" w:hAnsi="Comic Sans MS" w:cs="Comic Sans MS"/>
          <w:sz w:val="20"/>
          <w:szCs w:val="20"/>
          <w:u w:val="single"/>
        </w:rPr>
        <w:t>http://register.consilium.europa.eu/pdf/en/06/st10/st10917.en06.pdf</w:t>
      </w:r>
      <w:r w:rsidRPr="004D2D8C">
        <w:rPr>
          <w:rFonts w:ascii="Comic Sans MS" w:hAnsi="Comic Sans MS" w:cs="Comic Sans MS"/>
          <w:sz w:val="20"/>
          <w:szCs w:val="20"/>
        </w:rPr>
        <w:t xml:space="preserve">). Daljnje informacije su na raspolaganju na </w:t>
      </w:r>
      <w:r w:rsidRPr="004D2D8C">
        <w:rPr>
          <w:rFonts w:ascii="Comic Sans MS" w:hAnsi="Comic Sans MS" w:cs="Comic Sans MS"/>
          <w:sz w:val="20"/>
          <w:szCs w:val="20"/>
          <w:u w:val="single"/>
        </w:rPr>
        <w:t>http://ec.europa.eu/sustainable/welcome/index_en.htm</w:t>
      </w:r>
      <w:r w:rsidRPr="004D2D8C">
        <w:rPr>
          <w:rFonts w:ascii="Comic Sans MS" w:hAnsi="Comic Sans MS" w:cs="Comic Sans MS"/>
          <w:sz w:val="20"/>
          <w:szCs w:val="20"/>
        </w:rPr>
        <w:t xml:space="preserve">. </w:t>
      </w:r>
    </w:p>
    <w:p w:rsidR="0072732B" w:rsidRPr="004D2D8C" w:rsidRDefault="0072732B" w:rsidP="0072732B">
      <w:pPr>
        <w:autoSpaceDE w:val="0"/>
        <w:autoSpaceDN w:val="0"/>
        <w:adjustRightInd w:val="0"/>
        <w:spacing w:before="180" w:after="0" w:line="240" w:lineRule="auto"/>
        <w:jc w:val="both"/>
        <w:rPr>
          <w:rFonts w:ascii="Comic Sans MS" w:hAnsi="Comic Sans MS" w:cs="Comic Sans MS"/>
          <w:sz w:val="20"/>
          <w:szCs w:val="20"/>
        </w:rPr>
      </w:pPr>
      <w:r w:rsidRPr="004D2D8C">
        <w:rPr>
          <w:rFonts w:ascii="Comic Sans MS" w:hAnsi="Comic Sans MS" w:cs="Comic Sans MS"/>
          <w:b/>
          <w:bCs/>
          <w:sz w:val="20"/>
          <w:szCs w:val="20"/>
        </w:rPr>
        <w:t>Ranjive zajednice</w:t>
      </w:r>
    </w:p>
    <w:p w:rsidR="0072732B" w:rsidRPr="004D2D8C" w:rsidRDefault="0072732B" w:rsidP="0072732B">
      <w:pPr>
        <w:jc w:val="both"/>
        <w:rPr>
          <w:sz w:val="20"/>
          <w:szCs w:val="20"/>
        </w:rPr>
      </w:pPr>
      <w:r w:rsidRPr="004D2D8C">
        <w:rPr>
          <w:rFonts w:ascii="Comic Sans MS" w:hAnsi="Comic Sans MS" w:cs="Comic Sans MS"/>
          <w:sz w:val="20"/>
          <w:szCs w:val="20"/>
        </w:rPr>
        <w:t xml:space="preserve">Među najvažnijim definirajućim karakteristikama ranjivih skupina su dob, spol, etnička pripadnost i lokacija, invaliditet i stigmatizirane bolesti, poput mentalnih bolesti. Na područjima koja su suočena s ratom ili građanskim sukobima, raseljene osobe i izbjeglice čine važnu ranjivu skupinu. Ove skupine su ranjive u odnosu na kršenje ljudskih prava u svim okolnostima a njihovi su resursi neodgovarajući za osiguravanje dostatnog prihoda za dostojanstven život. Izvori: </w:t>
      </w:r>
      <w:r w:rsidRPr="004D2D8C">
        <w:rPr>
          <w:rFonts w:ascii="Comic Sans MS" w:hAnsi="Comic Sans MS" w:cs="Comic Sans MS"/>
          <w:sz w:val="20"/>
          <w:szCs w:val="20"/>
          <w:u w:val="single"/>
        </w:rPr>
        <w:t xml:space="preserve">Organizacija za hranu i poljoprivredu UN-a; </w:t>
      </w:r>
      <w:r w:rsidRPr="004D2D8C">
        <w:rPr>
          <w:rFonts w:ascii="Comic Sans MS" w:hAnsi="Comic Sans MS" w:cs="Comic Sans MS"/>
          <w:sz w:val="20"/>
          <w:szCs w:val="20"/>
        </w:rPr>
        <w:t>Međunarodno vijeće za politiku ljudskih prava.</w:t>
      </w:r>
    </w:p>
    <w:p w:rsidR="0072732B" w:rsidRPr="004D2D8C" w:rsidRDefault="0072732B" w:rsidP="00F422B2">
      <w:pPr>
        <w:jc w:val="both"/>
        <w:rPr>
          <w:rFonts w:ascii="Comic Sans MS" w:hAnsi="Comic Sans MS"/>
          <w:sz w:val="20"/>
          <w:szCs w:val="20"/>
        </w:rPr>
      </w:pPr>
    </w:p>
    <w:p w:rsidR="00F422B2" w:rsidRPr="004D2D8C" w:rsidRDefault="00F422B2" w:rsidP="00F422B2">
      <w:pPr>
        <w:jc w:val="both"/>
        <w:rPr>
          <w:rFonts w:ascii="Comic Sans MS" w:hAnsi="Comic Sans MS"/>
          <w:sz w:val="20"/>
          <w:szCs w:val="20"/>
        </w:rPr>
      </w:pPr>
    </w:p>
    <w:p w:rsidR="00F422B2" w:rsidRPr="004D2D8C" w:rsidRDefault="00F422B2" w:rsidP="00F422B2">
      <w:pPr>
        <w:jc w:val="both"/>
        <w:rPr>
          <w:rFonts w:ascii="Comic Sans MS" w:hAnsi="Comic Sans MS"/>
          <w:sz w:val="20"/>
          <w:szCs w:val="20"/>
        </w:rPr>
      </w:pPr>
    </w:p>
    <w:p w:rsidR="006B42D1" w:rsidRPr="004D2D8C" w:rsidRDefault="006B42D1" w:rsidP="002C3A1C">
      <w:pPr>
        <w:jc w:val="both"/>
        <w:rPr>
          <w:rFonts w:ascii="Comic Sans MS" w:hAnsi="Comic Sans MS"/>
          <w:sz w:val="20"/>
          <w:szCs w:val="20"/>
        </w:rPr>
      </w:pPr>
    </w:p>
    <w:p w:rsidR="006B42D1" w:rsidRPr="004D2D8C" w:rsidRDefault="006B42D1" w:rsidP="002C3A1C">
      <w:pPr>
        <w:jc w:val="both"/>
        <w:rPr>
          <w:rFonts w:ascii="Comic Sans MS" w:hAnsi="Comic Sans MS"/>
          <w:sz w:val="20"/>
          <w:szCs w:val="20"/>
        </w:rPr>
      </w:pPr>
    </w:p>
    <w:sectPr w:rsidR="006B42D1" w:rsidRPr="004D2D8C">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5B" w:rsidRDefault="00B62D5B" w:rsidP="0019394E">
      <w:pPr>
        <w:spacing w:after="0" w:line="240" w:lineRule="auto"/>
      </w:pPr>
      <w:r>
        <w:separator/>
      </w:r>
    </w:p>
  </w:endnote>
  <w:endnote w:type="continuationSeparator" w:id="0">
    <w:p w:rsidR="00B62D5B" w:rsidRDefault="00B62D5B" w:rsidP="0019394E">
      <w:pPr>
        <w:spacing w:after="0" w:line="240" w:lineRule="auto"/>
      </w:pPr>
      <w:r>
        <w:continuationSeparator/>
      </w:r>
    </w:p>
  </w:endnote>
  <w:endnote w:id="1">
    <w:p w:rsidR="00110128" w:rsidRPr="009623D0" w:rsidRDefault="00110128" w:rsidP="009623D0">
      <w:pPr>
        <w:pStyle w:val="EndnoteText"/>
        <w:jc w:val="both"/>
      </w:pPr>
      <w:r w:rsidRPr="009623D0">
        <w:rPr>
          <w:rStyle w:val="EndnoteReference"/>
        </w:rPr>
        <w:endnoteRef/>
      </w:r>
      <w:r w:rsidRPr="009623D0">
        <w:t xml:space="preserve"> EIB, Korporativni operativni plan (Corporate Operational Plan – COP), 2008.-2010., veljača 2008., vidi EIB-ove web stranice.</w:t>
      </w:r>
    </w:p>
  </w:endnote>
  <w:endnote w:id="2">
    <w:p w:rsidR="00110128" w:rsidRPr="009623D0" w:rsidRDefault="00110128" w:rsidP="009623D0">
      <w:pPr>
        <w:pStyle w:val="EndnoteText"/>
        <w:jc w:val="both"/>
      </w:pPr>
      <w:r w:rsidRPr="009623D0">
        <w:rPr>
          <w:rStyle w:val="EndnoteReference"/>
        </w:rPr>
        <w:endnoteRef/>
      </w:r>
      <w:r w:rsidRPr="009623D0">
        <w:t xml:space="preserve"> Šesti okolišni akcijski program EU-a “Okoliš 2010.: Naša budućnost, naš izbor” (2002.) definira prioritete i ciljeve europske okolišne politike do 2010. godine i nakon 2010. godine te opisuje mjere koje je potrebno poduzeti kako bi se pomoglo provedbi strategije održivog razvoja Europske unije. Vidi Glosar i web stranicu Opće uprave za okoliš Europske komisije.</w:t>
      </w:r>
    </w:p>
  </w:endnote>
  <w:endnote w:id="3">
    <w:p w:rsidR="00110128" w:rsidRPr="009623D0" w:rsidRDefault="00110128" w:rsidP="009623D0">
      <w:pPr>
        <w:pStyle w:val="EndnoteText"/>
        <w:jc w:val="both"/>
      </w:pPr>
      <w:r w:rsidRPr="009623D0">
        <w:rPr>
          <w:rStyle w:val="EndnoteReference"/>
        </w:rPr>
        <w:endnoteRef/>
      </w:r>
      <w:r w:rsidRPr="009623D0">
        <w:t xml:space="preserve"> Komisija EU-a, a) Tematska strategija urbanog okoliša, siječanj 2006., vidi web stranicu Opće uprave za okoliš Europske komisije; b) Zajedno za zdravlje: strateški pristup za EU 2008.-2013., vidi Opća uprava za zdravlje i zaštitu potrošača.</w:t>
      </w:r>
    </w:p>
  </w:endnote>
  <w:endnote w:id="4">
    <w:p w:rsidR="00110128" w:rsidRPr="009623D0" w:rsidRDefault="00110128" w:rsidP="009623D0">
      <w:pPr>
        <w:pStyle w:val="EndnoteText"/>
        <w:jc w:val="both"/>
      </w:pPr>
      <w:r w:rsidRPr="009623D0">
        <w:rPr>
          <w:rStyle w:val="EndnoteReference"/>
        </w:rPr>
        <w:endnoteRef/>
      </w:r>
      <w:r w:rsidRPr="009623D0">
        <w:t xml:space="preserve"> Leipziška povelja o održivim europskim gradovima (</w:t>
      </w:r>
      <w:r w:rsidR="000213D7">
        <w:t xml:space="preserve">koju su nadležni ministri Europske unije </w:t>
      </w:r>
      <w:r w:rsidRPr="009623D0">
        <w:t>usvoj</w:t>
      </w:r>
      <w:r w:rsidR="000213D7">
        <w:t xml:space="preserve">ili </w:t>
      </w:r>
      <w:r w:rsidRPr="009623D0">
        <w:t>2007. godine) izražava suglasnost o zajedničkim načelima i strategijama politike „integriranog“ urbanog razvoja s naglaskom na revitalizaciji gradskih centara i nerazvijenih susjedstava, jačanju lokalnih gospodarstava i tržišta rada, čistom gradskom prijevozu i integraciji useljenika. Povelja predstavlja idealan model „europskog grada“ 21. stoljeća, Izvor: web st</w:t>
      </w:r>
      <w:r>
        <w:t xml:space="preserve">ranica </w:t>
      </w:r>
      <w:r w:rsidRPr="009623D0">
        <w:t>Savezno</w:t>
      </w:r>
      <w:r>
        <w:t>g</w:t>
      </w:r>
      <w:r w:rsidRPr="009623D0">
        <w:t xml:space="preserve"> ministarstv</w:t>
      </w:r>
      <w:r>
        <w:t>a</w:t>
      </w:r>
      <w:r w:rsidRPr="009623D0">
        <w:t xml:space="preserve"> </w:t>
      </w:r>
      <w:r>
        <w:t>transporta</w:t>
      </w:r>
      <w:r w:rsidRPr="009623D0">
        <w:t>, graditeljstva i urbanog razvoja (</w:t>
      </w:r>
      <w:r>
        <w:t>Njemačka</w:t>
      </w:r>
      <w:r w:rsidRPr="009623D0">
        <w:t>).</w:t>
      </w:r>
    </w:p>
  </w:endnote>
  <w:endnote w:id="5">
    <w:p w:rsidR="00110128" w:rsidRPr="009623D0" w:rsidRDefault="00110128" w:rsidP="009623D0">
      <w:pPr>
        <w:pStyle w:val="EndnoteText"/>
        <w:jc w:val="both"/>
      </w:pPr>
      <w:r w:rsidRPr="009623D0">
        <w:rPr>
          <w:rStyle w:val="EndnoteReference"/>
        </w:rPr>
        <w:endnoteRef/>
      </w:r>
      <w:r w:rsidRPr="009623D0">
        <w:t xml:space="preserve"> Te</w:t>
      </w:r>
      <w:r>
        <w:t xml:space="preserve">kst </w:t>
      </w:r>
      <w:r w:rsidRPr="009623D0">
        <w:t>(29/12/2006</w:t>
      </w:r>
      <w:r>
        <w:t>.</w:t>
      </w:r>
      <w:r w:rsidRPr="009623D0">
        <w:t xml:space="preserve">) </w:t>
      </w:r>
      <w:r>
        <w:t xml:space="preserve">pročišćenih verzija Ugovora o Europskoj uniji i Ugovora o osnivanju Europske zajednice </w:t>
      </w:r>
      <w:r w:rsidRPr="009623D0">
        <w:t>(</w:t>
      </w:r>
      <w:r>
        <w:t xml:space="preserve">SL </w:t>
      </w:r>
      <w:r w:rsidRPr="009623D0">
        <w:t>E</w:t>
      </w:r>
      <w:r>
        <w:t>Z</w:t>
      </w:r>
      <w:r w:rsidRPr="009623D0">
        <w:t xml:space="preserve"> 2006</w:t>
      </w:r>
      <w:r>
        <w:t>.</w:t>
      </w:r>
      <w:r w:rsidRPr="009623D0">
        <w:t xml:space="preserve"> C 321 E) </w:t>
      </w:r>
      <w:r>
        <w:t>koji se nalazi na:</w:t>
      </w:r>
      <w:r w:rsidRPr="009623D0">
        <w:t xml:space="preserve"> </w:t>
      </w:r>
      <w:hyperlink r:id="rId1" w:history="1">
        <w:r w:rsidRPr="002D0BEB">
          <w:rPr>
            <w:rStyle w:val="Hyperlink"/>
          </w:rPr>
          <w:t>http://eur-lex.europa.eu</w:t>
        </w:r>
      </w:hyperlink>
      <w:r>
        <w:t xml:space="preserve">. </w:t>
      </w:r>
      <w:r w:rsidRPr="009623D0">
        <w:t xml:space="preserve"> </w:t>
      </w:r>
    </w:p>
  </w:endnote>
  <w:endnote w:id="6">
    <w:p w:rsidR="00110128" w:rsidRPr="009623D0" w:rsidRDefault="00110128" w:rsidP="009623D0">
      <w:pPr>
        <w:pStyle w:val="EndnoteText"/>
        <w:jc w:val="both"/>
      </w:pPr>
      <w:r w:rsidRPr="009623D0">
        <w:rPr>
          <w:rStyle w:val="EndnoteReference"/>
        </w:rPr>
        <w:endnoteRef/>
      </w:r>
      <w:r w:rsidRPr="009623D0">
        <w:t xml:space="preserve"> Europski program za klimatske promjene </w:t>
      </w:r>
      <w:r>
        <w:t>(</w:t>
      </w:r>
      <w:r w:rsidRPr="009623D0">
        <w:t>European Climate Change Programme</w:t>
      </w:r>
      <w:r>
        <w:t xml:space="preserve"> – </w:t>
      </w:r>
      <w:r w:rsidRPr="009623D0">
        <w:t xml:space="preserve">ECCP) </w:t>
      </w:r>
      <w:r>
        <w:t>glavni je instrument Komisije za raspravljanje i pripremu daljnjeg razvoja klimatske politike</w:t>
      </w:r>
      <w:r w:rsidRPr="009623D0">
        <w:t xml:space="preserve"> EU</w:t>
      </w:r>
      <w:r>
        <w:t>-a</w:t>
      </w:r>
      <w:r w:rsidRPr="009623D0">
        <w:t xml:space="preserve">. </w:t>
      </w:r>
      <w:r>
        <w:t xml:space="preserve">Druga faza </w:t>
      </w:r>
      <w:r w:rsidRPr="009623D0">
        <w:t>ECCP</w:t>
      </w:r>
      <w:r>
        <w:t xml:space="preserve">-a pokrenuta je </w:t>
      </w:r>
      <w:r w:rsidRPr="009623D0">
        <w:t>24</w:t>
      </w:r>
      <w:r>
        <w:t xml:space="preserve">. listopada </w:t>
      </w:r>
      <w:r w:rsidRPr="009623D0">
        <w:t>2005</w:t>
      </w:r>
      <w:r>
        <w:t>. godine</w:t>
      </w:r>
      <w:r w:rsidRPr="009623D0">
        <w:t xml:space="preserve">. ECCP II </w:t>
      </w:r>
      <w:r>
        <w:t xml:space="preserve">sastoji se od nekoliko radnih skupina, uključujući i rad na Sustavu trgovanja emisijama </w:t>
      </w:r>
      <w:r w:rsidRPr="009623D0">
        <w:t>EU</w:t>
      </w:r>
      <w:r>
        <w:t xml:space="preserve">-a </w:t>
      </w:r>
      <w:r w:rsidRPr="009623D0">
        <w:t>(ETS).</w:t>
      </w:r>
    </w:p>
  </w:endnote>
  <w:endnote w:id="7">
    <w:p w:rsidR="00110128" w:rsidRDefault="00110128" w:rsidP="008C1046">
      <w:pPr>
        <w:pStyle w:val="EndnoteText"/>
        <w:jc w:val="both"/>
      </w:pPr>
      <w:r w:rsidRPr="009623D0">
        <w:rPr>
          <w:rStyle w:val="EndnoteReference"/>
        </w:rPr>
        <w:endnoteRef/>
      </w:r>
      <w:r w:rsidRPr="009623D0">
        <w:t xml:space="preserve"> </w:t>
      </w:r>
      <w:r>
        <w:t xml:space="preserve">U ožujku 2003. godine Europska komisija usvojila je Strategiju za klimatske promjene u kontekstu razvojne suradnje nakon koje su u studenom 2004. godine države članice EU-a usvojile Akcijski plan. Cilj Akcijskog plana pomoći je partnerskim zemljama EU-a pri savladavanju izazova koje pred njih stavljaju klimatske promjene, poglavito kroz pomoć pri provođenju Protokola iz Kyota UNFCCC. Akcijski plan EU-a ima četiri strateška prioriteta: </w:t>
      </w:r>
    </w:p>
    <w:p w:rsidR="00110128" w:rsidRDefault="00110128" w:rsidP="008C1046">
      <w:pPr>
        <w:pStyle w:val="EndnoteText"/>
        <w:jc w:val="both"/>
      </w:pPr>
      <w:r>
        <w:t xml:space="preserve">• unapređenje profila politike za klimatske promjene  </w:t>
      </w:r>
    </w:p>
    <w:p w:rsidR="00110128" w:rsidRDefault="00110128" w:rsidP="008C1046">
      <w:pPr>
        <w:pStyle w:val="EndnoteText"/>
        <w:jc w:val="both"/>
      </w:pPr>
      <w:r>
        <w:t xml:space="preserve">• potpora prilagodbi u partnerskim zemljama EU-a </w:t>
      </w:r>
    </w:p>
    <w:p w:rsidR="00110128" w:rsidRDefault="00110128" w:rsidP="008C1046">
      <w:pPr>
        <w:pStyle w:val="EndnoteText"/>
        <w:jc w:val="both"/>
      </w:pPr>
      <w:r>
        <w:t xml:space="preserve">• potpora ublažavanju i smanjenju razvojnih smjerova stakleničkih plinova u partnerskim zemljama EU-a </w:t>
      </w:r>
    </w:p>
    <w:p w:rsidR="00110128" w:rsidRPr="009623D0" w:rsidRDefault="00110128" w:rsidP="008C1046">
      <w:pPr>
        <w:pStyle w:val="EndnoteText"/>
        <w:jc w:val="both"/>
      </w:pPr>
      <w:r>
        <w:t>• razvoj kapaciteta.</w:t>
      </w:r>
    </w:p>
  </w:endnote>
  <w:endnote w:id="8">
    <w:p w:rsidR="00110128" w:rsidRPr="009623D0" w:rsidRDefault="00110128" w:rsidP="009623D0">
      <w:pPr>
        <w:pStyle w:val="EndnoteText"/>
        <w:jc w:val="both"/>
      </w:pPr>
      <w:r w:rsidRPr="009623D0">
        <w:rPr>
          <w:rStyle w:val="EndnoteReference"/>
        </w:rPr>
        <w:endnoteRef/>
      </w:r>
      <w:r w:rsidRPr="009623D0">
        <w:t xml:space="preserve"> </w:t>
      </w:r>
      <w:r>
        <w:t>Osam milenijskih razvojnih ciljeva Ujedinjenih naroda (</w:t>
      </w:r>
      <w:r w:rsidRPr="00DD1FBD">
        <w:t>MDGs</w:t>
      </w:r>
      <w:r>
        <w:t xml:space="preserve">) </w:t>
      </w:r>
      <w:r w:rsidRPr="00DD1FBD">
        <w:t xml:space="preserve">– </w:t>
      </w:r>
      <w:r>
        <w:t xml:space="preserve">od smanjivanja ekstremnog siromaštva na polovicu do zaustavljanja širenja </w:t>
      </w:r>
      <w:r w:rsidRPr="00DD1FBD">
        <w:t>HIV</w:t>
      </w:r>
      <w:r>
        <w:t>-a</w:t>
      </w:r>
      <w:r w:rsidRPr="00DD1FBD">
        <w:t>/AIDS</w:t>
      </w:r>
      <w:r>
        <w:t xml:space="preserve">-a te osiguranja sveobuhvatnog osnovnog obrazovanja do </w:t>
      </w:r>
      <w:r w:rsidRPr="00DD1FBD">
        <w:t>2015</w:t>
      </w:r>
      <w:r>
        <w:t xml:space="preserve">. godine </w:t>
      </w:r>
      <w:r w:rsidRPr="00DD1FBD">
        <w:t xml:space="preserve">– </w:t>
      </w:r>
      <w:r w:rsidR="000521BD">
        <w:t xml:space="preserve">koji su </w:t>
      </w:r>
      <w:r>
        <w:t>obuhvaćeni deklaracij</w:t>
      </w:r>
      <w:r w:rsidR="000521BD">
        <w:t xml:space="preserve">om </w:t>
      </w:r>
      <w:r>
        <w:t>koju su u studenom 2000. godine prihvatile sve zemlje i sve vodeće razvojne ustanove s ciljem smanjenja siromaštva u svijetu.</w:t>
      </w:r>
      <w:r w:rsidRPr="00DD1FBD">
        <w:t xml:space="preserve"> </w:t>
      </w:r>
      <w:r>
        <w:t>Vidi</w:t>
      </w:r>
      <w:r w:rsidRPr="00DD1FBD">
        <w:t xml:space="preserve"> UN</w:t>
      </w:r>
      <w:r>
        <w:t xml:space="preserve">-ovu </w:t>
      </w:r>
      <w:r w:rsidRPr="00DD1FBD">
        <w:t>web</w:t>
      </w:r>
      <w:r>
        <w:t xml:space="preserve"> </w:t>
      </w:r>
      <w:r w:rsidRPr="00DD1FBD">
        <w:t>st</w:t>
      </w:r>
      <w:r>
        <w:t xml:space="preserve">ranicu i </w:t>
      </w:r>
      <w:r w:rsidRPr="00DD1FBD">
        <w:t>Glosar</w:t>
      </w:r>
      <w:r>
        <w:t>.</w:t>
      </w:r>
    </w:p>
  </w:endnote>
  <w:endnote w:id="9">
    <w:p w:rsidR="00110128" w:rsidRPr="009623D0" w:rsidRDefault="00110128" w:rsidP="009623D0">
      <w:pPr>
        <w:pStyle w:val="EndnoteText"/>
        <w:jc w:val="both"/>
      </w:pPr>
      <w:r w:rsidRPr="009623D0">
        <w:rPr>
          <w:rStyle w:val="EndnoteReference"/>
        </w:rPr>
        <w:endnoteRef/>
      </w:r>
      <w:r w:rsidRPr="009623D0">
        <w:t xml:space="preserve"> Povelja </w:t>
      </w:r>
      <w:r>
        <w:t xml:space="preserve">Europske unije o temeljnim pravima usvojena u prosincu </w:t>
      </w:r>
      <w:r w:rsidRPr="001F1068">
        <w:t>2000</w:t>
      </w:r>
      <w:r>
        <w:t xml:space="preserve">. godine </w:t>
      </w:r>
      <w:r w:rsidRPr="001F1068">
        <w:t>(</w:t>
      </w:r>
      <w:r>
        <w:t xml:space="preserve">Službeni list </w:t>
      </w:r>
      <w:r w:rsidRPr="001F1068">
        <w:t>E</w:t>
      </w:r>
      <w:r>
        <w:t>Z</w:t>
      </w:r>
      <w:r w:rsidRPr="001F1068">
        <w:t xml:space="preserve">-OJEC 2000/C 364/01) </w:t>
      </w:r>
      <w:r w:rsidR="000521BD">
        <w:t xml:space="preserve">i </w:t>
      </w:r>
      <w:r>
        <w:t xml:space="preserve">izmijenjena u prosincu </w:t>
      </w:r>
      <w:r w:rsidRPr="001F1068">
        <w:t>2007</w:t>
      </w:r>
      <w:r>
        <w:t xml:space="preserve">. godine koja je postala sastavni dio Ugovora iz Lisabona </w:t>
      </w:r>
      <w:r w:rsidRPr="001F1068">
        <w:t xml:space="preserve">(2007) (OJEC 2007/C 303/01). </w:t>
      </w:r>
      <w:r>
        <w:t>Također vidi Glosar.</w:t>
      </w:r>
    </w:p>
  </w:endnote>
  <w:endnote w:id="10">
    <w:p w:rsidR="00110128" w:rsidRPr="009623D0" w:rsidRDefault="00110128" w:rsidP="009623D0">
      <w:pPr>
        <w:pStyle w:val="EndnoteText"/>
        <w:jc w:val="both"/>
      </w:pPr>
      <w:r w:rsidRPr="009623D0">
        <w:rPr>
          <w:rStyle w:val="EndnoteReference"/>
        </w:rPr>
        <w:endnoteRef/>
      </w:r>
      <w:r w:rsidRPr="009623D0">
        <w:t xml:space="preserve"> </w:t>
      </w:r>
      <w:r w:rsidRPr="00DD1FBD">
        <w:t xml:space="preserve">EIB, </w:t>
      </w:r>
      <w:r w:rsidR="000521BD">
        <w:t xml:space="preserve">U pravcu </w:t>
      </w:r>
      <w:r>
        <w:t>nov</w:t>
      </w:r>
      <w:r w:rsidR="000521BD">
        <w:t>e</w:t>
      </w:r>
      <w:r>
        <w:t xml:space="preserve"> EIB-ov</w:t>
      </w:r>
      <w:r w:rsidR="000521BD">
        <w:t>e</w:t>
      </w:r>
      <w:r>
        <w:t xml:space="preserve"> strategij</w:t>
      </w:r>
      <w:r w:rsidR="000521BD">
        <w:t>e</w:t>
      </w:r>
      <w:r w:rsidRPr="00DD1FBD">
        <w:t xml:space="preserve">, </w:t>
      </w:r>
      <w:r>
        <w:t xml:space="preserve">lipanj </w:t>
      </w:r>
      <w:r w:rsidRPr="00DD1FBD">
        <w:t xml:space="preserve">2005. </w:t>
      </w:r>
      <w:r>
        <w:t xml:space="preserve">Vidi </w:t>
      </w:r>
      <w:r w:rsidRPr="00DD1FBD">
        <w:t>EIB</w:t>
      </w:r>
      <w:r>
        <w:t xml:space="preserve">-ove </w:t>
      </w:r>
      <w:r w:rsidRPr="00DD1FBD">
        <w:t>web</w:t>
      </w:r>
      <w:r>
        <w:t xml:space="preserve"> </w:t>
      </w:r>
      <w:r w:rsidRPr="00DD1FBD">
        <w:t>st</w:t>
      </w:r>
      <w:r>
        <w:t>ranice.</w:t>
      </w:r>
    </w:p>
  </w:endnote>
  <w:endnote w:id="11">
    <w:p w:rsidR="00110128" w:rsidRPr="009623D0" w:rsidRDefault="00110128" w:rsidP="009623D0">
      <w:pPr>
        <w:pStyle w:val="EndnoteText"/>
        <w:jc w:val="both"/>
      </w:pPr>
      <w:r w:rsidRPr="009623D0">
        <w:rPr>
          <w:rStyle w:val="EndnoteReference"/>
        </w:rPr>
        <w:endnoteRef/>
      </w:r>
      <w:r w:rsidRPr="009623D0">
        <w:t xml:space="preserve"> </w:t>
      </w:r>
      <w:r>
        <w:t xml:space="preserve">EIB, </w:t>
      </w:r>
      <w:r w:rsidRPr="009623D0">
        <w:t>Izjava o korporativnoj društvenoj odgovornosti</w:t>
      </w:r>
      <w:r w:rsidRPr="006F6C39">
        <w:t xml:space="preserve">, </w:t>
      </w:r>
      <w:r>
        <w:t xml:space="preserve">lipanj </w:t>
      </w:r>
      <w:r w:rsidRPr="006F6C39">
        <w:t xml:space="preserve">2005. </w:t>
      </w:r>
      <w:r>
        <w:t xml:space="preserve">Vidi </w:t>
      </w:r>
      <w:r w:rsidRPr="006F6C39">
        <w:t>EIB</w:t>
      </w:r>
      <w:r>
        <w:t xml:space="preserve">-ove </w:t>
      </w:r>
      <w:r w:rsidRPr="006F6C39">
        <w:t>web</w:t>
      </w:r>
      <w:r>
        <w:t xml:space="preserve"> </w:t>
      </w:r>
      <w:r w:rsidRPr="006F6C39">
        <w:t>st</w:t>
      </w:r>
      <w:r>
        <w:t>ranice.</w:t>
      </w:r>
    </w:p>
  </w:endnote>
  <w:endnote w:id="12">
    <w:p w:rsidR="00110128" w:rsidRPr="009623D0" w:rsidRDefault="00110128" w:rsidP="009623D0">
      <w:pPr>
        <w:pStyle w:val="EndnoteText"/>
        <w:jc w:val="both"/>
      </w:pPr>
      <w:r w:rsidRPr="009623D0">
        <w:rPr>
          <w:rStyle w:val="EndnoteReference"/>
        </w:rPr>
        <w:endnoteRef/>
      </w:r>
      <w:r>
        <w:t xml:space="preserve"> Konsolidirajući i razvijajući svoje prethodno poslovanje</w:t>
      </w:r>
      <w:r w:rsidRPr="00954600">
        <w:t xml:space="preserve">, </w:t>
      </w:r>
      <w:r>
        <w:t xml:space="preserve">EIB je </w:t>
      </w:r>
      <w:r w:rsidRPr="00954600">
        <w:t>2007</w:t>
      </w:r>
      <w:r>
        <w:t xml:space="preserve">. godine objavio svoj </w:t>
      </w:r>
      <w:r w:rsidRPr="008B4860">
        <w:t xml:space="preserve">Priručnik o ekološkim i socijalnim praksama </w:t>
      </w:r>
      <w:r w:rsidRPr="00954600">
        <w:t>(</w:t>
      </w:r>
      <w:r>
        <w:t>„Priručnik“</w:t>
      </w:r>
      <w:r w:rsidRPr="00954600">
        <w:t>)</w:t>
      </w:r>
      <w:r>
        <w:t xml:space="preserve"> u kojem opisuje način na koji Banka u svom svakodnevnom poslovanju tijekom cjelokupnog projektnog ciklusa pristupa okolišnim i socijalnim pitanjima kako bi osigurala integriranje okolišnih i socijalnih zahtjeva u sve projekte koje financira</w:t>
      </w:r>
      <w:r w:rsidRPr="00954600">
        <w:t xml:space="preserve">. </w:t>
      </w:r>
      <w:r>
        <w:t xml:space="preserve">Priručnik sadržava smjernice za potrebne mjere, vremensko planiranje i odgovornosti. Vidi EIB-ove web stranice. </w:t>
      </w:r>
    </w:p>
  </w:endnote>
  <w:endnote w:id="13">
    <w:p w:rsidR="00110128" w:rsidRPr="009623D0" w:rsidRDefault="00110128" w:rsidP="009623D0">
      <w:pPr>
        <w:pStyle w:val="EndnoteText"/>
        <w:jc w:val="both"/>
      </w:pPr>
      <w:r w:rsidRPr="009623D0">
        <w:rPr>
          <w:rStyle w:val="EndnoteReference"/>
        </w:rPr>
        <w:endnoteRef/>
      </w:r>
      <w:r w:rsidRPr="009623D0">
        <w:t xml:space="preserve"> </w:t>
      </w:r>
      <w:r>
        <w:t xml:space="preserve">EIB, </w:t>
      </w:r>
      <w:r w:rsidRPr="009623D0">
        <w:t>Politika javnog objavljivanja</w:t>
      </w:r>
      <w:r>
        <w:t>, srpanj 2017. godine. Vidi EIB-ove web stranice ili Pojmovnik.</w:t>
      </w:r>
    </w:p>
  </w:endnote>
  <w:endnote w:id="14">
    <w:p w:rsidR="00110128" w:rsidRPr="009623D0" w:rsidRDefault="00110128" w:rsidP="009623D0">
      <w:pPr>
        <w:pStyle w:val="EndnoteText"/>
        <w:jc w:val="both"/>
      </w:pPr>
      <w:r w:rsidRPr="009623D0">
        <w:rPr>
          <w:rStyle w:val="EndnoteReference"/>
        </w:rPr>
        <w:endnoteRef/>
      </w:r>
      <w:r w:rsidRPr="009623D0">
        <w:t xml:space="preserve"> </w:t>
      </w:r>
      <w:r w:rsidRPr="008029E2">
        <w:t>Ini</w:t>
      </w:r>
      <w:r>
        <w:t>cijativa koja obuhvaća pet multilateralnih financijskih institucija sa sjedištem u Europi</w:t>
      </w:r>
      <w:r w:rsidRPr="008029E2">
        <w:t xml:space="preserve"> (</w:t>
      </w:r>
      <w:r>
        <w:t xml:space="preserve">Razvojna banka Vijeća Europe, </w:t>
      </w:r>
      <w:r w:rsidRPr="008029E2">
        <w:t>Europ</w:t>
      </w:r>
      <w:r>
        <w:t>ska banka za obnovu i razvoj</w:t>
      </w:r>
      <w:r w:rsidRPr="008029E2">
        <w:t>, Europ</w:t>
      </w:r>
      <w:r>
        <w:t>ska i</w:t>
      </w:r>
      <w:r w:rsidRPr="008029E2">
        <w:t>nvest</w:t>
      </w:r>
      <w:r>
        <w:t>icijska b</w:t>
      </w:r>
      <w:r w:rsidRPr="008029E2">
        <w:t>ank</w:t>
      </w:r>
      <w:r>
        <w:t>a</w:t>
      </w:r>
      <w:r w:rsidRPr="008029E2">
        <w:t>, Nord</w:t>
      </w:r>
      <w:r>
        <w:t xml:space="preserve">ijska korporacija za financiranje okoliša i Nordijska investicijska banka). Cilj </w:t>
      </w:r>
      <w:r w:rsidRPr="00A842FE">
        <w:t>EPE</w:t>
      </w:r>
      <w:r>
        <w:t>-a (Europska načela za okoliš) osigurati je okolišnu zaštitu i promovirati održivi razvoj na globalnoj razini. Vidi web stranicu posvećenu EPE-u u okviru EIB-ovih web stranica ili vidi Glosar.</w:t>
      </w:r>
    </w:p>
  </w:endnote>
  <w:endnote w:id="15">
    <w:p w:rsidR="00110128" w:rsidRPr="009623D0" w:rsidRDefault="00110128" w:rsidP="009623D0">
      <w:pPr>
        <w:pStyle w:val="EndnoteText"/>
        <w:jc w:val="both"/>
      </w:pPr>
      <w:r w:rsidRPr="009623D0">
        <w:rPr>
          <w:rStyle w:val="EndnoteReference"/>
        </w:rPr>
        <w:endnoteRef/>
      </w:r>
      <w:r w:rsidRPr="009623D0">
        <w:t xml:space="preserve"> </w:t>
      </w:r>
      <w:r>
        <w:t xml:space="preserve">Krajem </w:t>
      </w:r>
      <w:r w:rsidRPr="00A842FE">
        <w:t>2007</w:t>
      </w:r>
      <w:r>
        <w:t xml:space="preserve">. godine, banke </w:t>
      </w:r>
      <w:r w:rsidRPr="00A842FE">
        <w:t>EPE</w:t>
      </w:r>
      <w:r>
        <w:t xml:space="preserve">-a pokrenule su studiju radi objedinjavanja relevantnog okolišnog zakonodavstva, postupaka i standarda </w:t>
      </w:r>
      <w:r w:rsidRPr="00A842FE">
        <w:t>EU</w:t>
      </w:r>
      <w:r>
        <w:t>-a u</w:t>
      </w:r>
      <w:r w:rsidR="00BB6A7F">
        <w:t xml:space="preserve"> jednom</w:t>
      </w:r>
      <w:r>
        <w:t xml:space="preserve"> priručniku koji bi mogli koristiti i njihovi klijenti.</w:t>
      </w:r>
    </w:p>
  </w:endnote>
  <w:endnote w:id="16">
    <w:p w:rsidR="00110128" w:rsidRPr="009623D0" w:rsidRDefault="00110128" w:rsidP="009623D0">
      <w:pPr>
        <w:pStyle w:val="EndnoteText"/>
        <w:jc w:val="both"/>
      </w:pPr>
      <w:r w:rsidRPr="009623D0">
        <w:rPr>
          <w:rStyle w:val="EndnoteReference"/>
        </w:rPr>
        <w:endnoteRef/>
      </w:r>
      <w:r w:rsidRPr="009623D0">
        <w:t xml:space="preserve"> </w:t>
      </w:r>
      <w:r>
        <w:t xml:space="preserve">U lipnju 2006. godine Europsko vijeće usvojilo je ambicioznu i sveobuhvatnu revidiranu </w:t>
      </w:r>
      <w:r w:rsidRPr="009623D0">
        <w:t>Strategij</w:t>
      </w:r>
      <w:r>
        <w:t>u</w:t>
      </w:r>
      <w:r w:rsidRPr="009623D0">
        <w:t xml:space="preserve"> održivog razvoja </w:t>
      </w:r>
      <w:r>
        <w:t xml:space="preserve">proširene </w:t>
      </w:r>
      <w:r w:rsidRPr="009623D0">
        <w:t>E</w:t>
      </w:r>
      <w:r>
        <w:t>uropske unije</w:t>
      </w:r>
      <w:r w:rsidRPr="00A842FE">
        <w:t xml:space="preserve"> (DOC 10917/06). </w:t>
      </w:r>
      <w:r>
        <w:t xml:space="preserve">Nastavlja se </w:t>
      </w:r>
      <w:r w:rsidR="00BB6A7F">
        <w:t xml:space="preserve">na </w:t>
      </w:r>
      <w:r>
        <w:t xml:space="preserve">strategiju usvojenu 2001. godinu u </w:t>
      </w:r>
      <w:r w:rsidRPr="00A842FE">
        <w:t>Gothenburg</w:t>
      </w:r>
      <w:r>
        <w:t>u</w:t>
      </w:r>
      <w:r w:rsidRPr="00A842FE">
        <w:t xml:space="preserve"> (COM 2001 264 Final)</w:t>
      </w:r>
      <w:r>
        <w:t xml:space="preserve"> i rezultat je sveobuhvatnog postupka revizije koji je započeo </w:t>
      </w:r>
      <w:r w:rsidRPr="00A842FE">
        <w:t>2004</w:t>
      </w:r>
      <w:r>
        <w:t>. godine.</w:t>
      </w:r>
    </w:p>
  </w:endnote>
  <w:endnote w:id="17">
    <w:p w:rsidR="00110128" w:rsidRPr="009623D0" w:rsidRDefault="00110128" w:rsidP="009623D0">
      <w:pPr>
        <w:pStyle w:val="EndnoteText"/>
        <w:jc w:val="both"/>
      </w:pPr>
      <w:r w:rsidRPr="009623D0">
        <w:rPr>
          <w:rStyle w:val="EndnoteReference"/>
        </w:rPr>
        <w:endnoteRef/>
      </w:r>
      <w:r w:rsidRPr="009623D0">
        <w:t xml:space="preserve"> Sporazum iz Cotonoua</w:t>
      </w:r>
      <w:r>
        <w:t xml:space="preserve"> ugovor je između  </w:t>
      </w:r>
      <w:r w:rsidRPr="00A842FE">
        <w:t>Europ</w:t>
      </w:r>
      <w:r>
        <w:t>sk</w:t>
      </w:r>
      <w:r w:rsidRPr="00A842FE">
        <w:t>e</w:t>
      </w:r>
      <w:r>
        <w:t xml:space="preserve"> unije i skupine afričkih, karipskih i pacifičkih država </w:t>
      </w:r>
      <w:r w:rsidRPr="00A842FE">
        <w:t>(</w:t>
      </w:r>
      <w:r>
        <w:t xml:space="preserve">zemlje </w:t>
      </w:r>
      <w:r w:rsidRPr="00A842FE">
        <w:t>ACP</w:t>
      </w:r>
      <w:r>
        <w:t>-a</w:t>
      </w:r>
      <w:r w:rsidRPr="00A842FE">
        <w:t xml:space="preserve">). </w:t>
      </w:r>
      <w:r>
        <w:t xml:space="preserve">Usmjeren je na smanjenje i eventualno iskorjenjivanje siromaštva uz istovremeno jačanje održivog razvoja i postupno integriranje zemalja </w:t>
      </w:r>
      <w:r w:rsidRPr="00A842FE">
        <w:t>ACP</w:t>
      </w:r>
      <w:r>
        <w:t xml:space="preserve">-a u svjetsko gospodarstvo. Revidirani Sporazum iz </w:t>
      </w:r>
      <w:r w:rsidRPr="00A842FE">
        <w:t>Cotonou</w:t>
      </w:r>
      <w:r>
        <w:t>a bavi se i suzbijanjem nekažnjavanja te promocijom kaznenog pravosuđa putem Međunarodnog kaznenog suda.</w:t>
      </w:r>
    </w:p>
  </w:endnote>
  <w:endnote w:id="18">
    <w:p w:rsidR="00110128" w:rsidRPr="009623D0" w:rsidRDefault="00110128" w:rsidP="009623D0">
      <w:pPr>
        <w:pStyle w:val="EndnoteText"/>
        <w:jc w:val="both"/>
      </w:pPr>
      <w:r w:rsidRPr="009623D0">
        <w:rPr>
          <w:rStyle w:val="EndnoteReference"/>
        </w:rPr>
        <w:endnoteRef/>
      </w:r>
      <w:r w:rsidRPr="009623D0">
        <w:t xml:space="preserve"> Europski konsenzus o razvoju</w:t>
      </w:r>
      <w:r>
        <w:t xml:space="preserve"> </w:t>
      </w:r>
      <w:r w:rsidRPr="008551CA">
        <w:t>(OJC 46 o</w:t>
      </w:r>
      <w:r>
        <w:t>d</w:t>
      </w:r>
      <w:r w:rsidRPr="008551CA">
        <w:t xml:space="preserve"> 24.2.2006</w:t>
      </w:r>
      <w:r>
        <w:t>.</w:t>
      </w:r>
      <w:r w:rsidRPr="008551CA">
        <w:t xml:space="preserve">) </w:t>
      </w:r>
      <w:r>
        <w:t>zajednička je deklaracija Vijeća i zastupnika vlada država članica što se sastaju u Vijeću</w:t>
      </w:r>
      <w:r w:rsidRPr="008551CA">
        <w:t>, Europ</w:t>
      </w:r>
      <w:r>
        <w:t xml:space="preserve">skog parlamenta i Komisije o razvojnoj politici </w:t>
      </w:r>
      <w:r w:rsidRPr="008551CA">
        <w:t>Europ</w:t>
      </w:r>
      <w:r>
        <w:t>sk</w:t>
      </w:r>
      <w:r w:rsidRPr="008551CA">
        <w:t>e</w:t>
      </w:r>
      <w:r>
        <w:t xml:space="preserve"> u</w:t>
      </w:r>
      <w:r w:rsidRPr="008551CA">
        <w:t>ni</w:t>
      </w:r>
      <w:r>
        <w:t>je.</w:t>
      </w:r>
    </w:p>
  </w:endnote>
  <w:endnote w:id="19">
    <w:p w:rsidR="00110128" w:rsidRPr="009623D0" w:rsidRDefault="00110128" w:rsidP="009623D0">
      <w:pPr>
        <w:pStyle w:val="EndnoteText"/>
        <w:jc w:val="both"/>
      </w:pPr>
      <w:r w:rsidRPr="009623D0">
        <w:rPr>
          <w:rStyle w:val="EndnoteReference"/>
        </w:rPr>
        <w:endnoteRef/>
      </w:r>
      <w:r w:rsidRPr="009623D0">
        <w:t xml:space="preserve"> </w:t>
      </w:r>
      <w:r>
        <w:t xml:space="preserve">Područje proširenja južne i istočne </w:t>
      </w:r>
      <w:r w:rsidRPr="00794FC5">
        <w:t xml:space="preserve">Europe </w:t>
      </w:r>
      <w:r>
        <w:t>obuhvaća</w:t>
      </w:r>
      <w:r w:rsidRPr="00794FC5">
        <w:t xml:space="preserve">: </w:t>
      </w:r>
      <w:r>
        <w:t>države kandidatkinje</w:t>
      </w:r>
      <w:r w:rsidRPr="00794FC5">
        <w:t xml:space="preserve"> (Tur</w:t>
      </w:r>
      <w:r>
        <w:t>s</w:t>
      </w:r>
      <w:r w:rsidRPr="00794FC5">
        <w:t>k</w:t>
      </w:r>
      <w:r>
        <w:t>a</w:t>
      </w:r>
      <w:r w:rsidRPr="00794FC5">
        <w:t xml:space="preserve">, </w:t>
      </w:r>
      <w:r>
        <w:t xml:space="preserve">Hrvatska i Bivša Jugoslavenska </w:t>
      </w:r>
      <w:r w:rsidRPr="00794FC5">
        <w:t>Republi</w:t>
      </w:r>
      <w:r>
        <w:t>ka</w:t>
      </w:r>
      <w:r w:rsidRPr="00794FC5">
        <w:t xml:space="preserve"> Ma</w:t>
      </w:r>
      <w:r>
        <w:t>k</w:t>
      </w:r>
      <w:r w:rsidRPr="00794FC5">
        <w:t>edoni</w:t>
      </w:r>
      <w:r>
        <w:t>j</w:t>
      </w:r>
      <w:r w:rsidRPr="00794FC5">
        <w:t>a)</w:t>
      </w:r>
      <w:r>
        <w:t xml:space="preserve"> i potencijalne države kandidatkinje </w:t>
      </w:r>
      <w:r w:rsidRPr="00794FC5">
        <w:t>(Albani</w:t>
      </w:r>
      <w:r>
        <w:t>j</w:t>
      </w:r>
      <w:r w:rsidRPr="00794FC5">
        <w:t>a</w:t>
      </w:r>
      <w:r>
        <w:t>,</w:t>
      </w:r>
      <w:r w:rsidRPr="00794FC5">
        <w:t xml:space="preserve"> Bosna</w:t>
      </w:r>
      <w:r>
        <w:t xml:space="preserve"> i </w:t>
      </w:r>
      <w:r w:rsidRPr="00794FC5">
        <w:t>Her</w:t>
      </w:r>
      <w:r>
        <w:t>c</w:t>
      </w:r>
      <w:r w:rsidRPr="00794FC5">
        <w:t>egovina, Kosovo, Srbi</w:t>
      </w:r>
      <w:r>
        <w:t>j</w:t>
      </w:r>
      <w:r w:rsidRPr="00794FC5">
        <w:t xml:space="preserve">a </w:t>
      </w:r>
      <w:r>
        <w:t>i Crna Gora</w:t>
      </w:r>
      <w:r w:rsidRPr="00794FC5">
        <w:t xml:space="preserve">). </w:t>
      </w:r>
      <w:r>
        <w:t>Vidi</w:t>
      </w:r>
      <w:r w:rsidRPr="00794FC5">
        <w:t xml:space="preserve"> </w:t>
      </w:r>
      <w:r>
        <w:t>u Glosaru „</w:t>
      </w:r>
      <w:r w:rsidR="00BB6A7F">
        <w:t>Z</w:t>
      </w:r>
      <w:r>
        <w:t>emlje u kojima posluje“ ili EIB-ove web stranice.</w:t>
      </w:r>
    </w:p>
  </w:endnote>
  <w:endnote w:id="20">
    <w:p w:rsidR="00110128" w:rsidRPr="009623D0" w:rsidRDefault="00110128" w:rsidP="009623D0">
      <w:pPr>
        <w:pStyle w:val="EndnoteText"/>
        <w:jc w:val="both"/>
      </w:pPr>
      <w:r w:rsidRPr="009623D0">
        <w:rPr>
          <w:rStyle w:val="EndnoteReference"/>
        </w:rPr>
        <w:endnoteRef/>
      </w:r>
      <w:r w:rsidRPr="009623D0">
        <w:t xml:space="preserve"> </w:t>
      </w:r>
      <w:r>
        <w:t xml:space="preserve">EIB-ovi </w:t>
      </w:r>
      <w:r w:rsidRPr="009623D0">
        <w:t>Izvještaji o korporativnoj odgovornosti</w:t>
      </w:r>
      <w:r>
        <w:t xml:space="preserve"> iz 2005. i 2006. Vidi EIB-ove web stranice.</w:t>
      </w:r>
    </w:p>
  </w:endnote>
  <w:endnote w:id="21">
    <w:p w:rsidR="00110128" w:rsidRPr="009623D0" w:rsidRDefault="00110128" w:rsidP="009623D0">
      <w:pPr>
        <w:pStyle w:val="EndnoteText"/>
        <w:jc w:val="both"/>
      </w:pPr>
      <w:r w:rsidRPr="009623D0">
        <w:rPr>
          <w:rStyle w:val="EndnoteReference"/>
        </w:rPr>
        <w:endnoteRef/>
      </w:r>
      <w:r w:rsidRPr="009623D0">
        <w:t xml:space="preserve"> </w:t>
      </w:r>
      <w:r>
        <w:t xml:space="preserve">Primjer je Pariška deklaracija koju je </w:t>
      </w:r>
      <w:r w:rsidRPr="00794FC5">
        <w:t>EIB</w:t>
      </w:r>
      <w:r>
        <w:t xml:space="preserve"> potpisao</w:t>
      </w:r>
      <w:r w:rsidRPr="00794FC5">
        <w:t>. Par</w:t>
      </w:r>
      <w:r>
        <w:t>iška d</w:t>
      </w:r>
      <w:r w:rsidRPr="00794FC5">
        <w:t>e</w:t>
      </w:r>
      <w:r>
        <w:t>k</w:t>
      </w:r>
      <w:r w:rsidRPr="00794FC5">
        <w:t>lara</w:t>
      </w:r>
      <w:r>
        <w:t xml:space="preserve">cija, odobrena </w:t>
      </w:r>
      <w:r w:rsidRPr="00794FC5">
        <w:t>2</w:t>
      </w:r>
      <w:r>
        <w:t xml:space="preserve">. ožujka </w:t>
      </w:r>
      <w:r w:rsidRPr="00794FC5">
        <w:t>2005</w:t>
      </w:r>
      <w:r>
        <w:t>.</w:t>
      </w:r>
      <w:r w:rsidRPr="00794FC5">
        <w:t xml:space="preserve">, </w:t>
      </w:r>
      <w:r>
        <w:t>međunarodni je sporazum koj</w:t>
      </w:r>
      <w:r w:rsidR="00BB6A7F">
        <w:t>i</w:t>
      </w:r>
      <w:r>
        <w:t xml:space="preserve"> je više od jedne stotine ministara, šefova agencija i ostalih viših dužnosnika prihvatilo i obvezalo svoje države ili organizacije na nastavak jačanja napora usmjerenih na usklađivanje, povezivanje i upravljanje potporama </w:t>
      </w:r>
      <w:r w:rsidR="00BB6A7F">
        <w:t xml:space="preserve">putem </w:t>
      </w:r>
      <w:r>
        <w:t>set</w:t>
      </w:r>
      <w:r w:rsidR="00BB6A7F">
        <w:t>a</w:t>
      </w:r>
      <w:r>
        <w:t xml:space="preserve"> aktivnosti i pokazatelja za praćenje rezultata.</w:t>
      </w:r>
    </w:p>
  </w:endnote>
  <w:endnote w:id="22">
    <w:p w:rsidR="00110128" w:rsidRPr="009623D0" w:rsidRDefault="00110128" w:rsidP="009623D0">
      <w:pPr>
        <w:pStyle w:val="EndnoteText"/>
        <w:jc w:val="both"/>
      </w:pPr>
      <w:r w:rsidRPr="009623D0">
        <w:rPr>
          <w:rStyle w:val="EndnoteReference"/>
        </w:rPr>
        <w:endnoteRef/>
      </w:r>
      <w:r w:rsidRPr="009623D0">
        <w:t xml:space="preserve"> Equator načela ili politike zaštite Svjetske banke</w:t>
      </w:r>
      <w:r>
        <w:t xml:space="preserve"> </w:t>
      </w:r>
      <w:r w:rsidRPr="009F59B6">
        <w:t>(2006</w:t>
      </w:r>
      <w:r>
        <w:t>.</w:t>
      </w:r>
      <w:r w:rsidRPr="009F59B6">
        <w:t xml:space="preserve">) </w:t>
      </w:r>
      <w:r>
        <w:t>predstavljaju standard financijske industrije za utvrđivanje, ocjenu i upravljanje socijalnim i okolišnim rizicima kod projektnog financiranja</w:t>
      </w:r>
      <w:r w:rsidRPr="009F59B6">
        <w:t xml:space="preserve">. </w:t>
      </w:r>
      <w:r>
        <w:t xml:space="preserve">Vidi web stranice Međunarodne financijske korporacije i </w:t>
      </w:r>
      <w:r w:rsidRPr="009F59B6">
        <w:t xml:space="preserve">Equator </w:t>
      </w:r>
      <w:r>
        <w:t>načela</w:t>
      </w:r>
      <w:r w:rsidRPr="009F59B6">
        <w:t xml:space="preserve">. </w:t>
      </w:r>
      <w:r>
        <w:t xml:space="preserve">Također vidi </w:t>
      </w:r>
      <w:r w:rsidRPr="009F59B6">
        <w:t>Glosar</w:t>
      </w:r>
      <w:r>
        <w:t>.</w:t>
      </w:r>
    </w:p>
  </w:endnote>
  <w:endnote w:id="23">
    <w:p w:rsidR="00110128" w:rsidRPr="009623D0" w:rsidRDefault="00110128" w:rsidP="009623D0">
      <w:pPr>
        <w:pStyle w:val="EndnoteText"/>
        <w:jc w:val="both"/>
      </w:pPr>
      <w:r w:rsidRPr="009623D0">
        <w:rPr>
          <w:rStyle w:val="EndnoteReference"/>
        </w:rPr>
        <w:endnoteRef/>
      </w:r>
      <w:r w:rsidRPr="009623D0">
        <w:t xml:space="preserve"> COP </w:t>
      </w:r>
      <w:r w:rsidRPr="009F59B6">
        <w:t>2008</w:t>
      </w:r>
      <w:r>
        <w:t>.</w:t>
      </w:r>
      <w:r w:rsidRPr="009F59B6">
        <w:t>-2010</w:t>
      </w:r>
      <w:r>
        <w:t>.</w:t>
      </w:r>
      <w:r w:rsidRPr="009F59B6">
        <w:t xml:space="preserve">, </w:t>
      </w:r>
      <w:r>
        <w:t>općeniti cilj svih EIB-ovih aktivnosti kreditiranja na području zaštite okoliša i održivih zajednica je</w:t>
      </w:r>
      <w:r w:rsidRPr="009F59B6">
        <w:t xml:space="preserve"> 25-30% </w:t>
      </w:r>
      <w:r>
        <w:t>ukupnih potpisivanja</w:t>
      </w:r>
      <w:r w:rsidRPr="009F59B6">
        <w:t xml:space="preserve">. </w:t>
      </w:r>
      <w:r>
        <w:t xml:space="preserve">Za početno trogodišnje razdoblje </w:t>
      </w:r>
      <w:r w:rsidRPr="009F59B6">
        <w:t>2008</w:t>
      </w:r>
      <w:r>
        <w:t>.</w:t>
      </w:r>
      <w:r w:rsidRPr="009F59B6">
        <w:t>-2010</w:t>
      </w:r>
      <w:r>
        <w:t>.</w:t>
      </w:r>
      <w:r w:rsidRPr="009F59B6">
        <w:t xml:space="preserve">, </w:t>
      </w:r>
      <w:r>
        <w:t xml:space="preserve">djelomični cilj od </w:t>
      </w:r>
      <w:r w:rsidRPr="009F59B6">
        <w:t>10-12% (o</w:t>
      </w:r>
      <w:r>
        <w:t>d ukupnih aktivnosti</w:t>
      </w:r>
      <w:r w:rsidRPr="009F59B6">
        <w:t>)</w:t>
      </w:r>
      <w:r>
        <w:t xml:space="preserve"> utvrđen je za prirodni okoliš.</w:t>
      </w:r>
    </w:p>
  </w:endnote>
  <w:endnote w:id="24">
    <w:p w:rsidR="00110128" w:rsidRPr="009623D0" w:rsidRDefault="00110128" w:rsidP="009623D0">
      <w:pPr>
        <w:pStyle w:val="EndnoteText"/>
        <w:jc w:val="both"/>
      </w:pPr>
      <w:r w:rsidRPr="009623D0">
        <w:rPr>
          <w:rStyle w:val="EndnoteReference"/>
        </w:rPr>
        <w:endnoteRef/>
      </w:r>
      <w:r w:rsidRPr="009623D0">
        <w:t xml:space="preserve"> </w:t>
      </w:r>
      <w:r>
        <w:t xml:space="preserve">Vidi </w:t>
      </w:r>
      <w:r w:rsidRPr="009623D0">
        <w:t>Direktiv</w:t>
      </w:r>
      <w:r>
        <w:t>u</w:t>
      </w:r>
      <w:r w:rsidRPr="009623D0">
        <w:t xml:space="preserve"> o procjeni utjecaja na okoliš</w:t>
      </w:r>
      <w:r>
        <w:t xml:space="preserve"> (</w:t>
      </w:r>
      <w:r w:rsidRPr="006B7A9E">
        <w:t>EIA Dire</w:t>
      </w:r>
      <w:r>
        <w:t>k</w:t>
      </w:r>
      <w:r w:rsidRPr="006B7A9E">
        <w:t>tiv</w:t>
      </w:r>
      <w:r>
        <w:t>a</w:t>
      </w:r>
      <w:r w:rsidRPr="006B7A9E">
        <w:t xml:space="preserve"> 85/337/EE</w:t>
      </w:r>
      <w:r>
        <w:t>Z</w:t>
      </w:r>
      <w:r w:rsidRPr="006B7A9E">
        <w:t xml:space="preserve"> </w:t>
      </w:r>
      <w:r>
        <w:t xml:space="preserve">o </w:t>
      </w:r>
      <w:r w:rsidRPr="006B7A9E">
        <w:t>procjeni utjecaja određenih javnih i privatnih projekata na okoliš</w:t>
      </w:r>
      <w:r>
        <w:t xml:space="preserve"> izmijenjena </w:t>
      </w:r>
      <w:r w:rsidRPr="006B7A9E">
        <w:t>Dire</w:t>
      </w:r>
      <w:r>
        <w:t>k</w:t>
      </w:r>
      <w:r w:rsidRPr="006B7A9E">
        <w:t>tiv</w:t>
      </w:r>
      <w:r>
        <w:t>ama</w:t>
      </w:r>
      <w:r w:rsidRPr="006B7A9E">
        <w:t xml:space="preserve"> 97/11/E</w:t>
      </w:r>
      <w:r>
        <w:t xml:space="preserve">Z i </w:t>
      </w:r>
      <w:r w:rsidRPr="006B7A9E">
        <w:t>2003/35/E</w:t>
      </w:r>
      <w:r>
        <w:t xml:space="preserve">Z te </w:t>
      </w:r>
      <w:r w:rsidRPr="006B7A9E">
        <w:t>SEA Dire</w:t>
      </w:r>
      <w:r>
        <w:t>k</w:t>
      </w:r>
      <w:r w:rsidRPr="006B7A9E">
        <w:t>tiv</w:t>
      </w:r>
      <w:r>
        <w:t>om</w:t>
      </w:r>
      <w:r w:rsidRPr="006B7A9E">
        <w:t xml:space="preserve"> 2001/42/E</w:t>
      </w:r>
      <w:r>
        <w:t xml:space="preserve">Z </w:t>
      </w:r>
      <w:r w:rsidR="00BB6A7F">
        <w:t xml:space="preserve">o </w:t>
      </w:r>
      <w:r w:rsidRPr="006B7A9E">
        <w:t>procjeni učinaka određenih planova i programa na okoliš</w:t>
      </w:r>
      <w:r>
        <w:t>.</w:t>
      </w:r>
    </w:p>
  </w:endnote>
  <w:endnote w:id="25">
    <w:p w:rsidR="00110128" w:rsidRPr="009623D0" w:rsidRDefault="00110128" w:rsidP="009623D0">
      <w:pPr>
        <w:pStyle w:val="EndnoteText"/>
        <w:jc w:val="both"/>
      </w:pPr>
      <w:r w:rsidRPr="009623D0">
        <w:rPr>
          <w:rStyle w:val="EndnoteReference"/>
        </w:rPr>
        <w:endnoteRef/>
      </w:r>
      <w:r w:rsidRPr="009623D0">
        <w:t xml:space="preserve"> </w:t>
      </w:r>
      <w:r>
        <w:t xml:space="preserve">SEA </w:t>
      </w:r>
      <w:r w:rsidRPr="009623D0">
        <w:t>Direktiva o strateškoj okolišnoj procjeni</w:t>
      </w:r>
      <w:r>
        <w:t xml:space="preserve"> 2001/42/EZ o</w:t>
      </w:r>
      <w:r w:rsidRPr="006B7A9E">
        <w:t xml:space="preserve"> procjeni učinaka određenih planova i programa na okoliš</w:t>
      </w:r>
      <w:r>
        <w:t>.</w:t>
      </w:r>
    </w:p>
  </w:endnote>
  <w:endnote w:id="26">
    <w:p w:rsidR="00110128" w:rsidRPr="009623D0" w:rsidRDefault="00110128" w:rsidP="009623D0">
      <w:pPr>
        <w:pStyle w:val="EndnoteText"/>
        <w:jc w:val="both"/>
      </w:pPr>
      <w:r w:rsidRPr="009623D0">
        <w:rPr>
          <w:rStyle w:val="EndnoteReference"/>
        </w:rPr>
        <w:endnoteRef/>
      </w:r>
      <w:r w:rsidRPr="009623D0">
        <w:t xml:space="preserve"> </w:t>
      </w:r>
      <w:r>
        <w:t xml:space="preserve">Konvencija </w:t>
      </w:r>
      <w:r w:rsidRPr="006B7A9E">
        <w:t>Ekonomsk</w:t>
      </w:r>
      <w:r>
        <w:t>e</w:t>
      </w:r>
      <w:r w:rsidRPr="006B7A9E">
        <w:t xml:space="preserve"> komisij</w:t>
      </w:r>
      <w:r>
        <w:t>e</w:t>
      </w:r>
      <w:r w:rsidRPr="006B7A9E">
        <w:t xml:space="preserve"> Ujedinjenih naroda za Europu (UNECE) o </w:t>
      </w:r>
      <w:r>
        <w:t xml:space="preserve">procjeni utjecaja na okoliš u prekograničnom kontekstu </w:t>
      </w:r>
      <w:r w:rsidRPr="006B7A9E">
        <w:t>(Espoo, 1991</w:t>
      </w:r>
      <w:r>
        <w:t>.</w:t>
      </w:r>
      <w:r w:rsidRPr="006B7A9E">
        <w:t xml:space="preserve">) </w:t>
      </w:r>
      <w:r>
        <w:t xml:space="preserve">ili </w:t>
      </w:r>
      <w:r w:rsidRPr="006B7A9E">
        <w:t xml:space="preserve">Espoo (EIA) </w:t>
      </w:r>
      <w:r>
        <w:t>Konvencija.</w:t>
      </w:r>
    </w:p>
  </w:endnote>
  <w:endnote w:id="27">
    <w:p w:rsidR="00110128" w:rsidRPr="009623D0" w:rsidRDefault="00110128" w:rsidP="009623D0">
      <w:pPr>
        <w:pStyle w:val="EndnoteText"/>
        <w:jc w:val="both"/>
      </w:pPr>
      <w:r w:rsidRPr="009623D0">
        <w:rPr>
          <w:rStyle w:val="EndnoteReference"/>
        </w:rPr>
        <w:endnoteRef/>
      </w:r>
      <w:r w:rsidRPr="009623D0">
        <w:t xml:space="preserve"> </w:t>
      </w:r>
      <w:r>
        <w:t>Vidi fusnotu 5.</w:t>
      </w:r>
    </w:p>
  </w:endnote>
  <w:endnote w:id="28">
    <w:p w:rsidR="00110128" w:rsidRPr="009623D0" w:rsidRDefault="00110128" w:rsidP="00306F0E">
      <w:pPr>
        <w:pStyle w:val="EndnoteText"/>
        <w:jc w:val="both"/>
      </w:pPr>
      <w:r w:rsidRPr="009623D0">
        <w:rPr>
          <w:rStyle w:val="EndnoteReference"/>
        </w:rPr>
        <w:endnoteRef/>
      </w:r>
      <w:r w:rsidRPr="009623D0">
        <w:t xml:space="preserve"> D</w:t>
      </w:r>
      <w:r>
        <w:t xml:space="preserve">irektive EU-a o zaštiti prirode obuhvaćaju Direktivu o zaštiti staništa 92/43/EEZ o očuvanju prirodnih staništa i divlje faune i flore te Direktivu o zaštiti ptica iz 1979. 79/409/EEZ o očuvanju ptica. Detaljnije vidi u poglavlju „Priroda 2000.“ u Glosaru. </w:t>
      </w:r>
    </w:p>
  </w:endnote>
  <w:endnote w:id="29">
    <w:p w:rsidR="00110128" w:rsidRPr="009623D0" w:rsidRDefault="00110128" w:rsidP="00306F0E">
      <w:pPr>
        <w:pStyle w:val="EndnoteText"/>
        <w:jc w:val="both"/>
      </w:pPr>
      <w:r w:rsidRPr="009623D0">
        <w:rPr>
          <w:rStyle w:val="EndnoteReference"/>
        </w:rPr>
        <w:endnoteRef/>
      </w:r>
      <w:r w:rsidRPr="009623D0">
        <w:t xml:space="preserve"> D</w:t>
      </w:r>
      <w:r>
        <w:t>irektiva 2004/35/EZ o odgovornosti za okoliš u pogledu sprječavanja i otklanjanja štete u okolišu izmijenjena i dopunjena Direktivom 2006/21/EZ o</w:t>
      </w:r>
      <w:r w:rsidRPr="006B42D1">
        <w:t xml:space="preserve"> gospodarenju otpadom od industrija vađenja minerala</w:t>
      </w:r>
      <w:r>
        <w:t xml:space="preserve">. </w:t>
      </w:r>
    </w:p>
  </w:endnote>
  <w:endnote w:id="30">
    <w:p w:rsidR="00110128" w:rsidRPr="009623D0" w:rsidRDefault="00110128" w:rsidP="00306F0E">
      <w:pPr>
        <w:pStyle w:val="EndnoteText"/>
        <w:jc w:val="both"/>
      </w:pPr>
      <w:r w:rsidRPr="009623D0">
        <w:rPr>
          <w:rStyle w:val="EndnoteReference"/>
        </w:rPr>
        <w:endnoteRef/>
      </w:r>
      <w:r w:rsidRPr="009623D0">
        <w:t xml:space="preserve"> </w:t>
      </w:r>
      <w:r>
        <w:t xml:space="preserve">Kodificirana Direktiva 2008/1/EZ uključujući sve prethodne izmjene i dopune Direktive 96/61/EZ o </w:t>
      </w:r>
      <w:r w:rsidRPr="006B42D1">
        <w:t>integriranoj prevenciji i kontroli onečišćenja</w:t>
      </w:r>
      <w:r>
        <w:t xml:space="preserve"> (IPPC). </w:t>
      </w:r>
    </w:p>
  </w:endnote>
  <w:endnote w:id="31">
    <w:p w:rsidR="0072732B" w:rsidRPr="00843434" w:rsidRDefault="0072732B" w:rsidP="0072732B">
      <w:pPr>
        <w:pageBreakBefore/>
        <w:autoSpaceDE w:val="0"/>
        <w:autoSpaceDN w:val="0"/>
        <w:adjustRightInd w:val="0"/>
        <w:spacing w:after="0" w:line="240" w:lineRule="auto"/>
        <w:jc w:val="both"/>
        <w:rPr>
          <w:rFonts w:cs="Comic Sans MS"/>
          <w:color w:val="000000"/>
          <w:sz w:val="20"/>
          <w:szCs w:val="20"/>
        </w:rPr>
      </w:pPr>
      <w:r>
        <w:rPr>
          <w:rStyle w:val="EndnoteReference"/>
        </w:rPr>
        <w:endnoteRef/>
      </w:r>
      <w:r>
        <w:t xml:space="preserve"> </w:t>
      </w:r>
      <w:r w:rsidRPr="00843434">
        <w:rPr>
          <w:rFonts w:cs="Comic Sans MS"/>
          <w:color w:val="000000"/>
          <w:sz w:val="20"/>
          <w:szCs w:val="20"/>
          <w:u w:val="single"/>
        </w:rPr>
        <w:t xml:space="preserve">Okvirna direktiva o vodama 2000/60/EC </w:t>
      </w:r>
      <w:r w:rsidRPr="00843434">
        <w:rPr>
          <w:rFonts w:cs="Comic Sans MS"/>
          <w:color w:val="000000"/>
          <w:sz w:val="20"/>
          <w:szCs w:val="20"/>
        </w:rPr>
        <w:t xml:space="preserve">(WFD) kojom se utvrđuje okvir za djelovanje EU-a na </w:t>
      </w:r>
      <w:r w:rsidRPr="00843434">
        <w:rPr>
          <w:rFonts w:cs="Comic Sans MS"/>
          <w:color w:val="000000"/>
          <w:sz w:val="20"/>
          <w:szCs w:val="20"/>
          <w:u w:val="single"/>
        </w:rPr>
        <w:t>području vodne politike</w:t>
      </w:r>
      <w:r w:rsidRPr="00843434">
        <w:rPr>
          <w:rFonts w:cs="Comic Sans MS"/>
          <w:color w:val="000000"/>
          <w:sz w:val="20"/>
          <w:szCs w:val="20"/>
        </w:rPr>
        <w:t xml:space="preserve">, te ima za cilj osiguravanje ekoloških, kvantitativnih i kvalitativnih funkcija </w:t>
      </w:r>
      <w:r w:rsidRPr="00843434">
        <w:rPr>
          <w:rFonts w:cs="Comic Sans MS"/>
          <w:color w:val="000000"/>
          <w:sz w:val="20"/>
          <w:szCs w:val="20"/>
          <w:u w:val="single"/>
        </w:rPr>
        <w:t>vode</w:t>
      </w:r>
      <w:r w:rsidRPr="00843434">
        <w:rPr>
          <w:rFonts w:cs="Comic Sans MS"/>
          <w:color w:val="000000"/>
          <w:sz w:val="20"/>
          <w:szCs w:val="20"/>
        </w:rPr>
        <w:t xml:space="preserve">. Njome se zahtijeva da se svi utjecaji na vodu trebaju analizirati i postupci poduzimati u okviru Planova </w:t>
      </w:r>
      <w:r w:rsidRPr="00843434">
        <w:rPr>
          <w:rFonts w:cs="Comic Sans MS"/>
          <w:color w:val="000000"/>
          <w:sz w:val="20"/>
          <w:szCs w:val="20"/>
          <w:u w:val="single"/>
        </w:rPr>
        <w:t>za upravljanje riječnim slivom</w:t>
      </w:r>
      <w:r w:rsidRPr="00843434">
        <w:rPr>
          <w:rFonts w:cs="Comic Sans MS"/>
          <w:color w:val="000000"/>
          <w:sz w:val="20"/>
          <w:szCs w:val="20"/>
        </w:rPr>
        <w:t xml:space="preserve">. </w:t>
      </w:r>
    </w:p>
    <w:p w:rsidR="0072732B" w:rsidRPr="00843434" w:rsidRDefault="0072732B" w:rsidP="0072732B">
      <w:pPr>
        <w:pageBreakBefore/>
        <w:autoSpaceDE w:val="0"/>
        <w:autoSpaceDN w:val="0"/>
        <w:adjustRightInd w:val="0"/>
        <w:spacing w:after="0" w:line="240" w:lineRule="auto"/>
        <w:jc w:val="both"/>
        <w:rPr>
          <w:sz w:val="20"/>
          <w:szCs w:val="20"/>
        </w:rPr>
      </w:pPr>
    </w:p>
  </w:endnote>
  <w:endnote w:id="32">
    <w:p w:rsidR="0072732B" w:rsidRPr="00843434" w:rsidRDefault="0072732B" w:rsidP="0072732B">
      <w:pPr>
        <w:pStyle w:val="EndnoteText"/>
        <w:jc w:val="both"/>
        <w:rPr>
          <w:rFonts w:cs="Comic Sans MS"/>
          <w:color w:val="000000"/>
          <w:u w:val="single"/>
        </w:rPr>
      </w:pPr>
      <w:r w:rsidRPr="00843434">
        <w:rPr>
          <w:rStyle w:val="EndnoteReference"/>
        </w:rPr>
        <w:endnoteRef/>
      </w:r>
      <w:r w:rsidRPr="00843434">
        <w:t xml:space="preserve"> </w:t>
      </w:r>
      <w:r w:rsidRPr="00843434">
        <w:rPr>
          <w:rFonts w:cs="Comic Sans MS"/>
          <w:color w:val="000000"/>
        </w:rPr>
        <w:t xml:space="preserve">Okvirne direktive sektora navode glavna načela, ciljeve i procedure za regulatornu politiku EU-a u svezi određenog sektora; iste utvrđuju okvir za djelovanje EU-a na </w:t>
      </w:r>
      <w:r w:rsidRPr="00843434">
        <w:rPr>
          <w:rFonts w:cs="Comic Sans MS"/>
          <w:color w:val="000000"/>
          <w:u w:val="single"/>
        </w:rPr>
        <w:t xml:space="preserve">području </w:t>
      </w:r>
      <w:r w:rsidRPr="00843434">
        <w:rPr>
          <w:rFonts w:cs="Comic Sans MS"/>
          <w:color w:val="000000"/>
        </w:rPr>
        <w:t xml:space="preserve">određene sektorske politike. Poznati primjeri su </w:t>
      </w:r>
      <w:r w:rsidRPr="00843434">
        <w:rPr>
          <w:rFonts w:cs="Comic Sans MS"/>
          <w:color w:val="000000"/>
          <w:u w:val="single"/>
        </w:rPr>
        <w:t xml:space="preserve">WFD 2000/60/EC </w:t>
      </w:r>
      <w:r w:rsidRPr="00843434">
        <w:rPr>
          <w:rFonts w:cs="Comic Sans MS"/>
          <w:color w:val="000000"/>
        </w:rPr>
        <w:t xml:space="preserve">(vidi gore) ili </w:t>
      </w:r>
      <w:r w:rsidRPr="00843434">
        <w:rPr>
          <w:rFonts w:cs="Comic Sans MS"/>
          <w:color w:val="000000"/>
          <w:u w:val="single"/>
        </w:rPr>
        <w:t>Okvirna direktiva o otpadu 2006/12/EC</w:t>
      </w:r>
    </w:p>
    <w:p w:rsidR="0072732B" w:rsidRPr="00843434" w:rsidRDefault="0072732B" w:rsidP="0072732B">
      <w:pPr>
        <w:pStyle w:val="EndnoteText"/>
      </w:pPr>
    </w:p>
  </w:endnote>
  <w:endnote w:id="33">
    <w:p w:rsidR="0072732B" w:rsidRPr="00843434" w:rsidRDefault="0072732B" w:rsidP="0072732B">
      <w:pPr>
        <w:autoSpaceDE w:val="0"/>
        <w:autoSpaceDN w:val="0"/>
        <w:adjustRightInd w:val="0"/>
        <w:spacing w:after="120" w:line="240" w:lineRule="auto"/>
        <w:ind w:left="142" w:hanging="142"/>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u w:val="single"/>
        </w:rPr>
        <w:t xml:space="preserve">Konvencija UNECE o pristupu informacijama, sudjelovanju javnosti u odlučivanju i pristupu pravosuđa u pitanjima okoliša </w:t>
      </w:r>
      <w:r w:rsidRPr="00843434">
        <w:rPr>
          <w:rFonts w:cs="Comic Sans MS"/>
          <w:color w:val="000000"/>
          <w:sz w:val="20"/>
          <w:szCs w:val="20"/>
        </w:rPr>
        <w:t xml:space="preserve">(Aarhus, Danska, 1998) ili “Aarhuška konvencija” nameće strankama i organima javnih vlasti obveze u svezi pristupa informacijama, sudjelovanja javnosti i pristupu pravosuđa. Vidi Glosar. </w:t>
      </w:r>
    </w:p>
  </w:endnote>
  <w:endnote w:id="34">
    <w:p w:rsidR="0072732B" w:rsidRPr="00843434" w:rsidRDefault="0072732B" w:rsidP="0072732B">
      <w:pPr>
        <w:autoSpaceDE w:val="0"/>
        <w:autoSpaceDN w:val="0"/>
        <w:adjustRightInd w:val="0"/>
        <w:spacing w:after="120" w:line="240" w:lineRule="auto"/>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Direktive su zakoni EU-a kojima se utvrđuju određeni ciljevi diljem EU-a, ali se načini za postizanje tih ciljeva prepuštaju svakoj državi članici. Stoga je direktive potrebno integrirati u lokalne zakone, drugim riječima, svaka država članica ih mora staviti na snagu. Svaka direktiva obuhvaća krajnji rok prije kojeg države članice trebaju donijeti zakone kako bi Direktiva stupila na snagu na njihovom teritoriju. Neka sektorska Direktiva odnosi se na određeni sektor. </w:t>
      </w:r>
    </w:p>
  </w:endnote>
  <w:endnote w:id="35">
    <w:p w:rsidR="0072732B" w:rsidRPr="00843434" w:rsidRDefault="0072732B" w:rsidP="0072732B">
      <w:pPr>
        <w:autoSpaceDE w:val="0"/>
        <w:autoSpaceDN w:val="0"/>
        <w:adjustRightInd w:val="0"/>
        <w:spacing w:after="120" w:line="240" w:lineRule="auto"/>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Po definiciji, Direktive koje se isprepliću imaju relevantnost izvan samo određenog (poput okoliša) okvira te su uključene u različite politike ili strategije EU-a, tj. Direktive EIA. </w:t>
      </w:r>
    </w:p>
  </w:endnote>
  <w:endnote w:id="36">
    <w:p w:rsidR="0072732B" w:rsidRPr="00843434" w:rsidRDefault="0072732B" w:rsidP="0072732B">
      <w:pPr>
        <w:autoSpaceDE w:val="0"/>
        <w:autoSpaceDN w:val="0"/>
        <w:adjustRightInd w:val="0"/>
        <w:spacing w:after="120" w:line="240" w:lineRule="auto"/>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Svjetska komisija o branama bila je nezavisni, međunarodni, višedionički postupak (1998.-2000.) koji se bavio kontroverznim pitanjima povezanim s velikim branama. Vidi njegove rezultate i preporuke na arhivskoj internetskoj stranici </w:t>
      </w:r>
      <w:r w:rsidRPr="00843434">
        <w:rPr>
          <w:rFonts w:cs="Comic Sans MS"/>
          <w:color w:val="000000"/>
          <w:sz w:val="20"/>
          <w:szCs w:val="20"/>
          <w:u w:val="single"/>
        </w:rPr>
        <w:t xml:space="preserve">http://www.dams.org/ </w:t>
      </w:r>
      <w:r w:rsidRPr="00843434">
        <w:rPr>
          <w:rFonts w:cs="Comic Sans MS"/>
          <w:color w:val="000000"/>
          <w:sz w:val="20"/>
          <w:szCs w:val="20"/>
        </w:rPr>
        <w:t xml:space="preserve">. </w:t>
      </w:r>
    </w:p>
  </w:endnote>
  <w:endnote w:id="37">
    <w:p w:rsidR="0072732B" w:rsidRPr="00843434" w:rsidRDefault="0072732B" w:rsidP="0072732B">
      <w:pPr>
        <w:autoSpaceDE w:val="0"/>
        <w:autoSpaceDN w:val="0"/>
        <w:adjustRightInd w:val="0"/>
        <w:spacing w:after="120" w:line="240" w:lineRule="auto"/>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Sveobuhvatan pregled (2000.-2004.) o aktivnostima Grupe Svjetske banke (WBG) u sektoru ekstraktivne industrije (nafta, rudarstvo, plin). Vidi internetsku stranicu </w:t>
      </w:r>
      <w:r w:rsidRPr="00843434">
        <w:rPr>
          <w:rFonts w:cs="Comic Sans MS"/>
          <w:color w:val="000000"/>
          <w:sz w:val="20"/>
          <w:szCs w:val="20"/>
          <w:u w:val="single"/>
        </w:rPr>
        <w:t>WBG</w:t>
      </w:r>
      <w:r w:rsidRPr="00843434">
        <w:rPr>
          <w:rFonts w:cs="Comic Sans MS"/>
          <w:color w:val="000000"/>
          <w:sz w:val="20"/>
          <w:szCs w:val="20"/>
        </w:rPr>
        <w:t xml:space="preserve">. </w:t>
      </w:r>
    </w:p>
  </w:endnote>
  <w:endnote w:id="38">
    <w:p w:rsidR="0072732B" w:rsidRPr="00843434" w:rsidRDefault="0072732B" w:rsidP="0072732B">
      <w:pPr>
        <w:autoSpaceDE w:val="0"/>
        <w:autoSpaceDN w:val="0"/>
        <w:adjustRightInd w:val="0"/>
        <w:spacing w:after="0" w:line="240" w:lineRule="auto"/>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Inicijativa za transparentnost ekstraktivne industrije (EITI) je koalicija vlade, tvrtki, skupina civilnog društva, ulagača i međunarodnih organizacija. EITI podupire unaprijeđeno upravljanje u zemljama bogatim resursima kroz potpunu objavu i verifikaciju plaćanja tvrtki i prihoda vlade od nafte, plina i rudarstva. Vidi internetsku stranicu EITI. </w:t>
      </w:r>
    </w:p>
  </w:endnote>
  <w:endnote w:id="39">
    <w:p w:rsidR="0072732B" w:rsidRPr="00843434" w:rsidRDefault="0072732B" w:rsidP="0072732B">
      <w:pPr>
        <w:autoSpaceDE w:val="0"/>
        <w:autoSpaceDN w:val="0"/>
        <w:adjustRightInd w:val="0"/>
        <w:spacing w:after="120" w:line="240" w:lineRule="auto"/>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The Forest Stewardship Council je međunarodna neprofitna organizacija u vlasništvu dionika koja je posvećena poticanju odgovornog upravljanja svjetskim šumama. Vidi internetsku stranicu </w:t>
      </w:r>
      <w:r w:rsidRPr="00843434">
        <w:rPr>
          <w:rFonts w:cs="Comic Sans MS"/>
          <w:color w:val="000000"/>
          <w:sz w:val="20"/>
          <w:szCs w:val="20"/>
          <w:u w:val="single"/>
        </w:rPr>
        <w:t xml:space="preserve">FSC </w:t>
      </w:r>
      <w:r w:rsidRPr="00843434">
        <w:rPr>
          <w:rFonts w:cs="Comic Sans MS"/>
          <w:color w:val="000000"/>
          <w:sz w:val="20"/>
          <w:szCs w:val="20"/>
        </w:rPr>
        <w:t xml:space="preserve">i Glosar. </w:t>
      </w:r>
    </w:p>
  </w:endnote>
  <w:endnote w:id="40">
    <w:p w:rsidR="0072732B" w:rsidRPr="00843434" w:rsidRDefault="0072732B" w:rsidP="0072732B">
      <w:pPr>
        <w:autoSpaceDE w:val="0"/>
        <w:autoSpaceDN w:val="0"/>
        <w:adjustRightInd w:val="0"/>
        <w:spacing w:after="0" w:line="240" w:lineRule="auto"/>
        <w:ind w:left="560" w:hanging="560"/>
        <w:rPr>
          <w:rFonts w:cs="Comic Sans MS"/>
          <w:color w:val="000000"/>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Kako je priopćeno u Zaključcima Vijeća “Odgovor EU-a na situacije fragilnosti”, koji su usvojeni 19. studenog 2007. </w:t>
      </w:r>
    </w:p>
    <w:p w:rsidR="0072732B" w:rsidRPr="00843434" w:rsidRDefault="0072732B" w:rsidP="0072732B">
      <w:pPr>
        <w:pStyle w:val="EndnoteText"/>
      </w:pPr>
    </w:p>
  </w:endnote>
  <w:endnote w:id="41">
    <w:p w:rsidR="0072732B" w:rsidRPr="00843434" w:rsidRDefault="0072732B" w:rsidP="0072732B">
      <w:pPr>
        <w:autoSpaceDE w:val="0"/>
        <w:autoSpaceDN w:val="0"/>
        <w:adjustRightInd w:val="0"/>
        <w:spacing w:after="0" w:line="240" w:lineRule="auto"/>
        <w:ind w:left="284" w:hanging="284"/>
        <w:jc w:val="both"/>
        <w:rPr>
          <w:rFonts w:cs="Comic Sans MS"/>
          <w:color w:val="000000"/>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192 države su ratificirale ključne konvencije ILO, koje predstavljaju obvezu zagovaranja četiriju ključnih radnih standarda. To su: zabrana dječjeg rada (Konvencija 182); prisilni rad i rad kako bi se otplatio dug (Konvencije 292 &amp; 105); pravo na slobodu udruživanja i kolektivno pregovaranje (Konvencije 87 &amp; 98); te sloboda od diskrimancije (Konvencija 100). Ovo su postali sinonimi za temeljnu zaštitu rada i prava diljem svijeta. Vidi internetsku stranicu ILO. </w:t>
      </w:r>
    </w:p>
    <w:p w:rsidR="0072732B" w:rsidRPr="00843434" w:rsidRDefault="0072732B" w:rsidP="0072732B">
      <w:pPr>
        <w:pStyle w:val="EndnoteText"/>
      </w:pPr>
    </w:p>
  </w:endnote>
  <w:endnote w:id="42">
    <w:p w:rsidR="0072732B" w:rsidRPr="00843434" w:rsidRDefault="0072732B" w:rsidP="0072732B">
      <w:pPr>
        <w:autoSpaceDE w:val="0"/>
        <w:autoSpaceDN w:val="0"/>
        <w:adjustRightInd w:val="0"/>
        <w:spacing w:after="0" w:line="240" w:lineRule="auto"/>
        <w:ind w:left="284" w:hanging="284"/>
        <w:jc w:val="both"/>
        <w:rPr>
          <w:rFonts w:cs="Comic Sans MS"/>
          <w:color w:val="000000"/>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Europska konvencija o kulturnoj baštini (1954.), Konvencija UN-a o zaštiti kulturne i prirodne baštine (1972.), rad  UNESCO-a na stranicama Svjetske baštine, te onih Vijeća Europe, posebice Okvirne konvencije o vijednosti kulturne baštine za društvo (2005.). </w:t>
      </w:r>
    </w:p>
    <w:p w:rsidR="0072732B" w:rsidRPr="00843434" w:rsidRDefault="0072732B" w:rsidP="0072732B">
      <w:pPr>
        <w:pStyle w:val="EndnoteText"/>
      </w:pPr>
    </w:p>
  </w:endnote>
  <w:endnote w:id="43">
    <w:p w:rsidR="0072732B" w:rsidRPr="00843434" w:rsidRDefault="0072732B" w:rsidP="0072732B">
      <w:pPr>
        <w:autoSpaceDE w:val="0"/>
        <w:autoSpaceDN w:val="0"/>
        <w:adjustRightInd w:val="0"/>
        <w:spacing w:after="120" w:line="240" w:lineRule="auto"/>
        <w:ind w:left="284" w:hanging="284"/>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u w:val="single"/>
        </w:rPr>
        <w:t>Uredba (EZ) br. 1367/2006</w:t>
      </w:r>
      <w:r w:rsidRPr="00843434">
        <w:rPr>
          <w:rFonts w:cs="Comic Sans MS"/>
          <w:color w:val="000000"/>
          <w:sz w:val="20"/>
          <w:szCs w:val="20"/>
        </w:rPr>
        <w:t xml:space="preserve">, o primjeni odredaba Aarhuške konvencije. Vidi gornju fusnotu i Glosar. </w:t>
      </w:r>
    </w:p>
  </w:endnote>
  <w:endnote w:id="44">
    <w:p w:rsidR="0072732B" w:rsidRPr="00843434" w:rsidRDefault="0072732B" w:rsidP="0072732B">
      <w:pPr>
        <w:autoSpaceDE w:val="0"/>
        <w:autoSpaceDN w:val="0"/>
        <w:adjustRightInd w:val="0"/>
        <w:spacing w:after="120" w:line="240" w:lineRule="auto"/>
        <w:ind w:left="284" w:hanging="284"/>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Varijabilnost među živim organizmima iz svih izvora uključujući, između ostalog, kopneni, morski i druge vodene ekosustave i ekološke komplekse čiji su oni dio; ovo obuhvaća različitost u okviru vrsta, između vrsti i ekosustava. Vidi Glosar. </w:t>
      </w:r>
    </w:p>
  </w:endnote>
  <w:endnote w:id="45">
    <w:p w:rsidR="0072732B" w:rsidRPr="00843434" w:rsidRDefault="0072732B" w:rsidP="0072732B">
      <w:pPr>
        <w:autoSpaceDE w:val="0"/>
        <w:autoSpaceDN w:val="0"/>
        <w:adjustRightInd w:val="0"/>
        <w:spacing w:after="120" w:line="240" w:lineRule="auto"/>
        <w:ind w:left="284" w:hanging="284"/>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u w:val="single"/>
        </w:rPr>
        <w:t xml:space="preserve">Konvencija iz Ramsara o močvarama </w:t>
      </w:r>
      <w:r w:rsidRPr="00843434">
        <w:rPr>
          <w:rFonts w:cs="Comic Sans MS"/>
          <w:color w:val="000000"/>
          <w:sz w:val="20"/>
          <w:szCs w:val="20"/>
        </w:rPr>
        <w:t xml:space="preserve">(Ramsar, Iran, 1971.) je međuvladin sporazum koji daje okvir za nacionalno djelovanje i međunarodnu suradnju za očuvanje i mudro korištenje močvara i njihovih resursa. Vidi Glosar. </w:t>
      </w:r>
    </w:p>
  </w:endnote>
  <w:endnote w:id="46">
    <w:p w:rsidR="0072732B" w:rsidRPr="00843434" w:rsidRDefault="0072732B" w:rsidP="0072732B">
      <w:pPr>
        <w:autoSpaceDE w:val="0"/>
        <w:autoSpaceDN w:val="0"/>
        <w:adjustRightInd w:val="0"/>
        <w:spacing w:after="120" w:line="240" w:lineRule="auto"/>
        <w:ind w:left="284" w:hanging="284"/>
        <w:jc w:val="both"/>
        <w:rPr>
          <w:sz w:val="20"/>
          <w:szCs w:val="20"/>
        </w:rPr>
      </w:pPr>
      <w:r w:rsidRPr="00843434">
        <w:rPr>
          <w:rStyle w:val="EndnoteReference"/>
          <w:sz w:val="20"/>
          <w:szCs w:val="20"/>
        </w:rPr>
        <w:endnoteRef/>
      </w:r>
      <w:r w:rsidRPr="00843434">
        <w:rPr>
          <w:rFonts w:cs="Comic Sans MS"/>
          <w:color w:val="000000"/>
          <w:sz w:val="20"/>
          <w:szCs w:val="20"/>
        </w:rPr>
        <w:t xml:space="preserve"> </w:t>
      </w:r>
      <w:r w:rsidRPr="00843434">
        <w:rPr>
          <w:rFonts w:cs="Comic Sans MS"/>
          <w:color w:val="000000"/>
          <w:sz w:val="20"/>
          <w:szCs w:val="20"/>
          <w:u w:val="single"/>
        </w:rPr>
        <w:t xml:space="preserve">Konvencija o očuvanju migratornih vrsta divljih životinja </w:t>
      </w:r>
      <w:r w:rsidRPr="00843434">
        <w:rPr>
          <w:rFonts w:cs="Comic Sans MS"/>
          <w:color w:val="000000"/>
          <w:sz w:val="20"/>
          <w:szCs w:val="20"/>
        </w:rPr>
        <w:t xml:space="preserve">(također poznata kao CMS ili Bonska konvencija) ima za cilj očuvanje kopnenih, morskih i ptičjih migratornih vrsta i njihovih staništa na područjima djelokruga. Vidi Glosar. </w:t>
      </w:r>
    </w:p>
  </w:endnote>
  <w:endnote w:id="47">
    <w:p w:rsidR="0072732B" w:rsidRPr="00843434" w:rsidRDefault="0072732B" w:rsidP="0072732B">
      <w:pPr>
        <w:autoSpaceDE w:val="0"/>
        <w:autoSpaceDN w:val="0"/>
        <w:adjustRightInd w:val="0"/>
        <w:spacing w:after="120" w:line="240" w:lineRule="auto"/>
        <w:ind w:left="284" w:hanging="284"/>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u w:val="single"/>
        </w:rPr>
        <w:t xml:space="preserve">Konvencija o očuvanju europskih divljih vrsta i prirodnih staništa </w:t>
      </w:r>
      <w:r w:rsidRPr="00843434">
        <w:rPr>
          <w:rFonts w:cs="Comic Sans MS"/>
          <w:color w:val="000000"/>
          <w:sz w:val="20"/>
          <w:szCs w:val="20"/>
        </w:rPr>
        <w:t xml:space="preserve">(Bern, 1979.) ima trojak cilj: očuvanje divlje flore i faune i njihovih prirodnih staništa; promoviranje suradnje između država; te poseban naglasak na ugrožene i ranjive vrste, uključujući ugrožene i ranjive migratorne vrste. Vidi Glosar. </w:t>
      </w:r>
    </w:p>
  </w:endnote>
  <w:endnote w:id="48">
    <w:p w:rsidR="0072732B" w:rsidRPr="00843434" w:rsidRDefault="0072732B" w:rsidP="0072732B">
      <w:pPr>
        <w:pStyle w:val="EndnoteText"/>
        <w:rPr>
          <w:rFonts w:cs="Comic Sans MS"/>
          <w:color w:val="000000"/>
        </w:rPr>
      </w:pPr>
      <w:r w:rsidRPr="00843434">
        <w:rPr>
          <w:rStyle w:val="EndnoteReference"/>
        </w:rPr>
        <w:endnoteRef/>
      </w:r>
      <w:r w:rsidRPr="00843434">
        <w:t xml:space="preserve"> </w:t>
      </w:r>
      <w:r w:rsidRPr="00843434">
        <w:rPr>
          <w:rFonts w:cs="Comic Sans MS"/>
          <w:color w:val="000000"/>
        </w:rPr>
        <w:t>Helcom, OSPAR, Barcelona, Bukurešt.</w:t>
      </w:r>
    </w:p>
    <w:p w:rsidR="0072732B" w:rsidRPr="00843434" w:rsidRDefault="0072732B" w:rsidP="0072732B">
      <w:pPr>
        <w:pStyle w:val="EndnoteText"/>
      </w:pPr>
    </w:p>
  </w:endnote>
  <w:endnote w:id="49">
    <w:p w:rsidR="0072732B" w:rsidRPr="00843434" w:rsidRDefault="0072732B" w:rsidP="0072732B">
      <w:pPr>
        <w:pStyle w:val="EndnoteText"/>
        <w:jc w:val="both"/>
      </w:pPr>
      <w:r w:rsidRPr="00843434">
        <w:rPr>
          <w:rStyle w:val="EndnoteReference"/>
        </w:rPr>
        <w:endnoteRef/>
      </w:r>
      <w:r w:rsidRPr="00843434">
        <w:t xml:space="preserve"> </w:t>
      </w:r>
      <w:r w:rsidRPr="00843434">
        <w:rPr>
          <w:rFonts w:cs="Arial"/>
          <w:color w:val="000000"/>
        </w:rPr>
        <w:t xml:space="preserve">Kompenzacija učinaka na bioraznolikost su mjerljivi rezultati očuvanja koji proizlaze iz postupaka koji su osmišljeni za kompenzaciju preostalih učinaka na bioraznolikost koji proizlaze iz razvoja projekta i koji perzistiraju nakon provođenja odgovarajućih mjera za sprječavanje i ublažavanje učinaka. Njihov je cilj da se postigne da nema neto gubitaka, ili po mogućnosti neto dobit bioraznolikosti. Radna definicija programa Business and Biodiversity Offsets Programme (BBOP), </w:t>
      </w:r>
      <w:r w:rsidRPr="00843434">
        <w:rPr>
          <w:rFonts w:cs="Arial"/>
          <w:color w:val="000000"/>
          <w:u w:val="single"/>
        </w:rPr>
        <w:t>http://www.forest-trends.org/biodiversityoffsetprogram</w:t>
      </w:r>
      <w:r w:rsidRPr="00843434">
        <w:rPr>
          <w:rFonts w:cs="Comic Sans MS"/>
          <w:color w:val="000000"/>
        </w:rPr>
        <w:t>.</w:t>
      </w:r>
    </w:p>
  </w:endnote>
  <w:endnote w:id="50">
    <w:p w:rsidR="0072732B" w:rsidRPr="00843434" w:rsidRDefault="0072732B" w:rsidP="0072732B">
      <w:pPr>
        <w:pageBreakBefore/>
        <w:autoSpaceDE w:val="0"/>
        <w:autoSpaceDN w:val="0"/>
        <w:adjustRightInd w:val="0"/>
        <w:spacing w:after="0" w:line="240" w:lineRule="auto"/>
        <w:ind w:left="560" w:hanging="560"/>
        <w:jc w:val="both"/>
        <w:rPr>
          <w:sz w:val="20"/>
          <w:szCs w:val="20"/>
        </w:rPr>
      </w:pPr>
    </w:p>
    <w:p w:rsidR="0072732B" w:rsidRPr="00843434" w:rsidRDefault="0072732B" w:rsidP="0072732B">
      <w:pPr>
        <w:pageBreakBefore/>
        <w:autoSpaceDE w:val="0"/>
        <w:autoSpaceDN w:val="0"/>
        <w:adjustRightInd w:val="0"/>
        <w:spacing w:after="0" w:line="240" w:lineRule="auto"/>
        <w:ind w:left="142" w:hanging="142"/>
        <w:jc w:val="both"/>
        <w:rPr>
          <w:rFonts w:cs="Arial"/>
          <w:color w:val="000000"/>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EIB definira kritična staništa prema sljedećim atributima: nazočnost kritično ugroženih (izuzetno visok rizik od izumiranja), ugroženih (vrlo visok rizik) ili ranjivih (visok rizik) vrsta, kako je definirano IUCN Crvenom listom ugroženih vrsta i u relevantnom nacionalnom zakonodavstvu; važnost za opstanak endemskih vrsta ili vrsta ograničenih područja, ili jedinstvenih zajednica vrsta; potrebnih za opstanak migratornih vrsta ili kongregacijskih vrsta; potrebnih za održavanje biološke raznolikosti sa značajnom socijalnom, ekonomskom ili društvenom važnošću za lokalne zajednice; potrebnih za održavanje funkcioniranja ekosustava i osiguravanje ključnih roba i usluga za ekosustav; te ključna znanstvena vrijednost.</w:t>
      </w:r>
      <w:r w:rsidRPr="00843434">
        <w:rPr>
          <w:rFonts w:cs="Arial"/>
          <w:color w:val="000000"/>
          <w:sz w:val="20"/>
          <w:szCs w:val="20"/>
          <w:u w:val="single"/>
        </w:rPr>
        <w:t xml:space="preserve"> </w:t>
      </w:r>
    </w:p>
    <w:p w:rsidR="0072732B" w:rsidRPr="00843434" w:rsidRDefault="0072732B" w:rsidP="0072732B">
      <w:pPr>
        <w:pStyle w:val="EndnoteText"/>
      </w:pPr>
    </w:p>
  </w:endnote>
  <w:endnote w:id="51">
    <w:p w:rsidR="0072732B" w:rsidRPr="00843434" w:rsidRDefault="0072732B" w:rsidP="0072732B">
      <w:pPr>
        <w:autoSpaceDE w:val="0"/>
        <w:autoSpaceDN w:val="0"/>
        <w:adjustRightInd w:val="0"/>
        <w:spacing w:after="0" w:line="240" w:lineRule="auto"/>
        <w:jc w:val="both"/>
        <w:rPr>
          <w:rFonts w:cs="Comic Sans MS"/>
          <w:color w:val="000000"/>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Što se tiče lokacija Natura 2000, Europska komisija daje na raspolaganje relevantan vodič na http://ec.europa.eu/environment/nature/natura2000/management/guidance_en.htm </w:t>
      </w:r>
    </w:p>
    <w:p w:rsidR="0072732B" w:rsidRPr="00843434" w:rsidRDefault="0072732B" w:rsidP="0072732B">
      <w:pPr>
        <w:pStyle w:val="EndnoteText"/>
      </w:pPr>
    </w:p>
  </w:endnote>
  <w:endnote w:id="52">
    <w:p w:rsidR="0072732B" w:rsidRPr="00843434" w:rsidRDefault="0072732B" w:rsidP="0072732B">
      <w:pPr>
        <w:autoSpaceDE w:val="0"/>
        <w:autoSpaceDN w:val="0"/>
        <w:adjustRightInd w:val="0"/>
        <w:spacing w:after="0" w:line="240" w:lineRule="auto"/>
        <w:ind w:left="560" w:hanging="560"/>
        <w:rPr>
          <w:rFonts w:cs="Comic Sans MS"/>
          <w:color w:val="000000"/>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rPr>
        <w:t xml:space="preserve">Dokument-vodič: </w:t>
      </w:r>
      <w:r w:rsidRPr="00843434">
        <w:rPr>
          <w:rFonts w:cs="Comic Sans MS"/>
          <w:color w:val="000000"/>
          <w:sz w:val="20"/>
          <w:szCs w:val="20"/>
          <w:u w:val="single"/>
        </w:rPr>
        <w:t xml:space="preserve">http://ec.europa.eu/environment/nature/natura2000/management/guidance_en.htm#art6 </w:t>
      </w:r>
    </w:p>
    <w:p w:rsidR="0072732B" w:rsidRPr="00843434" w:rsidRDefault="0072732B" w:rsidP="0072732B">
      <w:pPr>
        <w:pStyle w:val="EndnoteText"/>
      </w:pPr>
    </w:p>
  </w:endnote>
  <w:endnote w:id="53">
    <w:p w:rsidR="0072732B" w:rsidRPr="00843434" w:rsidRDefault="0072732B" w:rsidP="0072732B">
      <w:pPr>
        <w:autoSpaceDE w:val="0"/>
        <w:autoSpaceDN w:val="0"/>
        <w:adjustRightInd w:val="0"/>
        <w:spacing w:after="0" w:line="240" w:lineRule="auto"/>
        <w:jc w:val="both"/>
        <w:rPr>
          <w:sz w:val="20"/>
          <w:szCs w:val="20"/>
        </w:rPr>
      </w:pPr>
      <w:r w:rsidRPr="00843434">
        <w:rPr>
          <w:rStyle w:val="EndnoteReference"/>
          <w:sz w:val="20"/>
          <w:szCs w:val="20"/>
        </w:rPr>
        <w:endnoteRef/>
      </w:r>
      <w:r w:rsidRPr="00843434">
        <w:rPr>
          <w:sz w:val="20"/>
          <w:szCs w:val="20"/>
        </w:rPr>
        <w:t xml:space="preserve"> </w:t>
      </w:r>
      <w:r w:rsidRPr="00843434">
        <w:rPr>
          <w:rFonts w:cs="Comic Sans MS"/>
          <w:color w:val="000000"/>
          <w:sz w:val="20"/>
          <w:szCs w:val="20"/>
          <w:u w:val="single"/>
        </w:rPr>
        <w:t xml:space="preserve">UNFCCC (Članak 1) </w:t>
      </w:r>
      <w:r w:rsidRPr="00843434">
        <w:rPr>
          <w:rFonts w:cs="Comic Sans MS"/>
          <w:color w:val="000000"/>
          <w:sz w:val="20"/>
          <w:szCs w:val="20"/>
        </w:rPr>
        <w:t xml:space="preserve">definicija klimatskih promjena: ‘promjena klime koja se pripisuje direktno ili indirektno ljudskoj aktivnosti koja mijenja sastav globalnog omotača i koja se pored varijabilnosti prirodne klime uočava u usporedivim vremenskim razdobljima’. </w:t>
      </w:r>
    </w:p>
    <w:p w:rsidR="0072732B" w:rsidRPr="00843434" w:rsidRDefault="0072732B" w:rsidP="0072732B">
      <w:pPr>
        <w:autoSpaceDE w:val="0"/>
        <w:autoSpaceDN w:val="0"/>
        <w:adjustRightInd w:val="0"/>
        <w:spacing w:after="0" w:line="240" w:lineRule="auto"/>
        <w:ind w:left="560" w:hanging="560"/>
        <w:jc w:val="both"/>
        <w:rPr>
          <w:rFonts w:cs="Comic Sans MS"/>
          <w:color w:val="000000"/>
          <w:sz w:val="20"/>
          <w:szCs w:val="20"/>
        </w:rPr>
      </w:pPr>
    </w:p>
    <w:p w:rsidR="0072732B" w:rsidRPr="00843434" w:rsidRDefault="0072732B" w:rsidP="007273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5B" w:rsidRDefault="00B62D5B" w:rsidP="0019394E">
      <w:pPr>
        <w:spacing w:after="0" w:line="240" w:lineRule="auto"/>
      </w:pPr>
      <w:r>
        <w:separator/>
      </w:r>
    </w:p>
  </w:footnote>
  <w:footnote w:type="continuationSeparator" w:id="0">
    <w:p w:rsidR="00B62D5B" w:rsidRDefault="00B62D5B" w:rsidP="0019394E">
      <w:pPr>
        <w:spacing w:after="0" w:line="240" w:lineRule="auto"/>
      </w:pPr>
      <w:r>
        <w:continuationSeparator/>
      </w:r>
    </w:p>
  </w:footnote>
  <w:footnote w:id="1">
    <w:p w:rsidR="00D8508A" w:rsidRDefault="00D8508A" w:rsidP="00473AE5">
      <w:pPr>
        <w:pStyle w:val="FootnoteText"/>
        <w:jc w:val="both"/>
      </w:pPr>
      <w:r>
        <w:rPr>
          <w:rStyle w:val="FootnoteReference"/>
        </w:rPr>
        <w:footnoteRef/>
      </w:r>
      <w:r>
        <w:t xml:space="preserve"> </w:t>
      </w:r>
      <w:r w:rsidR="0064084F">
        <w:t>Ovaj dokument podijeljen je na tri dijela</w:t>
      </w:r>
      <w:r w:rsidRPr="00D8508A">
        <w:t>.</w:t>
      </w:r>
      <w:r w:rsidR="00C53C13">
        <w:t xml:space="preserve"> Prvi dio sadržava općenit</w:t>
      </w:r>
      <w:r w:rsidR="00F035A8">
        <w:t xml:space="preserve">i kontekst </w:t>
      </w:r>
      <w:r w:rsidR="00473AE5">
        <w:t xml:space="preserve">Izjave i upućuje na druge </w:t>
      </w:r>
      <w:r w:rsidRPr="00D8508A">
        <w:t>do</w:t>
      </w:r>
      <w:r w:rsidR="00473AE5">
        <w:t>k</w:t>
      </w:r>
      <w:r w:rsidRPr="00D8508A">
        <w:t>ument</w:t>
      </w:r>
      <w:r w:rsidR="00473AE5">
        <w:t xml:space="preserve">e koje je potrebno pročitati </w:t>
      </w:r>
      <w:r w:rsidR="00AB58A8">
        <w:t xml:space="preserve">u vezi </w:t>
      </w:r>
      <w:r w:rsidRPr="00D8508A">
        <w:t xml:space="preserve">s </w:t>
      </w:r>
      <w:r w:rsidR="00AB58A8">
        <w:t>Izjavom kako bi čitatelj mogao dobiti sveobuhvatan uvid u EIB-ov pristup okolišnim i socijalnim pitanjima</w:t>
      </w:r>
      <w:r w:rsidRPr="00D8508A">
        <w:t xml:space="preserve">. </w:t>
      </w:r>
      <w:r w:rsidR="00AB58A8">
        <w:t xml:space="preserve">Osnovni dio </w:t>
      </w:r>
      <w:r w:rsidRPr="00D8508A">
        <w:t>do</w:t>
      </w:r>
      <w:r w:rsidR="00AB58A8">
        <w:t>k</w:t>
      </w:r>
      <w:r w:rsidRPr="00D8508A">
        <w:t>ument</w:t>
      </w:r>
      <w:r w:rsidR="00AB58A8">
        <w:t xml:space="preserve">a sama </w:t>
      </w:r>
      <w:r w:rsidR="00AF238C">
        <w:t xml:space="preserve">je </w:t>
      </w:r>
      <w:r w:rsidR="00AB58A8">
        <w:t>Izjava u kojoj se opisuju EIB-ova okolišna i socijalna načela i standardi</w:t>
      </w:r>
      <w:r w:rsidRPr="00D8508A">
        <w:t xml:space="preserve">. </w:t>
      </w:r>
      <w:r w:rsidR="00AB58A8">
        <w:t xml:space="preserve">Osmišljena je kao samostalan dokument i </w:t>
      </w:r>
      <w:r w:rsidR="00AF238C">
        <w:t xml:space="preserve">prošla je proces </w:t>
      </w:r>
      <w:r w:rsidR="00AB58A8">
        <w:t>javni</w:t>
      </w:r>
      <w:r w:rsidR="00AF238C">
        <w:t>h</w:t>
      </w:r>
      <w:r w:rsidR="00AB58A8">
        <w:t xml:space="preserve"> konzultacija. Na koncu, treći dio obuhvaća Završne napomene i Glosar pojmova sa značenjima koja Banka koristi.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FAE7D0"/>
    <w:multiLevelType w:val="hybridMultilevel"/>
    <w:tmpl w:val="9CEA77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57DC94"/>
    <w:multiLevelType w:val="hybridMultilevel"/>
    <w:tmpl w:val="328B86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35F9A4C"/>
    <w:multiLevelType w:val="hybridMultilevel"/>
    <w:tmpl w:val="18B4BA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4252C4A"/>
    <w:multiLevelType w:val="hybridMultilevel"/>
    <w:tmpl w:val="08AABF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5303C98"/>
    <w:multiLevelType w:val="hybridMultilevel"/>
    <w:tmpl w:val="62BBFC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A0D1BFC"/>
    <w:multiLevelType w:val="hybridMultilevel"/>
    <w:tmpl w:val="AFB18B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8B5D3FCE"/>
    <w:multiLevelType w:val="hybridMultilevel"/>
    <w:tmpl w:val="B9ADDC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8C2674D7"/>
    <w:multiLevelType w:val="hybridMultilevel"/>
    <w:tmpl w:val="740F9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8DFDFFC0"/>
    <w:multiLevelType w:val="hybridMultilevel"/>
    <w:tmpl w:val="F510A1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9A24ADBA"/>
    <w:multiLevelType w:val="hybridMultilevel"/>
    <w:tmpl w:val="21AAA4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9FCC79CF"/>
    <w:multiLevelType w:val="hybridMultilevel"/>
    <w:tmpl w:val="A80C2A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0C941AF"/>
    <w:multiLevelType w:val="hybridMultilevel"/>
    <w:tmpl w:val="49044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A0DFA75B"/>
    <w:multiLevelType w:val="hybridMultilevel"/>
    <w:tmpl w:val="A602B4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A1730462"/>
    <w:multiLevelType w:val="hybridMultilevel"/>
    <w:tmpl w:val="F0A5D8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A9A64F56"/>
    <w:multiLevelType w:val="hybridMultilevel"/>
    <w:tmpl w:val="E82826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AB29AC69"/>
    <w:multiLevelType w:val="hybridMultilevel"/>
    <w:tmpl w:val="F36BF7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AD87F31D"/>
    <w:multiLevelType w:val="hybridMultilevel"/>
    <w:tmpl w:val="324DFC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B027AE69"/>
    <w:multiLevelType w:val="hybridMultilevel"/>
    <w:tmpl w:val="BDF60E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B036ECFD"/>
    <w:multiLevelType w:val="hybridMultilevel"/>
    <w:tmpl w:val="4EE2F8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B0E5D9C0"/>
    <w:multiLevelType w:val="hybridMultilevel"/>
    <w:tmpl w:val="B87B5B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B5A7F78B"/>
    <w:multiLevelType w:val="hybridMultilevel"/>
    <w:tmpl w:val="64FA7A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B96D39E0"/>
    <w:multiLevelType w:val="hybridMultilevel"/>
    <w:tmpl w:val="B9BF4D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B9AA2EEF"/>
    <w:multiLevelType w:val="hybridMultilevel"/>
    <w:tmpl w:val="8920EF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BB48A253"/>
    <w:multiLevelType w:val="hybridMultilevel"/>
    <w:tmpl w:val="30B68CB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BC29FF87"/>
    <w:multiLevelType w:val="hybridMultilevel"/>
    <w:tmpl w:val="841374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C410F4BE"/>
    <w:multiLevelType w:val="hybridMultilevel"/>
    <w:tmpl w:val="DF54FF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C44A7DC0"/>
    <w:multiLevelType w:val="hybridMultilevel"/>
    <w:tmpl w:val="AF30A3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C52A4A9B"/>
    <w:multiLevelType w:val="hybridMultilevel"/>
    <w:tmpl w:val="534168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C9FF0EF4"/>
    <w:multiLevelType w:val="hybridMultilevel"/>
    <w:tmpl w:val="F183F1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CEC6F721"/>
    <w:multiLevelType w:val="hybridMultilevel"/>
    <w:tmpl w:val="163422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D24024A1"/>
    <w:multiLevelType w:val="hybridMultilevel"/>
    <w:tmpl w:val="4F8FC4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D787BE2F"/>
    <w:multiLevelType w:val="hybridMultilevel"/>
    <w:tmpl w:val="17AABC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D79F7A8A"/>
    <w:multiLevelType w:val="hybridMultilevel"/>
    <w:tmpl w:val="DA6869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DDB26A5F"/>
    <w:multiLevelType w:val="hybridMultilevel"/>
    <w:tmpl w:val="98ECDA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E08C0C81"/>
    <w:multiLevelType w:val="hybridMultilevel"/>
    <w:tmpl w:val="304BB3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E58CD195"/>
    <w:multiLevelType w:val="hybridMultilevel"/>
    <w:tmpl w:val="174DB8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E6BFD817"/>
    <w:multiLevelType w:val="hybridMultilevel"/>
    <w:tmpl w:val="A2E127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E6C81A37"/>
    <w:multiLevelType w:val="hybridMultilevel"/>
    <w:tmpl w:val="78AB93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E700BB13"/>
    <w:multiLevelType w:val="hybridMultilevel"/>
    <w:tmpl w:val="511610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E776A855"/>
    <w:multiLevelType w:val="hybridMultilevel"/>
    <w:tmpl w:val="66B66F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E8080769"/>
    <w:multiLevelType w:val="hybridMultilevel"/>
    <w:tmpl w:val="14CBBC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E94B4A76"/>
    <w:multiLevelType w:val="hybridMultilevel"/>
    <w:tmpl w:val="392CFA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ECD7C92B"/>
    <w:multiLevelType w:val="hybridMultilevel"/>
    <w:tmpl w:val="E29312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EDC74E99"/>
    <w:multiLevelType w:val="hybridMultilevel"/>
    <w:tmpl w:val="B2865D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EF0AA342"/>
    <w:multiLevelType w:val="hybridMultilevel"/>
    <w:tmpl w:val="57E819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F007000D"/>
    <w:multiLevelType w:val="hybridMultilevel"/>
    <w:tmpl w:val="66A990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F2BEC766"/>
    <w:multiLevelType w:val="hybridMultilevel"/>
    <w:tmpl w:val="77400E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F2D1119C"/>
    <w:multiLevelType w:val="hybridMultilevel"/>
    <w:tmpl w:val="CEB88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F3F7724E"/>
    <w:multiLevelType w:val="hybridMultilevel"/>
    <w:tmpl w:val="6064BD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F4EB386C"/>
    <w:multiLevelType w:val="hybridMultilevel"/>
    <w:tmpl w:val="6112FD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F505CD4F"/>
    <w:multiLevelType w:val="hybridMultilevel"/>
    <w:tmpl w:val="C48719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F5BE60B2"/>
    <w:multiLevelType w:val="hybridMultilevel"/>
    <w:tmpl w:val="B053BE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F9391A1D"/>
    <w:multiLevelType w:val="hybridMultilevel"/>
    <w:tmpl w:val="8AEEA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FA23F925"/>
    <w:multiLevelType w:val="hybridMultilevel"/>
    <w:tmpl w:val="649DBC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FE31D813"/>
    <w:multiLevelType w:val="hybridMultilevel"/>
    <w:tmpl w:val="701CB4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FE98F6DC"/>
    <w:multiLevelType w:val="hybridMultilevel"/>
    <w:tmpl w:val="4A59C4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833CB7"/>
    <w:multiLevelType w:val="hybridMultilevel"/>
    <w:tmpl w:val="086989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97B8AF"/>
    <w:multiLevelType w:val="hybridMultilevel"/>
    <w:tmpl w:val="5F1D88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1C662E9"/>
    <w:multiLevelType w:val="hybridMultilevel"/>
    <w:tmpl w:val="1D34EB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379B7C6"/>
    <w:multiLevelType w:val="hybridMultilevel"/>
    <w:tmpl w:val="417807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42C4284"/>
    <w:multiLevelType w:val="hybridMultilevel"/>
    <w:tmpl w:val="9AF5B1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45DF073"/>
    <w:multiLevelType w:val="hybridMultilevel"/>
    <w:tmpl w:val="368EA0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62FE5A2"/>
    <w:multiLevelType w:val="hybridMultilevel"/>
    <w:tmpl w:val="0BA349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6FA3068"/>
    <w:multiLevelType w:val="hybridMultilevel"/>
    <w:tmpl w:val="6486C9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B86DC18"/>
    <w:multiLevelType w:val="hybridMultilevel"/>
    <w:tmpl w:val="401989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13143C04"/>
    <w:multiLevelType w:val="hybridMultilevel"/>
    <w:tmpl w:val="01262E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15CEE533"/>
    <w:multiLevelType w:val="hybridMultilevel"/>
    <w:tmpl w:val="F65161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16DEBCDD"/>
    <w:multiLevelType w:val="hybridMultilevel"/>
    <w:tmpl w:val="595F41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1917537D"/>
    <w:multiLevelType w:val="hybridMultilevel"/>
    <w:tmpl w:val="B63E80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1C79870A"/>
    <w:multiLevelType w:val="hybridMultilevel"/>
    <w:tmpl w:val="E43FBF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20852395"/>
    <w:multiLevelType w:val="hybridMultilevel"/>
    <w:tmpl w:val="78F6C3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224E40A3"/>
    <w:multiLevelType w:val="hybridMultilevel"/>
    <w:tmpl w:val="DDACC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230D4B24"/>
    <w:multiLevelType w:val="hybridMultilevel"/>
    <w:tmpl w:val="7124F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26E4CF03"/>
    <w:multiLevelType w:val="hybridMultilevel"/>
    <w:tmpl w:val="E597587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29970512"/>
    <w:multiLevelType w:val="hybridMultilevel"/>
    <w:tmpl w:val="F34DCC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2C9883BC"/>
    <w:multiLevelType w:val="hybridMultilevel"/>
    <w:tmpl w:val="BCE5C6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3E530C8"/>
    <w:multiLevelType w:val="hybridMultilevel"/>
    <w:tmpl w:val="921EA5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6FF0AF2"/>
    <w:multiLevelType w:val="hybridMultilevel"/>
    <w:tmpl w:val="06E76C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7CC0328"/>
    <w:multiLevelType w:val="hybridMultilevel"/>
    <w:tmpl w:val="6431AC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82A2F8C"/>
    <w:multiLevelType w:val="hybridMultilevel"/>
    <w:tmpl w:val="684723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916E384"/>
    <w:multiLevelType w:val="hybridMultilevel"/>
    <w:tmpl w:val="DD0E49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93AC947"/>
    <w:multiLevelType w:val="hybridMultilevel"/>
    <w:tmpl w:val="6AD69D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B0685BB"/>
    <w:multiLevelType w:val="hybridMultilevel"/>
    <w:tmpl w:val="D749BA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BD9263F"/>
    <w:multiLevelType w:val="hybridMultilevel"/>
    <w:tmpl w:val="A238A86C"/>
    <w:lvl w:ilvl="0" w:tplc="224AE8C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3D169C96"/>
    <w:multiLevelType w:val="hybridMultilevel"/>
    <w:tmpl w:val="0440AA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EBB7362"/>
    <w:multiLevelType w:val="hybridMultilevel"/>
    <w:tmpl w:val="853D28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FE992D9"/>
    <w:multiLevelType w:val="hybridMultilevel"/>
    <w:tmpl w:val="C10A1E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D3D164"/>
    <w:multiLevelType w:val="hybridMultilevel"/>
    <w:tmpl w:val="A97A2D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3C3AD4D"/>
    <w:multiLevelType w:val="hybridMultilevel"/>
    <w:tmpl w:val="2C0A06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4577170"/>
    <w:multiLevelType w:val="hybridMultilevel"/>
    <w:tmpl w:val="CE7AC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48BBA74"/>
    <w:multiLevelType w:val="hybridMultilevel"/>
    <w:tmpl w:val="C41064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54819C2"/>
    <w:multiLevelType w:val="hybridMultilevel"/>
    <w:tmpl w:val="E968F5A4"/>
    <w:lvl w:ilvl="0" w:tplc="9BDE3782">
      <w:numFmt w:val="bullet"/>
      <w:lvlText w:val="-"/>
      <w:lvlJc w:val="left"/>
      <w:pPr>
        <w:ind w:left="1080" w:hanging="360"/>
      </w:pPr>
      <w:rPr>
        <w:rFonts w:ascii="Comic Sans MS" w:eastAsiaTheme="minorHAnsi"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458B7A25"/>
    <w:multiLevelType w:val="hybridMultilevel"/>
    <w:tmpl w:val="7ED2CA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63C29BF"/>
    <w:multiLevelType w:val="hybridMultilevel"/>
    <w:tmpl w:val="193A98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74E2296"/>
    <w:multiLevelType w:val="hybridMultilevel"/>
    <w:tmpl w:val="D5C678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81F480C"/>
    <w:multiLevelType w:val="hybridMultilevel"/>
    <w:tmpl w:val="D78ED7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A6E4C18"/>
    <w:multiLevelType w:val="hybridMultilevel"/>
    <w:tmpl w:val="741753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CB655C7"/>
    <w:multiLevelType w:val="hybridMultilevel"/>
    <w:tmpl w:val="C41B48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51865859"/>
    <w:multiLevelType w:val="hybridMultilevel"/>
    <w:tmpl w:val="F2C8B2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53215B84"/>
    <w:multiLevelType w:val="hybridMultilevel"/>
    <w:tmpl w:val="54F84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548359AE"/>
    <w:multiLevelType w:val="hybridMultilevel"/>
    <w:tmpl w:val="2B1BA2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54A55EBC"/>
    <w:multiLevelType w:val="hybridMultilevel"/>
    <w:tmpl w:val="793FC4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5558FA12"/>
    <w:multiLevelType w:val="hybridMultilevel"/>
    <w:tmpl w:val="4AEFA2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556672A3"/>
    <w:multiLevelType w:val="hybridMultilevel"/>
    <w:tmpl w:val="8D103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8BC1CBB"/>
    <w:multiLevelType w:val="hybridMultilevel"/>
    <w:tmpl w:val="F8B343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5CB00FED"/>
    <w:multiLevelType w:val="hybridMultilevel"/>
    <w:tmpl w:val="5706E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5D097F17"/>
    <w:multiLevelType w:val="hybridMultilevel"/>
    <w:tmpl w:val="14BED7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5DBEEC6F"/>
    <w:multiLevelType w:val="hybridMultilevel"/>
    <w:tmpl w:val="49DF0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5E565FCA"/>
    <w:multiLevelType w:val="hybridMultilevel"/>
    <w:tmpl w:val="0A4682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60BBBE3B"/>
    <w:multiLevelType w:val="hybridMultilevel"/>
    <w:tmpl w:val="CD576F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63CD3C58"/>
    <w:multiLevelType w:val="hybridMultilevel"/>
    <w:tmpl w:val="67A70D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64281C8A"/>
    <w:multiLevelType w:val="hybridMultilevel"/>
    <w:tmpl w:val="DA801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64FCDDBF"/>
    <w:multiLevelType w:val="hybridMultilevel"/>
    <w:tmpl w:val="5103ED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66F44455"/>
    <w:multiLevelType w:val="hybridMultilevel"/>
    <w:tmpl w:val="47845F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67923589"/>
    <w:multiLevelType w:val="hybridMultilevel"/>
    <w:tmpl w:val="6ABA6A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67C99324"/>
    <w:multiLevelType w:val="hybridMultilevel"/>
    <w:tmpl w:val="60DCD9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68832011"/>
    <w:multiLevelType w:val="hybridMultilevel"/>
    <w:tmpl w:val="7C4F66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6BEB4013"/>
    <w:multiLevelType w:val="hybridMultilevel"/>
    <w:tmpl w:val="46E7B1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6C01541C"/>
    <w:multiLevelType w:val="hybridMultilevel"/>
    <w:tmpl w:val="A03285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74115167"/>
    <w:multiLevelType w:val="hybridMultilevel"/>
    <w:tmpl w:val="87EEEA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743B43FD"/>
    <w:multiLevelType w:val="hybridMultilevel"/>
    <w:tmpl w:val="E7E2E2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74EA1764"/>
    <w:multiLevelType w:val="hybridMultilevel"/>
    <w:tmpl w:val="18889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6F84842"/>
    <w:multiLevelType w:val="hybridMultilevel"/>
    <w:tmpl w:val="A35B86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787108B4"/>
    <w:multiLevelType w:val="hybridMultilevel"/>
    <w:tmpl w:val="D4DE71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78B3E553"/>
    <w:multiLevelType w:val="hybridMultilevel"/>
    <w:tmpl w:val="A7084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7A532337"/>
    <w:multiLevelType w:val="hybridMultilevel"/>
    <w:tmpl w:val="8E620C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7B8C6AAF"/>
    <w:multiLevelType w:val="hybridMultilevel"/>
    <w:tmpl w:val="F7BDA1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7CCABEB9"/>
    <w:multiLevelType w:val="hybridMultilevel"/>
    <w:tmpl w:val="672370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7D6AB93E"/>
    <w:multiLevelType w:val="hybridMultilevel"/>
    <w:tmpl w:val="04F8B0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8"/>
  </w:num>
  <w:num w:numId="2">
    <w:abstractNumId w:val="29"/>
  </w:num>
  <w:num w:numId="3">
    <w:abstractNumId w:val="3"/>
  </w:num>
  <w:num w:numId="4">
    <w:abstractNumId w:val="79"/>
  </w:num>
  <w:num w:numId="5">
    <w:abstractNumId w:val="50"/>
  </w:num>
  <w:num w:numId="6">
    <w:abstractNumId w:val="66"/>
  </w:num>
  <w:num w:numId="7">
    <w:abstractNumId w:val="41"/>
  </w:num>
  <w:num w:numId="8">
    <w:abstractNumId w:val="9"/>
  </w:num>
  <w:num w:numId="9">
    <w:abstractNumId w:val="31"/>
  </w:num>
  <w:num w:numId="10">
    <w:abstractNumId w:val="68"/>
  </w:num>
  <w:num w:numId="11">
    <w:abstractNumId w:val="23"/>
  </w:num>
  <w:num w:numId="12">
    <w:abstractNumId w:val="107"/>
  </w:num>
  <w:num w:numId="13">
    <w:abstractNumId w:val="57"/>
  </w:num>
  <w:num w:numId="14">
    <w:abstractNumId w:val="42"/>
  </w:num>
  <w:num w:numId="15">
    <w:abstractNumId w:val="110"/>
  </w:num>
  <w:num w:numId="16">
    <w:abstractNumId w:val="102"/>
  </w:num>
  <w:num w:numId="17">
    <w:abstractNumId w:val="6"/>
  </w:num>
  <w:num w:numId="18">
    <w:abstractNumId w:val="87"/>
  </w:num>
  <w:num w:numId="19">
    <w:abstractNumId w:val="55"/>
  </w:num>
  <w:num w:numId="20">
    <w:abstractNumId w:val="45"/>
  </w:num>
  <w:num w:numId="21">
    <w:abstractNumId w:val="117"/>
  </w:num>
  <w:num w:numId="22">
    <w:abstractNumId w:val="59"/>
  </w:num>
  <w:num w:numId="23">
    <w:abstractNumId w:val="62"/>
  </w:num>
  <w:num w:numId="24">
    <w:abstractNumId w:val="53"/>
  </w:num>
  <w:num w:numId="25">
    <w:abstractNumId w:val="19"/>
  </w:num>
  <w:num w:numId="26">
    <w:abstractNumId w:val="37"/>
  </w:num>
  <w:num w:numId="27">
    <w:abstractNumId w:val="81"/>
  </w:num>
  <w:num w:numId="28">
    <w:abstractNumId w:val="128"/>
  </w:num>
  <w:num w:numId="29">
    <w:abstractNumId w:val="86"/>
  </w:num>
  <w:num w:numId="30">
    <w:abstractNumId w:val="90"/>
  </w:num>
  <w:num w:numId="31">
    <w:abstractNumId w:val="126"/>
  </w:num>
  <w:num w:numId="32">
    <w:abstractNumId w:val="119"/>
  </w:num>
  <w:num w:numId="33">
    <w:abstractNumId w:val="8"/>
  </w:num>
  <w:num w:numId="34">
    <w:abstractNumId w:val="74"/>
  </w:num>
  <w:num w:numId="35">
    <w:abstractNumId w:val="73"/>
  </w:num>
  <w:num w:numId="36">
    <w:abstractNumId w:val="80"/>
  </w:num>
  <w:num w:numId="37">
    <w:abstractNumId w:val="98"/>
  </w:num>
  <w:num w:numId="38">
    <w:abstractNumId w:val="40"/>
  </w:num>
  <w:num w:numId="39">
    <w:abstractNumId w:val="33"/>
  </w:num>
  <w:num w:numId="40">
    <w:abstractNumId w:val="18"/>
  </w:num>
  <w:num w:numId="41">
    <w:abstractNumId w:val="82"/>
  </w:num>
  <w:num w:numId="42">
    <w:abstractNumId w:val="113"/>
  </w:num>
  <w:num w:numId="43">
    <w:abstractNumId w:val="75"/>
  </w:num>
  <w:num w:numId="44">
    <w:abstractNumId w:val="27"/>
  </w:num>
  <w:num w:numId="45">
    <w:abstractNumId w:val="15"/>
  </w:num>
  <w:num w:numId="46">
    <w:abstractNumId w:val="39"/>
  </w:num>
  <w:num w:numId="47">
    <w:abstractNumId w:val="16"/>
  </w:num>
  <w:num w:numId="48">
    <w:abstractNumId w:val="24"/>
  </w:num>
  <w:num w:numId="49">
    <w:abstractNumId w:val="54"/>
  </w:num>
  <w:num w:numId="50">
    <w:abstractNumId w:val="38"/>
  </w:num>
  <w:num w:numId="51">
    <w:abstractNumId w:val="96"/>
  </w:num>
  <w:num w:numId="52">
    <w:abstractNumId w:val="2"/>
  </w:num>
  <w:num w:numId="53">
    <w:abstractNumId w:val="97"/>
  </w:num>
  <w:num w:numId="54">
    <w:abstractNumId w:val="112"/>
  </w:num>
  <w:num w:numId="55">
    <w:abstractNumId w:val="118"/>
  </w:num>
  <w:num w:numId="56">
    <w:abstractNumId w:val="11"/>
  </w:num>
  <w:num w:numId="57">
    <w:abstractNumId w:val="94"/>
  </w:num>
  <w:num w:numId="58">
    <w:abstractNumId w:val="34"/>
  </w:num>
  <w:num w:numId="59">
    <w:abstractNumId w:val="63"/>
  </w:num>
  <w:num w:numId="60">
    <w:abstractNumId w:val="116"/>
  </w:num>
  <w:num w:numId="61">
    <w:abstractNumId w:val="44"/>
  </w:num>
  <w:num w:numId="62">
    <w:abstractNumId w:val="30"/>
  </w:num>
  <w:num w:numId="63">
    <w:abstractNumId w:val="115"/>
  </w:num>
  <w:num w:numId="64">
    <w:abstractNumId w:val="22"/>
  </w:num>
  <w:num w:numId="65">
    <w:abstractNumId w:val="114"/>
  </w:num>
  <w:num w:numId="66">
    <w:abstractNumId w:val="65"/>
  </w:num>
  <w:num w:numId="67">
    <w:abstractNumId w:val="72"/>
  </w:num>
  <w:num w:numId="68">
    <w:abstractNumId w:val="120"/>
  </w:num>
  <w:num w:numId="69">
    <w:abstractNumId w:val="17"/>
  </w:num>
  <w:num w:numId="70">
    <w:abstractNumId w:val="0"/>
  </w:num>
  <w:num w:numId="71">
    <w:abstractNumId w:val="20"/>
  </w:num>
  <w:num w:numId="72">
    <w:abstractNumId w:val="52"/>
  </w:num>
  <w:num w:numId="73">
    <w:abstractNumId w:val="84"/>
  </w:num>
  <w:num w:numId="74">
    <w:abstractNumId w:val="122"/>
  </w:num>
  <w:num w:numId="75">
    <w:abstractNumId w:val="32"/>
  </w:num>
  <w:num w:numId="76">
    <w:abstractNumId w:val="100"/>
  </w:num>
  <w:num w:numId="77">
    <w:abstractNumId w:val="76"/>
  </w:num>
  <w:num w:numId="78">
    <w:abstractNumId w:val="70"/>
  </w:num>
  <w:num w:numId="79">
    <w:abstractNumId w:val="104"/>
  </w:num>
  <w:num w:numId="80">
    <w:abstractNumId w:val="46"/>
  </w:num>
  <w:num w:numId="81">
    <w:abstractNumId w:val="26"/>
  </w:num>
  <w:num w:numId="82">
    <w:abstractNumId w:val="48"/>
  </w:num>
  <w:num w:numId="83">
    <w:abstractNumId w:val="77"/>
  </w:num>
  <w:num w:numId="84">
    <w:abstractNumId w:val="78"/>
  </w:num>
  <w:num w:numId="85">
    <w:abstractNumId w:val="93"/>
  </w:num>
  <w:num w:numId="86">
    <w:abstractNumId w:val="60"/>
  </w:num>
  <w:num w:numId="87">
    <w:abstractNumId w:val="58"/>
  </w:num>
  <w:num w:numId="88">
    <w:abstractNumId w:val="12"/>
  </w:num>
  <w:num w:numId="89">
    <w:abstractNumId w:val="21"/>
  </w:num>
  <w:num w:numId="90">
    <w:abstractNumId w:val="4"/>
  </w:num>
  <w:num w:numId="91">
    <w:abstractNumId w:val="124"/>
  </w:num>
  <w:num w:numId="92">
    <w:abstractNumId w:val="123"/>
  </w:num>
  <w:num w:numId="93">
    <w:abstractNumId w:val="61"/>
  </w:num>
  <w:num w:numId="94">
    <w:abstractNumId w:val="7"/>
  </w:num>
  <w:num w:numId="95">
    <w:abstractNumId w:val="43"/>
  </w:num>
  <w:num w:numId="96">
    <w:abstractNumId w:val="36"/>
  </w:num>
  <w:num w:numId="97">
    <w:abstractNumId w:val="125"/>
  </w:num>
  <w:num w:numId="98">
    <w:abstractNumId w:val="101"/>
  </w:num>
  <w:num w:numId="99">
    <w:abstractNumId w:val="28"/>
  </w:num>
  <w:num w:numId="100">
    <w:abstractNumId w:val="25"/>
  </w:num>
  <w:num w:numId="101">
    <w:abstractNumId w:val="49"/>
  </w:num>
  <w:num w:numId="102">
    <w:abstractNumId w:val="1"/>
  </w:num>
  <w:num w:numId="103">
    <w:abstractNumId w:val="95"/>
  </w:num>
  <w:num w:numId="104">
    <w:abstractNumId w:val="67"/>
  </w:num>
  <w:num w:numId="105">
    <w:abstractNumId w:val="64"/>
  </w:num>
  <w:num w:numId="106">
    <w:abstractNumId w:val="5"/>
  </w:num>
  <w:num w:numId="107">
    <w:abstractNumId w:val="14"/>
  </w:num>
  <w:num w:numId="108">
    <w:abstractNumId w:val="47"/>
  </w:num>
  <w:num w:numId="109">
    <w:abstractNumId w:val="127"/>
  </w:num>
  <w:num w:numId="110">
    <w:abstractNumId w:val="10"/>
  </w:num>
  <w:num w:numId="111">
    <w:abstractNumId w:val="106"/>
  </w:num>
  <w:num w:numId="112">
    <w:abstractNumId w:val="109"/>
  </w:num>
  <w:num w:numId="113">
    <w:abstractNumId w:val="92"/>
  </w:num>
  <w:num w:numId="114">
    <w:abstractNumId w:val="51"/>
  </w:num>
  <w:num w:numId="115">
    <w:abstractNumId w:val="13"/>
  </w:num>
  <w:num w:numId="116">
    <w:abstractNumId w:val="85"/>
  </w:num>
  <w:num w:numId="117">
    <w:abstractNumId w:val="35"/>
  </w:num>
  <w:num w:numId="118">
    <w:abstractNumId w:val="69"/>
  </w:num>
  <w:num w:numId="119">
    <w:abstractNumId w:val="56"/>
  </w:num>
  <w:num w:numId="120">
    <w:abstractNumId w:val="121"/>
  </w:num>
  <w:num w:numId="121">
    <w:abstractNumId w:val="91"/>
  </w:num>
  <w:num w:numId="122">
    <w:abstractNumId w:val="89"/>
  </w:num>
  <w:num w:numId="123">
    <w:abstractNumId w:val="83"/>
  </w:num>
  <w:num w:numId="124">
    <w:abstractNumId w:val="103"/>
  </w:num>
  <w:num w:numId="125">
    <w:abstractNumId w:val="99"/>
  </w:num>
  <w:num w:numId="126">
    <w:abstractNumId w:val="111"/>
  </w:num>
  <w:num w:numId="127">
    <w:abstractNumId w:val="108"/>
  </w:num>
  <w:num w:numId="128">
    <w:abstractNumId w:val="105"/>
  </w:num>
  <w:num w:numId="129">
    <w:abstractNumId w:val="7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3F"/>
    <w:rsid w:val="000016C8"/>
    <w:rsid w:val="000213D7"/>
    <w:rsid w:val="000245C2"/>
    <w:rsid w:val="00025E27"/>
    <w:rsid w:val="00031528"/>
    <w:rsid w:val="00031F37"/>
    <w:rsid w:val="00033DEE"/>
    <w:rsid w:val="00037764"/>
    <w:rsid w:val="00041364"/>
    <w:rsid w:val="00043BD2"/>
    <w:rsid w:val="000521BD"/>
    <w:rsid w:val="00054027"/>
    <w:rsid w:val="00054303"/>
    <w:rsid w:val="00061A93"/>
    <w:rsid w:val="00063139"/>
    <w:rsid w:val="0006790D"/>
    <w:rsid w:val="00071054"/>
    <w:rsid w:val="000770D8"/>
    <w:rsid w:val="000835B4"/>
    <w:rsid w:val="00083E7E"/>
    <w:rsid w:val="000931C0"/>
    <w:rsid w:val="000938CA"/>
    <w:rsid w:val="00094DE8"/>
    <w:rsid w:val="00097E35"/>
    <w:rsid w:val="000A009C"/>
    <w:rsid w:val="000C2771"/>
    <w:rsid w:val="000C2FDF"/>
    <w:rsid w:val="000C3E3B"/>
    <w:rsid w:val="000C7D22"/>
    <w:rsid w:val="000D0845"/>
    <w:rsid w:val="000E5F91"/>
    <w:rsid w:val="000E78ED"/>
    <w:rsid w:val="000F14E8"/>
    <w:rsid w:val="00102093"/>
    <w:rsid w:val="00106206"/>
    <w:rsid w:val="00110128"/>
    <w:rsid w:val="00116A42"/>
    <w:rsid w:val="00150833"/>
    <w:rsid w:val="00152032"/>
    <w:rsid w:val="00155FB5"/>
    <w:rsid w:val="001910C5"/>
    <w:rsid w:val="0019394E"/>
    <w:rsid w:val="001A76B9"/>
    <w:rsid w:val="001C0023"/>
    <w:rsid w:val="001C0AF3"/>
    <w:rsid w:val="001C2BA2"/>
    <w:rsid w:val="001D09E6"/>
    <w:rsid w:val="001D1288"/>
    <w:rsid w:val="001D1E5B"/>
    <w:rsid w:val="001D504F"/>
    <w:rsid w:val="001D5E1B"/>
    <w:rsid w:val="001E2780"/>
    <w:rsid w:val="001F1068"/>
    <w:rsid w:val="00207561"/>
    <w:rsid w:val="002118B9"/>
    <w:rsid w:val="00223B32"/>
    <w:rsid w:val="00224EFE"/>
    <w:rsid w:val="00236D6F"/>
    <w:rsid w:val="002567DE"/>
    <w:rsid w:val="00261246"/>
    <w:rsid w:val="002616ED"/>
    <w:rsid w:val="002678AB"/>
    <w:rsid w:val="0027384A"/>
    <w:rsid w:val="00274396"/>
    <w:rsid w:val="00286A87"/>
    <w:rsid w:val="00291F92"/>
    <w:rsid w:val="0029338D"/>
    <w:rsid w:val="00293647"/>
    <w:rsid w:val="00294830"/>
    <w:rsid w:val="002A5D17"/>
    <w:rsid w:val="002A7029"/>
    <w:rsid w:val="002B1DCE"/>
    <w:rsid w:val="002B67D8"/>
    <w:rsid w:val="002B6C99"/>
    <w:rsid w:val="002C001B"/>
    <w:rsid w:val="002C0693"/>
    <w:rsid w:val="002C3A1C"/>
    <w:rsid w:val="002C5881"/>
    <w:rsid w:val="002C717F"/>
    <w:rsid w:val="002D0FD1"/>
    <w:rsid w:val="002D39F5"/>
    <w:rsid w:val="002E777D"/>
    <w:rsid w:val="002F24F0"/>
    <w:rsid w:val="002F445E"/>
    <w:rsid w:val="002F67DA"/>
    <w:rsid w:val="00304471"/>
    <w:rsid w:val="00306F0E"/>
    <w:rsid w:val="0030781C"/>
    <w:rsid w:val="003078B7"/>
    <w:rsid w:val="00321196"/>
    <w:rsid w:val="00323586"/>
    <w:rsid w:val="00341572"/>
    <w:rsid w:val="003434B3"/>
    <w:rsid w:val="00354FB5"/>
    <w:rsid w:val="00355739"/>
    <w:rsid w:val="0036373B"/>
    <w:rsid w:val="00363EDE"/>
    <w:rsid w:val="00364D7F"/>
    <w:rsid w:val="0036709C"/>
    <w:rsid w:val="003707A0"/>
    <w:rsid w:val="003734F2"/>
    <w:rsid w:val="003743F9"/>
    <w:rsid w:val="00375CA5"/>
    <w:rsid w:val="00383CD0"/>
    <w:rsid w:val="003903FB"/>
    <w:rsid w:val="00393463"/>
    <w:rsid w:val="003A1946"/>
    <w:rsid w:val="003A345E"/>
    <w:rsid w:val="003B08EC"/>
    <w:rsid w:val="003B4BFE"/>
    <w:rsid w:val="003C19E9"/>
    <w:rsid w:val="003C3F62"/>
    <w:rsid w:val="003C7A52"/>
    <w:rsid w:val="003E30E9"/>
    <w:rsid w:val="003E4F7A"/>
    <w:rsid w:val="003E5C70"/>
    <w:rsid w:val="003F6EFA"/>
    <w:rsid w:val="0040304E"/>
    <w:rsid w:val="0040337E"/>
    <w:rsid w:val="00404A8A"/>
    <w:rsid w:val="00407A65"/>
    <w:rsid w:val="00423992"/>
    <w:rsid w:val="00426077"/>
    <w:rsid w:val="00430449"/>
    <w:rsid w:val="00435C10"/>
    <w:rsid w:val="0043662D"/>
    <w:rsid w:val="00437A67"/>
    <w:rsid w:val="00441267"/>
    <w:rsid w:val="0044167B"/>
    <w:rsid w:val="00443136"/>
    <w:rsid w:val="004434FD"/>
    <w:rsid w:val="00466827"/>
    <w:rsid w:val="004718B0"/>
    <w:rsid w:val="00473AE5"/>
    <w:rsid w:val="00477118"/>
    <w:rsid w:val="00487657"/>
    <w:rsid w:val="004918DF"/>
    <w:rsid w:val="004977B2"/>
    <w:rsid w:val="004A100E"/>
    <w:rsid w:val="004A2C1A"/>
    <w:rsid w:val="004A48E9"/>
    <w:rsid w:val="004A592F"/>
    <w:rsid w:val="004C62CD"/>
    <w:rsid w:val="004C749C"/>
    <w:rsid w:val="004D2D8C"/>
    <w:rsid w:val="004D3910"/>
    <w:rsid w:val="004D4355"/>
    <w:rsid w:val="004E0B39"/>
    <w:rsid w:val="004E1982"/>
    <w:rsid w:val="004E37A0"/>
    <w:rsid w:val="004F0205"/>
    <w:rsid w:val="004F09B0"/>
    <w:rsid w:val="00502A26"/>
    <w:rsid w:val="005063D2"/>
    <w:rsid w:val="005074BD"/>
    <w:rsid w:val="0051152F"/>
    <w:rsid w:val="005164B6"/>
    <w:rsid w:val="00520879"/>
    <w:rsid w:val="00521610"/>
    <w:rsid w:val="005245AF"/>
    <w:rsid w:val="00525AB9"/>
    <w:rsid w:val="00535C8E"/>
    <w:rsid w:val="005369F4"/>
    <w:rsid w:val="00543BE8"/>
    <w:rsid w:val="005468B7"/>
    <w:rsid w:val="0055528B"/>
    <w:rsid w:val="00556A35"/>
    <w:rsid w:val="00556F60"/>
    <w:rsid w:val="00557C89"/>
    <w:rsid w:val="005609BE"/>
    <w:rsid w:val="00561B5D"/>
    <w:rsid w:val="00566ED1"/>
    <w:rsid w:val="00570160"/>
    <w:rsid w:val="00573434"/>
    <w:rsid w:val="00585B2F"/>
    <w:rsid w:val="0059393B"/>
    <w:rsid w:val="005A7006"/>
    <w:rsid w:val="005A7AA6"/>
    <w:rsid w:val="005B4DA1"/>
    <w:rsid w:val="005C0EDB"/>
    <w:rsid w:val="005C2B55"/>
    <w:rsid w:val="005C50A1"/>
    <w:rsid w:val="005C538F"/>
    <w:rsid w:val="005E0A1B"/>
    <w:rsid w:val="005F056E"/>
    <w:rsid w:val="005F2300"/>
    <w:rsid w:val="005F432F"/>
    <w:rsid w:val="00600BEA"/>
    <w:rsid w:val="00613539"/>
    <w:rsid w:val="00614C54"/>
    <w:rsid w:val="00620650"/>
    <w:rsid w:val="00621DCA"/>
    <w:rsid w:val="00631F2E"/>
    <w:rsid w:val="00636403"/>
    <w:rsid w:val="0064084F"/>
    <w:rsid w:val="00644AE9"/>
    <w:rsid w:val="00646714"/>
    <w:rsid w:val="00657916"/>
    <w:rsid w:val="0066087A"/>
    <w:rsid w:val="00663F8C"/>
    <w:rsid w:val="00672783"/>
    <w:rsid w:val="00677030"/>
    <w:rsid w:val="00684371"/>
    <w:rsid w:val="00685DF9"/>
    <w:rsid w:val="006921D0"/>
    <w:rsid w:val="00696019"/>
    <w:rsid w:val="006B2D7C"/>
    <w:rsid w:val="006B42D1"/>
    <w:rsid w:val="006B5492"/>
    <w:rsid w:val="006B7A9E"/>
    <w:rsid w:val="006D2898"/>
    <w:rsid w:val="006D5307"/>
    <w:rsid w:val="006F3197"/>
    <w:rsid w:val="006F6C39"/>
    <w:rsid w:val="007035FE"/>
    <w:rsid w:val="00721E91"/>
    <w:rsid w:val="007243FE"/>
    <w:rsid w:val="0072732B"/>
    <w:rsid w:val="00733D31"/>
    <w:rsid w:val="0074113E"/>
    <w:rsid w:val="007430BC"/>
    <w:rsid w:val="007463FC"/>
    <w:rsid w:val="00747843"/>
    <w:rsid w:val="00750768"/>
    <w:rsid w:val="00752163"/>
    <w:rsid w:val="007624FD"/>
    <w:rsid w:val="00763FF1"/>
    <w:rsid w:val="007704AF"/>
    <w:rsid w:val="00780053"/>
    <w:rsid w:val="00787521"/>
    <w:rsid w:val="007879A5"/>
    <w:rsid w:val="007914E5"/>
    <w:rsid w:val="0079331A"/>
    <w:rsid w:val="00794FC5"/>
    <w:rsid w:val="007A0368"/>
    <w:rsid w:val="007A199C"/>
    <w:rsid w:val="007A2092"/>
    <w:rsid w:val="007B09C3"/>
    <w:rsid w:val="007B1656"/>
    <w:rsid w:val="007B1857"/>
    <w:rsid w:val="007B444D"/>
    <w:rsid w:val="007B5F94"/>
    <w:rsid w:val="007C0019"/>
    <w:rsid w:val="007C22AF"/>
    <w:rsid w:val="007C324F"/>
    <w:rsid w:val="007C78E8"/>
    <w:rsid w:val="007D0480"/>
    <w:rsid w:val="007D1BB4"/>
    <w:rsid w:val="007D42DE"/>
    <w:rsid w:val="007D61FE"/>
    <w:rsid w:val="007E344B"/>
    <w:rsid w:val="007E5332"/>
    <w:rsid w:val="007E53D4"/>
    <w:rsid w:val="007F1975"/>
    <w:rsid w:val="007F27E2"/>
    <w:rsid w:val="007F2DC5"/>
    <w:rsid w:val="007F5D32"/>
    <w:rsid w:val="007F6127"/>
    <w:rsid w:val="008029E2"/>
    <w:rsid w:val="00806968"/>
    <w:rsid w:val="0081544E"/>
    <w:rsid w:val="00822185"/>
    <w:rsid w:val="00826D70"/>
    <w:rsid w:val="00843434"/>
    <w:rsid w:val="00843F25"/>
    <w:rsid w:val="008456A3"/>
    <w:rsid w:val="008461CF"/>
    <w:rsid w:val="008523D0"/>
    <w:rsid w:val="008551CA"/>
    <w:rsid w:val="00855590"/>
    <w:rsid w:val="00870D58"/>
    <w:rsid w:val="008849DC"/>
    <w:rsid w:val="00892ADF"/>
    <w:rsid w:val="008A4CBF"/>
    <w:rsid w:val="008A5A7C"/>
    <w:rsid w:val="008B4860"/>
    <w:rsid w:val="008C1046"/>
    <w:rsid w:val="008C6A1C"/>
    <w:rsid w:val="008D5E0B"/>
    <w:rsid w:val="008F006C"/>
    <w:rsid w:val="008F242A"/>
    <w:rsid w:val="008F52E8"/>
    <w:rsid w:val="00900944"/>
    <w:rsid w:val="009014BF"/>
    <w:rsid w:val="009022F1"/>
    <w:rsid w:val="009045BB"/>
    <w:rsid w:val="009117FF"/>
    <w:rsid w:val="00915923"/>
    <w:rsid w:val="009168E3"/>
    <w:rsid w:val="009216E4"/>
    <w:rsid w:val="00927CBA"/>
    <w:rsid w:val="00930062"/>
    <w:rsid w:val="00934AFC"/>
    <w:rsid w:val="00947DAC"/>
    <w:rsid w:val="00950848"/>
    <w:rsid w:val="00953DFC"/>
    <w:rsid w:val="00954600"/>
    <w:rsid w:val="009559CF"/>
    <w:rsid w:val="009623D0"/>
    <w:rsid w:val="009660D2"/>
    <w:rsid w:val="00966CE0"/>
    <w:rsid w:val="009748E6"/>
    <w:rsid w:val="00975991"/>
    <w:rsid w:val="0097666A"/>
    <w:rsid w:val="009774F5"/>
    <w:rsid w:val="00983AE1"/>
    <w:rsid w:val="009907EA"/>
    <w:rsid w:val="00996D9F"/>
    <w:rsid w:val="009A2982"/>
    <w:rsid w:val="009A629E"/>
    <w:rsid w:val="009B07A3"/>
    <w:rsid w:val="009C3FA4"/>
    <w:rsid w:val="009C55C8"/>
    <w:rsid w:val="009D7825"/>
    <w:rsid w:val="009F1AF4"/>
    <w:rsid w:val="009F59B6"/>
    <w:rsid w:val="009F63D6"/>
    <w:rsid w:val="00A04CD2"/>
    <w:rsid w:val="00A069E4"/>
    <w:rsid w:val="00A14137"/>
    <w:rsid w:val="00A16295"/>
    <w:rsid w:val="00A163B4"/>
    <w:rsid w:val="00A222B3"/>
    <w:rsid w:val="00A37551"/>
    <w:rsid w:val="00A3791D"/>
    <w:rsid w:val="00A40D93"/>
    <w:rsid w:val="00A50DFE"/>
    <w:rsid w:val="00A542BE"/>
    <w:rsid w:val="00A621B6"/>
    <w:rsid w:val="00A650EF"/>
    <w:rsid w:val="00A67509"/>
    <w:rsid w:val="00A70D27"/>
    <w:rsid w:val="00A72EAE"/>
    <w:rsid w:val="00A735D3"/>
    <w:rsid w:val="00A83072"/>
    <w:rsid w:val="00A842FE"/>
    <w:rsid w:val="00A855B6"/>
    <w:rsid w:val="00A85DE1"/>
    <w:rsid w:val="00A927FC"/>
    <w:rsid w:val="00A944E3"/>
    <w:rsid w:val="00A95019"/>
    <w:rsid w:val="00AA58C4"/>
    <w:rsid w:val="00AA789C"/>
    <w:rsid w:val="00AB0D5D"/>
    <w:rsid w:val="00AB4FE2"/>
    <w:rsid w:val="00AB5792"/>
    <w:rsid w:val="00AB58A8"/>
    <w:rsid w:val="00AB5A98"/>
    <w:rsid w:val="00AC0056"/>
    <w:rsid w:val="00AC19B6"/>
    <w:rsid w:val="00AC2D36"/>
    <w:rsid w:val="00AC34B0"/>
    <w:rsid w:val="00AC624A"/>
    <w:rsid w:val="00AD03B2"/>
    <w:rsid w:val="00AD27DC"/>
    <w:rsid w:val="00AD34CC"/>
    <w:rsid w:val="00AD7447"/>
    <w:rsid w:val="00AD7E54"/>
    <w:rsid w:val="00AF238C"/>
    <w:rsid w:val="00AF2429"/>
    <w:rsid w:val="00B00D28"/>
    <w:rsid w:val="00B0186E"/>
    <w:rsid w:val="00B05F3D"/>
    <w:rsid w:val="00B07798"/>
    <w:rsid w:val="00B12C46"/>
    <w:rsid w:val="00B15E03"/>
    <w:rsid w:val="00B2127F"/>
    <w:rsid w:val="00B21338"/>
    <w:rsid w:val="00B30F93"/>
    <w:rsid w:val="00B34C67"/>
    <w:rsid w:val="00B41262"/>
    <w:rsid w:val="00B41D02"/>
    <w:rsid w:val="00B43E3F"/>
    <w:rsid w:val="00B4421D"/>
    <w:rsid w:val="00B54FD3"/>
    <w:rsid w:val="00B56D94"/>
    <w:rsid w:val="00B5721F"/>
    <w:rsid w:val="00B62D5B"/>
    <w:rsid w:val="00B63B68"/>
    <w:rsid w:val="00B64523"/>
    <w:rsid w:val="00B7597F"/>
    <w:rsid w:val="00B83F8B"/>
    <w:rsid w:val="00B977FF"/>
    <w:rsid w:val="00BA36E4"/>
    <w:rsid w:val="00BB4245"/>
    <w:rsid w:val="00BB58A9"/>
    <w:rsid w:val="00BB6A7F"/>
    <w:rsid w:val="00BC2183"/>
    <w:rsid w:val="00BC387D"/>
    <w:rsid w:val="00BD44DC"/>
    <w:rsid w:val="00BD4728"/>
    <w:rsid w:val="00BD608C"/>
    <w:rsid w:val="00BE244D"/>
    <w:rsid w:val="00BE56E2"/>
    <w:rsid w:val="00BF0EB2"/>
    <w:rsid w:val="00BF12E9"/>
    <w:rsid w:val="00BF3EFF"/>
    <w:rsid w:val="00BF4491"/>
    <w:rsid w:val="00BF6868"/>
    <w:rsid w:val="00BF6D0F"/>
    <w:rsid w:val="00C02F85"/>
    <w:rsid w:val="00C17E71"/>
    <w:rsid w:val="00C20E3E"/>
    <w:rsid w:val="00C22516"/>
    <w:rsid w:val="00C22E49"/>
    <w:rsid w:val="00C30514"/>
    <w:rsid w:val="00C325D8"/>
    <w:rsid w:val="00C53C13"/>
    <w:rsid w:val="00C56951"/>
    <w:rsid w:val="00C65C28"/>
    <w:rsid w:val="00C65D0D"/>
    <w:rsid w:val="00C70649"/>
    <w:rsid w:val="00C97C4E"/>
    <w:rsid w:val="00CA45D7"/>
    <w:rsid w:val="00CB644B"/>
    <w:rsid w:val="00CC46F7"/>
    <w:rsid w:val="00CC7CB2"/>
    <w:rsid w:val="00CD33FC"/>
    <w:rsid w:val="00CD66F5"/>
    <w:rsid w:val="00CD7F24"/>
    <w:rsid w:val="00CE0646"/>
    <w:rsid w:val="00CE2F18"/>
    <w:rsid w:val="00CE520F"/>
    <w:rsid w:val="00D0512F"/>
    <w:rsid w:val="00D05573"/>
    <w:rsid w:val="00D10506"/>
    <w:rsid w:val="00D12C4A"/>
    <w:rsid w:val="00D3665D"/>
    <w:rsid w:val="00D40B5C"/>
    <w:rsid w:val="00D44A65"/>
    <w:rsid w:val="00D505B6"/>
    <w:rsid w:val="00D70D30"/>
    <w:rsid w:val="00D71DF8"/>
    <w:rsid w:val="00D725BA"/>
    <w:rsid w:val="00D74C7D"/>
    <w:rsid w:val="00D753C6"/>
    <w:rsid w:val="00D76D31"/>
    <w:rsid w:val="00D8508A"/>
    <w:rsid w:val="00D92465"/>
    <w:rsid w:val="00DA4538"/>
    <w:rsid w:val="00DB267E"/>
    <w:rsid w:val="00DB6787"/>
    <w:rsid w:val="00DC5658"/>
    <w:rsid w:val="00DD1403"/>
    <w:rsid w:val="00DD1FBD"/>
    <w:rsid w:val="00DD2FAB"/>
    <w:rsid w:val="00DE4C5E"/>
    <w:rsid w:val="00DE6297"/>
    <w:rsid w:val="00DF1F18"/>
    <w:rsid w:val="00DF551E"/>
    <w:rsid w:val="00E11F12"/>
    <w:rsid w:val="00E12B6D"/>
    <w:rsid w:val="00E16316"/>
    <w:rsid w:val="00E16F08"/>
    <w:rsid w:val="00E27C13"/>
    <w:rsid w:val="00E37A5E"/>
    <w:rsid w:val="00E4513C"/>
    <w:rsid w:val="00E643E7"/>
    <w:rsid w:val="00E65A88"/>
    <w:rsid w:val="00E7645C"/>
    <w:rsid w:val="00E85F4C"/>
    <w:rsid w:val="00E91409"/>
    <w:rsid w:val="00E91C54"/>
    <w:rsid w:val="00E94F5B"/>
    <w:rsid w:val="00E95983"/>
    <w:rsid w:val="00E978B1"/>
    <w:rsid w:val="00EB4F10"/>
    <w:rsid w:val="00EC6B94"/>
    <w:rsid w:val="00ED1774"/>
    <w:rsid w:val="00ED20A8"/>
    <w:rsid w:val="00ED25C0"/>
    <w:rsid w:val="00EE10EA"/>
    <w:rsid w:val="00EE77D3"/>
    <w:rsid w:val="00EF0B7F"/>
    <w:rsid w:val="00F032B1"/>
    <w:rsid w:val="00F035A8"/>
    <w:rsid w:val="00F03CCE"/>
    <w:rsid w:val="00F13C9F"/>
    <w:rsid w:val="00F314A5"/>
    <w:rsid w:val="00F348B3"/>
    <w:rsid w:val="00F365C9"/>
    <w:rsid w:val="00F41F4E"/>
    <w:rsid w:val="00F4219C"/>
    <w:rsid w:val="00F422B2"/>
    <w:rsid w:val="00F51985"/>
    <w:rsid w:val="00F55A68"/>
    <w:rsid w:val="00F766E9"/>
    <w:rsid w:val="00F9089D"/>
    <w:rsid w:val="00FA32D9"/>
    <w:rsid w:val="00FA3FDA"/>
    <w:rsid w:val="00FB47DB"/>
    <w:rsid w:val="00FB53B9"/>
    <w:rsid w:val="00FC56DB"/>
    <w:rsid w:val="00FC6EC2"/>
    <w:rsid w:val="00FD1DEC"/>
    <w:rsid w:val="00FD551F"/>
    <w:rsid w:val="00FE01A6"/>
    <w:rsid w:val="00FE5068"/>
    <w:rsid w:val="00FE7F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F47EC-553C-42D3-9BAC-EAB224E5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71"/>
    <w:pPr>
      <w:ind w:left="720"/>
      <w:contextualSpacing/>
    </w:pPr>
  </w:style>
  <w:style w:type="paragraph" w:styleId="EndnoteText">
    <w:name w:val="endnote text"/>
    <w:basedOn w:val="Normal"/>
    <w:link w:val="EndnoteTextChar"/>
    <w:uiPriority w:val="99"/>
    <w:unhideWhenUsed/>
    <w:rsid w:val="0019394E"/>
    <w:pPr>
      <w:spacing w:after="0" w:line="240" w:lineRule="auto"/>
    </w:pPr>
    <w:rPr>
      <w:sz w:val="20"/>
      <w:szCs w:val="20"/>
    </w:rPr>
  </w:style>
  <w:style w:type="character" w:customStyle="1" w:styleId="EndnoteTextChar">
    <w:name w:val="Endnote Text Char"/>
    <w:basedOn w:val="DefaultParagraphFont"/>
    <w:link w:val="EndnoteText"/>
    <w:uiPriority w:val="99"/>
    <w:rsid w:val="0019394E"/>
    <w:rPr>
      <w:sz w:val="20"/>
      <w:szCs w:val="20"/>
    </w:rPr>
  </w:style>
  <w:style w:type="character" w:styleId="EndnoteReference">
    <w:name w:val="endnote reference"/>
    <w:basedOn w:val="DefaultParagraphFont"/>
    <w:uiPriority w:val="99"/>
    <w:semiHidden/>
    <w:unhideWhenUsed/>
    <w:rsid w:val="0019394E"/>
    <w:rPr>
      <w:vertAlign w:val="superscript"/>
    </w:rPr>
  </w:style>
  <w:style w:type="character" w:styleId="Hyperlink">
    <w:name w:val="Hyperlink"/>
    <w:basedOn w:val="DefaultParagraphFont"/>
    <w:uiPriority w:val="99"/>
    <w:unhideWhenUsed/>
    <w:rsid w:val="009623D0"/>
    <w:rPr>
      <w:color w:val="0563C1" w:themeColor="hyperlink"/>
      <w:u w:val="single"/>
    </w:rPr>
  </w:style>
  <w:style w:type="paragraph" w:styleId="FootnoteText">
    <w:name w:val="footnote text"/>
    <w:basedOn w:val="Normal"/>
    <w:link w:val="FootnoteTextChar"/>
    <w:uiPriority w:val="99"/>
    <w:semiHidden/>
    <w:unhideWhenUsed/>
    <w:rsid w:val="00D85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08A"/>
    <w:rPr>
      <w:sz w:val="20"/>
      <w:szCs w:val="20"/>
    </w:rPr>
  </w:style>
  <w:style w:type="character" w:styleId="FootnoteReference">
    <w:name w:val="footnote reference"/>
    <w:basedOn w:val="DefaultParagraphFont"/>
    <w:uiPriority w:val="99"/>
    <w:semiHidden/>
    <w:unhideWhenUsed/>
    <w:rsid w:val="00D8508A"/>
    <w:rPr>
      <w:vertAlign w:val="superscript"/>
    </w:rPr>
  </w:style>
  <w:style w:type="table" w:styleId="TableGrid">
    <w:name w:val="Table Grid"/>
    <w:basedOn w:val="TableNormal"/>
    <w:uiPriority w:val="39"/>
    <w:rsid w:val="00D8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1562330329">
      <w:bodyDiv w:val="1"/>
      <w:marLeft w:val="0"/>
      <w:marRight w:val="0"/>
      <w:marTop w:val="0"/>
      <w:marBottom w:val="0"/>
      <w:divBdr>
        <w:top w:val="none" w:sz="0" w:space="0" w:color="auto"/>
        <w:left w:val="none" w:sz="0" w:space="0" w:color="auto"/>
        <w:bottom w:val="none" w:sz="0" w:space="0" w:color="auto"/>
        <w:right w:val="none" w:sz="0" w:space="0" w:color="auto"/>
      </w:divBdr>
      <w:divsChild>
        <w:div w:id="291057810">
          <w:marLeft w:val="0"/>
          <w:marRight w:val="0"/>
          <w:marTop w:val="0"/>
          <w:marBottom w:val="0"/>
          <w:divBdr>
            <w:top w:val="none" w:sz="0" w:space="0" w:color="auto"/>
            <w:left w:val="none" w:sz="0" w:space="0" w:color="auto"/>
            <w:bottom w:val="none" w:sz="0" w:space="0" w:color="auto"/>
            <w:right w:val="none" w:sz="0" w:space="0" w:color="auto"/>
          </w:divBdr>
          <w:divsChild>
            <w:div w:id="1290554704">
              <w:marLeft w:val="0"/>
              <w:marRight w:val="0"/>
              <w:marTop w:val="0"/>
              <w:marBottom w:val="0"/>
              <w:divBdr>
                <w:top w:val="none" w:sz="0" w:space="0" w:color="auto"/>
                <w:left w:val="none" w:sz="0" w:space="0" w:color="auto"/>
                <w:bottom w:val="none" w:sz="0" w:space="0" w:color="auto"/>
                <w:right w:val="none" w:sz="0" w:space="0" w:color="auto"/>
              </w:divBdr>
              <w:divsChild>
                <w:div w:id="1617835831">
                  <w:marLeft w:val="0"/>
                  <w:marRight w:val="0"/>
                  <w:marTop w:val="0"/>
                  <w:marBottom w:val="0"/>
                  <w:divBdr>
                    <w:top w:val="none" w:sz="0" w:space="0" w:color="auto"/>
                    <w:left w:val="none" w:sz="0" w:space="0" w:color="auto"/>
                    <w:bottom w:val="none" w:sz="0" w:space="0" w:color="auto"/>
                    <w:right w:val="none" w:sz="0" w:space="0" w:color="auto"/>
                  </w:divBdr>
                  <w:divsChild>
                    <w:div w:id="1491142996">
                      <w:marLeft w:val="0"/>
                      <w:marRight w:val="0"/>
                      <w:marTop w:val="0"/>
                      <w:marBottom w:val="0"/>
                      <w:divBdr>
                        <w:top w:val="none" w:sz="0" w:space="0" w:color="auto"/>
                        <w:left w:val="none" w:sz="0" w:space="0" w:color="auto"/>
                        <w:bottom w:val="none" w:sz="0" w:space="0" w:color="auto"/>
                        <w:right w:val="none" w:sz="0" w:space="0" w:color="auto"/>
                      </w:divBdr>
                      <w:divsChild>
                        <w:div w:id="1659504489">
                          <w:marLeft w:val="0"/>
                          <w:marRight w:val="0"/>
                          <w:marTop w:val="0"/>
                          <w:marBottom w:val="0"/>
                          <w:divBdr>
                            <w:top w:val="none" w:sz="0" w:space="0" w:color="auto"/>
                            <w:left w:val="none" w:sz="0" w:space="0" w:color="auto"/>
                            <w:bottom w:val="none" w:sz="0" w:space="0" w:color="auto"/>
                            <w:right w:val="none" w:sz="0" w:space="0" w:color="auto"/>
                          </w:divBdr>
                          <w:divsChild>
                            <w:div w:id="79372406">
                              <w:marLeft w:val="0"/>
                              <w:marRight w:val="0"/>
                              <w:marTop w:val="0"/>
                              <w:marBottom w:val="0"/>
                              <w:divBdr>
                                <w:top w:val="none" w:sz="0" w:space="0" w:color="auto"/>
                                <w:left w:val="none" w:sz="0" w:space="0" w:color="auto"/>
                                <w:bottom w:val="none" w:sz="0" w:space="0" w:color="auto"/>
                                <w:right w:val="none" w:sz="0" w:space="0" w:color="auto"/>
                              </w:divBdr>
                              <w:divsChild>
                                <w:div w:id="1709145023">
                                  <w:marLeft w:val="0"/>
                                  <w:marRight w:val="0"/>
                                  <w:marTop w:val="0"/>
                                  <w:marBottom w:val="0"/>
                                  <w:divBdr>
                                    <w:top w:val="none" w:sz="0" w:space="0" w:color="auto"/>
                                    <w:left w:val="none" w:sz="0" w:space="0" w:color="auto"/>
                                    <w:bottom w:val="none" w:sz="0" w:space="0" w:color="auto"/>
                                    <w:right w:val="none" w:sz="0" w:space="0" w:color="auto"/>
                                  </w:divBdr>
                                  <w:divsChild>
                                    <w:div w:id="716047159">
                                      <w:marLeft w:val="0"/>
                                      <w:marRight w:val="0"/>
                                      <w:marTop w:val="0"/>
                                      <w:marBottom w:val="0"/>
                                      <w:divBdr>
                                        <w:top w:val="none" w:sz="0" w:space="0" w:color="auto"/>
                                        <w:left w:val="none" w:sz="0" w:space="0" w:color="auto"/>
                                        <w:bottom w:val="none" w:sz="0" w:space="0" w:color="auto"/>
                                        <w:right w:val="none" w:sz="0" w:space="0" w:color="auto"/>
                                      </w:divBdr>
                                      <w:divsChild>
                                        <w:div w:id="902105073">
                                          <w:marLeft w:val="0"/>
                                          <w:marRight w:val="0"/>
                                          <w:marTop w:val="0"/>
                                          <w:marBottom w:val="0"/>
                                          <w:divBdr>
                                            <w:top w:val="none" w:sz="0" w:space="0" w:color="auto"/>
                                            <w:left w:val="none" w:sz="0" w:space="0" w:color="auto"/>
                                            <w:bottom w:val="none" w:sz="0" w:space="0" w:color="auto"/>
                                            <w:right w:val="none" w:sz="0" w:space="0" w:color="auto"/>
                                          </w:divBdr>
                                          <w:divsChild>
                                            <w:div w:id="1633244511">
                                              <w:marLeft w:val="0"/>
                                              <w:marRight w:val="0"/>
                                              <w:marTop w:val="0"/>
                                              <w:marBottom w:val="0"/>
                                              <w:divBdr>
                                                <w:top w:val="none" w:sz="0" w:space="0" w:color="auto"/>
                                                <w:left w:val="none" w:sz="0" w:space="0" w:color="auto"/>
                                                <w:bottom w:val="none" w:sz="0" w:space="0" w:color="auto"/>
                                                <w:right w:val="none" w:sz="0" w:space="0" w:color="auto"/>
                                              </w:divBdr>
                                              <w:divsChild>
                                                <w:div w:id="2907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ur-lex.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D380-55FF-4196-80B1-58D86066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14211</Words>
  <Characters>81004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Mlinarec Natalija</dc:creator>
  <cp:keywords/>
  <dc:description/>
  <cp:lastModifiedBy>Šegedin Grubišić Sanja</cp:lastModifiedBy>
  <cp:revision>3</cp:revision>
  <dcterms:created xsi:type="dcterms:W3CDTF">2017-03-17T09:17:00Z</dcterms:created>
  <dcterms:modified xsi:type="dcterms:W3CDTF">2017-03-17T09:18:00Z</dcterms:modified>
</cp:coreProperties>
</file>