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81" w:rsidRPr="005B082C" w:rsidRDefault="005B082C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-746125</wp:posOffset>
            </wp:positionV>
            <wp:extent cx="1022985" cy="10363835"/>
            <wp:effectExtent l="0" t="0" r="5715" b="0"/>
            <wp:wrapNone/>
            <wp:docPr id="4" name="Picture 4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981" w:rsidRPr="005B082C">
        <w:rPr>
          <w:noProof/>
          <w:lang w:eastAsia="hr-HR"/>
        </w:rPr>
        <w:drawing>
          <wp:inline distT="0" distB="0" distL="0" distR="0" wp14:anchorId="2DC4B899" wp14:editId="6EEA86D8">
            <wp:extent cx="2413000" cy="777240"/>
            <wp:effectExtent l="0" t="0" r="6350" b="3810"/>
            <wp:docPr id="2" name="Picture 2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981" w:rsidRPr="005B082C" w:rsidRDefault="00A04981" w:rsidP="005B082C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jc w:val="center"/>
        <w:rPr>
          <w:rFonts w:cs="Times New Roman"/>
          <w:b/>
          <w:bCs/>
          <w:color w:val="000000"/>
          <w:sz w:val="40"/>
          <w:szCs w:val="40"/>
        </w:rPr>
      </w:pPr>
    </w:p>
    <w:p w:rsidR="00200D34" w:rsidRDefault="008148C2" w:rsidP="008148C2">
      <w:pPr>
        <w:pStyle w:val="Title"/>
        <w:ind w:left="709"/>
      </w:pPr>
      <w:r>
        <w:t>P</w:t>
      </w:r>
      <w:r w:rsidR="00BA53A7">
        <w:t>rogram osiguranj</w:t>
      </w:r>
      <w:r w:rsidR="00D973D5">
        <w:t xml:space="preserve">a </w:t>
      </w:r>
      <w:r>
        <w:t>kratkoročnih izvoznih potraživanja</w:t>
      </w:r>
    </w:p>
    <w:p w:rsidR="00D973D5" w:rsidRPr="00D973D5" w:rsidRDefault="00D973D5" w:rsidP="00D973D5"/>
    <w:p w:rsidR="00200D34" w:rsidRPr="005B082C" w:rsidRDefault="00FE4BFD" w:rsidP="005B082C">
      <w:pPr>
        <w:pStyle w:val="Title"/>
        <w:ind w:left="709"/>
      </w:pPr>
      <w:r w:rsidRPr="005B082C">
        <w:t>KI</w:t>
      </w:r>
      <w:r w:rsidR="00A04981" w:rsidRPr="005B082C">
        <w:t>/</w:t>
      </w:r>
      <w:r w:rsidR="004F6D63">
        <w:t>0</w:t>
      </w:r>
      <w:r w:rsidR="00200D34" w:rsidRPr="005B082C">
        <w:t>1-</w:t>
      </w:r>
      <w:r w:rsidR="003C09C5" w:rsidRPr="005B082C">
        <w:t>1</w:t>
      </w:r>
      <w:r w:rsidR="00B24C09">
        <w:t>6</w:t>
      </w:r>
    </w:p>
    <w:p w:rsidR="000C17CA" w:rsidRPr="005B082C" w:rsidRDefault="000C17CA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5B082C">
      <w:pPr>
        <w:autoSpaceDE w:val="0"/>
        <w:autoSpaceDN w:val="0"/>
        <w:adjustRightInd w:val="0"/>
        <w:ind w:left="709"/>
        <w:rPr>
          <w:rFonts w:cs="Times New Roman"/>
          <w:b/>
          <w:bCs/>
          <w:color w:val="000000"/>
          <w:szCs w:val="20"/>
        </w:rPr>
      </w:pPr>
    </w:p>
    <w:p w:rsidR="00A04981" w:rsidRPr="005B082C" w:rsidRDefault="00A04981" w:rsidP="00200D34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0"/>
        </w:rPr>
      </w:pPr>
    </w:p>
    <w:p w:rsidR="00F67EFD" w:rsidRDefault="00F67EFD">
      <w:pPr>
        <w:spacing w:after="0" w:line="276" w:lineRule="auto"/>
        <w:rPr>
          <w:rFonts w:ascii="Calibri" w:hAnsi="Calibri" w:cs="Times New Roman"/>
          <w:b/>
          <w:bCs/>
          <w:color w:val="000000"/>
          <w:sz w:val="22"/>
          <w:szCs w:val="24"/>
        </w:rPr>
      </w:pPr>
      <w:r>
        <w:br w:type="page"/>
      </w:r>
    </w:p>
    <w:p w:rsidR="004C3AE6" w:rsidRDefault="004C3AE6" w:rsidP="004C3AE6">
      <w:pPr>
        <w:pStyle w:val="Istaknuto"/>
        <w:sectPr w:rsidR="004C3AE6" w:rsidSect="00C05F2F">
          <w:footerReference w:type="default" r:id="rId10"/>
          <w:footerReference w:type="first" r:id="rId11"/>
          <w:pgSz w:w="11906" w:h="16838"/>
          <w:pgMar w:top="1418" w:right="1134" w:bottom="1701" w:left="1134" w:header="709" w:footer="709" w:gutter="170"/>
          <w:cols w:space="708"/>
          <w:titlePg/>
          <w:docGrid w:linePitch="360"/>
        </w:sectPr>
      </w:pPr>
    </w:p>
    <w:p w:rsidR="00E05D4A" w:rsidRDefault="00E05D4A" w:rsidP="00E05D4A">
      <w:pPr>
        <w:jc w:val="center"/>
        <w:rPr>
          <w:b/>
          <w:sz w:val="24"/>
          <w:szCs w:val="24"/>
        </w:rPr>
      </w:pPr>
      <w:r w:rsidRPr="00E05D4A">
        <w:rPr>
          <w:b/>
          <w:sz w:val="24"/>
          <w:szCs w:val="24"/>
        </w:rPr>
        <w:lastRenderedPageBreak/>
        <w:t>P</w:t>
      </w:r>
      <w:r w:rsidR="00D973D5">
        <w:rPr>
          <w:b/>
          <w:sz w:val="24"/>
          <w:szCs w:val="24"/>
        </w:rPr>
        <w:t>ROGRAM OSIGURANJA</w:t>
      </w:r>
      <w:r w:rsidRPr="00E05D4A">
        <w:rPr>
          <w:b/>
          <w:sz w:val="24"/>
          <w:szCs w:val="24"/>
        </w:rPr>
        <w:t xml:space="preserve"> KRATKOROČNIH IZVOZNIH POTRAŽIVANJA</w:t>
      </w:r>
      <w:r w:rsidR="003C0C85">
        <w:rPr>
          <w:b/>
          <w:sz w:val="24"/>
          <w:szCs w:val="24"/>
        </w:rPr>
        <w:t xml:space="preserve"> KI/01-1</w:t>
      </w:r>
      <w:r w:rsidR="00623BA1">
        <w:rPr>
          <w:b/>
          <w:sz w:val="24"/>
          <w:szCs w:val="24"/>
        </w:rPr>
        <w:t>6</w:t>
      </w:r>
    </w:p>
    <w:p w:rsidR="006A4E58" w:rsidRPr="00041A9E" w:rsidRDefault="006A4E58" w:rsidP="00E05D4A">
      <w:pPr>
        <w:jc w:val="center"/>
        <w:rPr>
          <w:b/>
          <w:szCs w:val="20"/>
        </w:rPr>
      </w:pPr>
    </w:p>
    <w:p w:rsidR="00141340" w:rsidRPr="00041A9E" w:rsidRDefault="00141340" w:rsidP="000F74CD">
      <w:pPr>
        <w:pStyle w:val="ListParagraph"/>
        <w:numPr>
          <w:ilvl w:val="0"/>
          <w:numId w:val="9"/>
        </w:numPr>
        <w:spacing w:after="0" w:line="240" w:lineRule="atLeast"/>
        <w:rPr>
          <w:b/>
          <w:bCs/>
        </w:rPr>
      </w:pPr>
      <w:r w:rsidRPr="00041A9E">
        <w:rPr>
          <w:b/>
          <w:bCs/>
        </w:rPr>
        <w:t>Cilj Programa</w:t>
      </w:r>
    </w:p>
    <w:p w:rsidR="00E83A8A" w:rsidRPr="004A7D8E" w:rsidRDefault="00E83A8A" w:rsidP="00A61E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993" w:hanging="284"/>
        <w:rPr>
          <w:bCs/>
        </w:rPr>
      </w:pPr>
      <w:r>
        <w:rPr>
          <w:bCs/>
        </w:rPr>
        <w:t>očuvanje radnih mjesta u RH, očuvanje likvidnosti društava i poboljšanja konkurentnosti nacionalnog gospodarstva,</w:t>
      </w:r>
    </w:p>
    <w:p w:rsidR="00E83A8A" w:rsidRDefault="00E83A8A" w:rsidP="00A61E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993" w:hanging="284"/>
        <w:rPr>
          <w:bCs/>
        </w:rPr>
      </w:pPr>
      <w:r w:rsidRPr="0074675A">
        <w:rPr>
          <w:bCs/>
        </w:rPr>
        <w:t>omoguć</w:t>
      </w:r>
      <w:r>
        <w:rPr>
          <w:bCs/>
        </w:rPr>
        <w:t>avanje</w:t>
      </w:r>
      <w:r w:rsidRPr="0074675A">
        <w:rPr>
          <w:bCs/>
        </w:rPr>
        <w:t xml:space="preserve"> izvoznicima intenzivniji izlazak na strana tržišta s ciljem pronalaska novih inozemnih kupaca</w:t>
      </w:r>
      <w:r>
        <w:rPr>
          <w:bCs/>
        </w:rPr>
        <w:t>,</w:t>
      </w:r>
    </w:p>
    <w:p w:rsidR="00E83A8A" w:rsidRPr="0074675A" w:rsidRDefault="00E83A8A" w:rsidP="00A61EC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tLeast"/>
        <w:ind w:left="993" w:hanging="284"/>
        <w:rPr>
          <w:bCs/>
        </w:rPr>
      </w:pPr>
      <w:r>
        <w:rPr>
          <w:bCs/>
        </w:rPr>
        <w:t>podjela političkih i komercijalnih rizika koji se pojavljuju u izvoznom poslu s društvom koje plasira svoje robe i usluge inozemnim kupcima.</w:t>
      </w:r>
      <w:r w:rsidRPr="0074675A">
        <w:rPr>
          <w:bCs/>
        </w:rPr>
        <w:t xml:space="preserve"> </w:t>
      </w:r>
    </w:p>
    <w:p w:rsidR="00141340" w:rsidRPr="00041A9E" w:rsidRDefault="00141340" w:rsidP="00A61ECE">
      <w:pPr>
        <w:autoSpaceDE w:val="0"/>
        <w:autoSpaceDN w:val="0"/>
        <w:adjustRightInd w:val="0"/>
        <w:spacing w:after="0" w:line="240" w:lineRule="atLeast"/>
        <w:ind w:left="709"/>
        <w:rPr>
          <w:bCs/>
          <w:szCs w:val="20"/>
        </w:rPr>
      </w:pPr>
    </w:p>
    <w:p w:rsidR="00141340" w:rsidRPr="00041A9E" w:rsidRDefault="00141340" w:rsidP="000F74CD">
      <w:pPr>
        <w:pStyle w:val="ListParagraph"/>
        <w:numPr>
          <w:ilvl w:val="0"/>
          <w:numId w:val="9"/>
        </w:numPr>
        <w:rPr>
          <w:b/>
        </w:rPr>
      </w:pPr>
      <w:r w:rsidRPr="00041A9E">
        <w:rPr>
          <w:b/>
        </w:rPr>
        <w:t>Korisnici osiguranja</w:t>
      </w:r>
    </w:p>
    <w:p w:rsidR="00141340" w:rsidRPr="00041A9E" w:rsidRDefault="00141340" w:rsidP="00141340">
      <w:pPr>
        <w:pStyle w:val="ListParagraph"/>
        <w:numPr>
          <w:ilvl w:val="0"/>
          <w:numId w:val="0"/>
        </w:numPr>
        <w:ind w:left="720"/>
      </w:pPr>
      <w:r w:rsidRPr="00041A9E">
        <w:t xml:space="preserve">Izvoznici roba i usluga široke potrošnje koji s </w:t>
      </w:r>
      <w:r w:rsidR="00B4025F">
        <w:t>I</w:t>
      </w:r>
      <w:r w:rsidRPr="00041A9E">
        <w:t>nozemnim kupcima ugovaraju odgodu plaćanja do 365 dana, iznimno do 2 godine</w:t>
      </w:r>
      <w:r w:rsidR="00C053FD">
        <w:t>.</w:t>
      </w:r>
    </w:p>
    <w:p w:rsidR="00141340" w:rsidRPr="00041A9E" w:rsidRDefault="00141340" w:rsidP="00141340">
      <w:pPr>
        <w:pStyle w:val="ListParagraph"/>
        <w:numPr>
          <w:ilvl w:val="0"/>
          <w:numId w:val="0"/>
        </w:numPr>
        <w:ind w:left="720"/>
      </w:pPr>
    </w:p>
    <w:p w:rsidR="00141340" w:rsidRPr="00041A9E" w:rsidRDefault="00141340" w:rsidP="000F74CD">
      <w:pPr>
        <w:pStyle w:val="ListParagraph"/>
        <w:numPr>
          <w:ilvl w:val="0"/>
          <w:numId w:val="9"/>
        </w:numPr>
        <w:rPr>
          <w:b/>
        </w:rPr>
      </w:pPr>
      <w:r w:rsidRPr="00041A9E">
        <w:rPr>
          <w:b/>
        </w:rPr>
        <w:t>Predmet osiguranja</w:t>
      </w:r>
    </w:p>
    <w:p w:rsidR="00243B2D" w:rsidRPr="00041A9E" w:rsidRDefault="00C053FD" w:rsidP="00243B2D">
      <w:pPr>
        <w:pStyle w:val="ListParagraph"/>
        <w:numPr>
          <w:ilvl w:val="0"/>
          <w:numId w:val="0"/>
        </w:numPr>
        <w:ind w:left="720"/>
      </w:pPr>
      <w:r>
        <w:t>N</w:t>
      </w:r>
      <w:r w:rsidR="00243B2D" w:rsidRPr="00041A9E">
        <w:t xml:space="preserve">ovčana potraživanja nastala temeljem </w:t>
      </w:r>
      <w:r w:rsidR="006E44E7" w:rsidRPr="00041A9E">
        <w:t xml:space="preserve">izvršenih i fakturiranih isporuka roba i/ili usluga prema </w:t>
      </w:r>
      <w:r w:rsidR="00016FF3">
        <w:t>I</w:t>
      </w:r>
      <w:r w:rsidR="006E44E7" w:rsidRPr="00041A9E">
        <w:t>nozemnom kupcu.</w:t>
      </w:r>
    </w:p>
    <w:p w:rsidR="00A6047A" w:rsidRPr="00041A9E" w:rsidRDefault="00A6047A" w:rsidP="00243B2D">
      <w:pPr>
        <w:pStyle w:val="ListParagraph"/>
        <w:numPr>
          <w:ilvl w:val="0"/>
          <w:numId w:val="0"/>
        </w:numPr>
        <w:ind w:left="720"/>
      </w:pPr>
    </w:p>
    <w:p w:rsidR="00A6047A" w:rsidRPr="00041A9E" w:rsidRDefault="00C053FD" w:rsidP="000F74CD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Osiguranje naplate</w:t>
      </w:r>
      <w:r w:rsidR="00A6047A" w:rsidRPr="00041A9E">
        <w:rPr>
          <w:b/>
        </w:rPr>
        <w:t xml:space="preserve"> </w:t>
      </w:r>
      <w:r>
        <w:rPr>
          <w:b/>
        </w:rPr>
        <w:t xml:space="preserve">potraživanja </w:t>
      </w:r>
      <w:r w:rsidR="00A6047A" w:rsidRPr="00041A9E">
        <w:rPr>
          <w:b/>
        </w:rPr>
        <w:t>temeljem</w:t>
      </w:r>
      <w:r>
        <w:rPr>
          <w:b/>
        </w:rPr>
        <w:t xml:space="preserve"> izvršenih isporuka</w:t>
      </w:r>
    </w:p>
    <w:p w:rsidR="00C053FD" w:rsidRPr="00864C3C" w:rsidRDefault="00C053FD" w:rsidP="00A61ECE">
      <w:pPr>
        <w:pStyle w:val="ListParagraph"/>
        <w:numPr>
          <w:ilvl w:val="0"/>
          <w:numId w:val="0"/>
        </w:numPr>
        <w:spacing w:after="0" w:line="240" w:lineRule="atLeast"/>
        <w:ind w:left="709"/>
        <w:rPr>
          <w:bCs/>
        </w:rPr>
      </w:pPr>
      <w:r>
        <w:t>Potraživanje nastalo temeljem p</w:t>
      </w:r>
      <w:r w:rsidR="00A6047A" w:rsidRPr="00041A9E">
        <w:t xml:space="preserve">ojedine </w:t>
      </w:r>
      <w:r>
        <w:t>i/ili kontinuirane isporuke roba i/ili usluga prema inozemnim kupcima</w:t>
      </w:r>
    </w:p>
    <w:p w:rsidR="00F61E42" w:rsidRPr="00041A9E" w:rsidRDefault="00F61E42" w:rsidP="00F61E42">
      <w:pPr>
        <w:autoSpaceDE w:val="0"/>
        <w:autoSpaceDN w:val="0"/>
        <w:adjustRightInd w:val="0"/>
        <w:spacing w:after="0" w:line="240" w:lineRule="atLeast"/>
        <w:rPr>
          <w:bCs/>
          <w:szCs w:val="20"/>
        </w:rPr>
      </w:pPr>
    </w:p>
    <w:p w:rsidR="00F61E42" w:rsidRPr="00041A9E" w:rsidRDefault="00F61E42" w:rsidP="000F74CD">
      <w:pPr>
        <w:pStyle w:val="ListParagraph"/>
        <w:numPr>
          <w:ilvl w:val="0"/>
          <w:numId w:val="9"/>
        </w:numPr>
        <w:spacing w:after="0" w:line="240" w:lineRule="atLeast"/>
        <w:rPr>
          <w:b/>
          <w:bCs/>
        </w:rPr>
      </w:pPr>
      <w:r w:rsidRPr="00041A9E">
        <w:rPr>
          <w:b/>
          <w:bCs/>
        </w:rPr>
        <w:t>Osigurani rizici</w:t>
      </w:r>
    </w:p>
    <w:p w:rsidR="00F61E42" w:rsidRPr="00041A9E" w:rsidRDefault="00F61E42" w:rsidP="00F61E42">
      <w:pPr>
        <w:autoSpaceDE w:val="0"/>
        <w:autoSpaceDN w:val="0"/>
        <w:adjustRightInd w:val="0"/>
        <w:spacing w:line="240" w:lineRule="atLeast"/>
        <w:ind w:left="708"/>
        <w:rPr>
          <w:bCs/>
          <w:szCs w:val="20"/>
        </w:rPr>
      </w:pPr>
      <w:r w:rsidRPr="00041A9E">
        <w:rPr>
          <w:bCs/>
          <w:szCs w:val="20"/>
        </w:rPr>
        <w:t>Programom osiguranja moguće je osigurati neutržive, odnosno privremeno neutržive komercijalne i političke rizike kako slijedi:</w:t>
      </w:r>
    </w:p>
    <w:p w:rsidR="00F61E42" w:rsidRPr="00041A9E" w:rsidRDefault="00F61E42" w:rsidP="00F61E42">
      <w:pPr>
        <w:autoSpaceDE w:val="0"/>
        <w:autoSpaceDN w:val="0"/>
        <w:adjustRightInd w:val="0"/>
        <w:spacing w:after="0" w:line="240" w:lineRule="atLeast"/>
        <w:ind w:left="720"/>
        <w:rPr>
          <w:bCs/>
          <w:i/>
          <w:szCs w:val="20"/>
        </w:rPr>
      </w:pPr>
      <w:r w:rsidRPr="00041A9E">
        <w:rPr>
          <w:bCs/>
          <w:i/>
          <w:szCs w:val="20"/>
        </w:rPr>
        <w:t>Komercijalni rizici</w:t>
      </w:r>
    </w:p>
    <w:p w:rsidR="00F61E42" w:rsidRPr="00041A9E" w:rsidRDefault="00C053FD" w:rsidP="000F74C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rPr>
          <w:bCs/>
          <w:szCs w:val="20"/>
        </w:rPr>
      </w:pPr>
      <w:r>
        <w:rPr>
          <w:bCs/>
          <w:szCs w:val="20"/>
        </w:rPr>
        <w:t>Produženo neplaćanje odnosno z</w:t>
      </w:r>
      <w:r w:rsidR="00F61E42" w:rsidRPr="00041A9E">
        <w:rPr>
          <w:bCs/>
          <w:szCs w:val="20"/>
        </w:rPr>
        <w:t>akašnjenje u plaćanju Inozemnog kupca po dospijeću uobičajenog roka plaćanja;</w:t>
      </w:r>
    </w:p>
    <w:p w:rsidR="00F61E42" w:rsidRPr="00041A9E" w:rsidRDefault="00F61E42" w:rsidP="000F74CD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rPr>
          <w:bCs/>
          <w:szCs w:val="20"/>
        </w:rPr>
      </w:pPr>
      <w:r w:rsidRPr="00041A9E">
        <w:rPr>
          <w:bCs/>
          <w:szCs w:val="20"/>
        </w:rPr>
        <w:t>Insolventnosti Inozemnog kupca ili druge objektivne činjenice koje ukazuju na nemogućnost izvršenja obveze plaćanja, otvaranje predstečajnog, stečajnog ili likvidacijskog postupka nad Inozemnim kupcem.</w:t>
      </w:r>
    </w:p>
    <w:p w:rsidR="00C30690" w:rsidRPr="00041A9E" w:rsidRDefault="00C30690" w:rsidP="00C30690">
      <w:pPr>
        <w:autoSpaceDE w:val="0"/>
        <w:autoSpaceDN w:val="0"/>
        <w:adjustRightInd w:val="0"/>
        <w:spacing w:after="0" w:line="240" w:lineRule="atLeast"/>
        <w:ind w:left="720"/>
        <w:rPr>
          <w:bCs/>
          <w:i/>
          <w:szCs w:val="20"/>
        </w:rPr>
      </w:pPr>
    </w:p>
    <w:p w:rsidR="00F61E42" w:rsidRPr="00041A9E" w:rsidRDefault="00F61E42" w:rsidP="00C30690">
      <w:pPr>
        <w:autoSpaceDE w:val="0"/>
        <w:autoSpaceDN w:val="0"/>
        <w:adjustRightInd w:val="0"/>
        <w:spacing w:after="0" w:line="240" w:lineRule="atLeast"/>
        <w:ind w:left="720"/>
        <w:rPr>
          <w:bCs/>
          <w:i/>
          <w:szCs w:val="20"/>
        </w:rPr>
      </w:pPr>
      <w:r w:rsidRPr="00041A9E">
        <w:rPr>
          <w:bCs/>
          <w:i/>
          <w:szCs w:val="20"/>
        </w:rPr>
        <w:t>Politički rizici</w:t>
      </w:r>
    </w:p>
    <w:p w:rsidR="00F61E42" w:rsidRPr="00A202D4" w:rsidRDefault="00F61E42" w:rsidP="00A202D4">
      <w:pPr>
        <w:pStyle w:val="ListParagraph"/>
        <w:numPr>
          <w:ilvl w:val="1"/>
          <w:numId w:val="17"/>
        </w:numPr>
        <w:spacing w:after="0" w:line="240" w:lineRule="atLeast"/>
        <w:rPr>
          <w:bCs/>
        </w:rPr>
      </w:pPr>
      <w:r w:rsidRPr="00A202D4">
        <w:rPr>
          <w:bCs/>
        </w:rPr>
        <w:t>Rat ili ratu slični događaji;</w:t>
      </w:r>
    </w:p>
    <w:p w:rsidR="00F61E42" w:rsidRPr="00A202D4" w:rsidRDefault="00F61E42" w:rsidP="00A202D4">
      <w:pPr>
        <w:pStyle w:val="ListParagraph"/>
        <w:numPr>
          <w:ilvl w:val="1"/>
          <w:numId w:val="17"/>
        </w:numPr>
        <w:spacing w:after="0" w:line="240" w:lineRule="atLeast"/>
        <w:rPr>
          <w:bCs/>
        </w:rPr>
      </w:pPr>
      <w:r w:rsidRPr="00A202D4">
        <w:rPr>
          <w:bCs/>
        </w:rPr>
        <w:t>Pobuna ili revolucija</w:t>
      </w:r>
    </w:p>
    <w:p w:rsidR="00F61E42" w:rsidRPr="00A202D4" w:rsidRDefault="00F61E42" w:rsidP="00A202D4">
      <w:pPr>
        <w:pStyle w:val="ListParagraph"/>
        <w:numPr>
          <w:ilvl w:val="1"/>
          <w:numId w:val="17"/>
        </w:numPr>
        <w:spacing w:after="0" w:line="240" w:lineRule="atLeast"/>
        <w:rPr>
          <w:bCs/>
        </w:rPr>
      </w:pPr>
      <w:r w:rsidRPr="00A202D4">
        <w:rPr>
          <w:bCs/>
        </w:rPr>
        <w:t>Vladine mjere koje na rok dulji od 3 mjeseca ograničavaju ili sprječavaju transfer ili slobodno raspolaganje plaćanjima dugovana izvozniku.</w:t>
      </w:r>
    </w:p>
    <w:p w:rsidR="00D84940" w:rsidRPr="00041A9E" w:rsidRDefault="00D84940" w:rsidP="00A202D4">
      <w:pPr>
        <w:pStyle w:val="ListParagraph"/>
        <w:numPr>
          <w:ilvl w:val="0"/>
          <w:numId w:val="0"/>
        </w:numPr>
        <w:spacing w:after="0" w:line="240" w:lineRule="atLeast"/>
        <w:ind w:left="720"/>
        <w:rPr>
          <w:bCs/>
        </w:rPr>
      </w:pPr>
    </w:p>
    <w:p w:rsidR="00D84940" w:rsidRPr="00041A9E" w:rsidRDefault="00D84940" w:rsidP="000F74CD">
      <w:pPr>
        <w:pStyle w:val="ListParagraph"/>
        <w:numPr>
          <w:ilvl w:val="0"/>
          <w:numId w:val="9"/>
        </w:numPr>
        <w:spacing w:after="0" w:line="240" w:lineRule="atLeast"/>
        <w:rPr>
          <w:b/>
          <w:bCs/>
        </w:rPr>
      </w:pPr>
      <w:r w:rsidRPr="00041A9E">
        <w:rPr>
          <w:b/>
          <w:bCs/>
        </w:rPr>
        <w:t>Razina pokrića</w:t>
      </w:r>
    </w:p>
    <w:p w:rsidR="00D84940" w:rsidRPr="00041A9E" w:rsidRDefault="00D84940" w:rsidP="00D84940">
      <w:pPr>
        <w:spacing w:after="0" w:line="240" w:lineRule="atLeast"/>
        <w:ind w:left="720"/>
        <w:rPr>
          <w:bCs/>
          <w:szCs w:val="20"/>
        </w:rPr>
      </w:pPr>
      <w:r w:rsidRPr="00041A9E">
        <w:rPr>
          <w:bCs/>
          <w:szCs w:val="20"/>
        </w:rPr>
        <w:t xml:space="preserve">HBOR u svakom </w:t>
      </w:r>
      <w:r w:rsidR="00016FF3">
        <w:rPr>
          <w:bCs/>
          <w:szCs w:val="20"/>
        </w:rPr>
        <w:t xml:space="preserve">Osiguranom </w:t>
      </w:r>
      <w:r w:rsidRPr="00041A9E">
        <w:rPr>
          <w:bCs/>
          <w:szCs w:val="20"/>
        </w:rPr>
        <w:t>riziku može sudjel</w:t>
      </w:r>
      <w:r w:rsidR="00016FF3">
        <w:rPr>
          <w:bCs/>
          <w:szCs w:val="20"/>
        </w:rPr>
        <w:t>ovati</w:t>
      </w:r>
      <w:r w:rsidRPr="00041A9E">
        <w:rPr>
          <w:bCs/>
          <w:szCs w:val="20"/>
        </w:rPr>
        <w:t xml:space="preserve"> s najviše </w:t>
      </w:r>
      <w:r w:rsidR="00B24C09">
        <w:rPr>
          <w:bCs/>
          <w:szCs w:val="20"/>
        </w:rPr>
        <w:t>90</w:t>
      </w:r>
      <w:r w:rsidRPr="00041A9E">
        <w:rPr>
          <w:bCs/>
          <w:szCs w:val="20"/>
        </w:rPr>
        <w:t xml:space="preserve">%, ovisno o procjeni rizika. Izvoznikov udio u </w:t>
      </w:r>
      <w:r w:rsidR="00016FF3">
        <w:rPr>
          <w:bCs/>
          <w:szCs w:val="20"/>
        </w:rPr>
        <w:t xml:space="preserve">Osiguranom </w:t>
      </w:r>
      <w:r w:rsidRPr="00041A9E">
        <w:rPr>
          <w:bCs/>
          <w:szCs w:val="20"/>
        </w:rPr>
        <w:t>riziku (</w:t>
      </w:r>
      <w:r w:rsidR="00016FF3">
        <w:rPr>
          <w:bCs/>
          <w:szCs w:val="20"/>
        </w:rPr>
        <w:t>S</w:t>
      </w:r>
      <w:r w:rsidRPr="00041A9E">
        <w:rPr>
          <w:bCs/>
          <w:szCs w:val="20"/>
        </w:rPr>
        <w:t>amopridržaj) iznosi najmanje 1</w:t>
      </w:r>
      <w:r w:rsidR="00B24C09">
        <w:rPr>
          <w:bCs/>
          <w:szCs w:val="20"/>
        </w:rPr>
        <w:t>0</w:t>
      </w:r>
      <w:r w:rsidRPr="00041A9E">
        <w:rPr>
          <w:bCs/>
          <w:szCs w:val="20"/>
        </w:rPr>
        <w:t>%.</w:t>
      </w:r>
    </w:p>
    <w:p w:rsidR="00E2644C" w:rsidRPr="00041A9E" w:rsidRDefault="00E2644C" w:rsidP="00D84940">
      <w:pPr>
        <w:spacing w:after="0" w:line="240" w:lineRule="atLeast"/>
        <w:ind w:left="720"/>
        <w:rPr>
          <w:bCs/>
          <w:szCs w:val="20"/>
        </w:rPr>
      </w:pPr>
    </w:p>
    <w:p w:rsidR="00E2644C" w:rsidRPr="00041A9E" w:rsidRDefault="00E2644C" w:rsidP="000F74CD">
      <w:pPr>
        <w:pStyle w:val="ListParagraph"/>
        <w:numPr>
          <w:ilvl w:val="0"/>
          <w:numId w:val="9"/>
        </w:numPr>
        <w:spacing w:after="0" w:line="240" w:lineRule="atLeast"/>
        <w:rPr>
          <w:b/>
          <w:bCs/>
        </w:rPr>
      </w:pPr>
      <w:r w:rsidRPr="00041A9E">
        <w:rPr>
          <w:b/>
          <w:bCs/>
        </w:rPr>
        <w:t>Ugovor o osiguranju</w:t>
      </w:r>
    </w:p>
    <w:p w:rsidR="00E2644C" w:rsidRPr="00041A9E" w:rsidRDefault="00E2644C" w:rsidP="00E2644C">
      <w:pPr>
        <w:pStyle w:val="ListParagraph"/>
        <w:numPr>
          <w:ilvl w:val="0"/>
          <w:numId w:val="0"/>
        </w:numPr>
        <w:spacing w:after="0" w:line="240" w:lineRule="atLeast"/>
        <w:ind w:left="720"/>
        <w:rPr>
          <w:bCs/>
        </w:rPr>
      </w:pPr>
      <w:r w:rsidRPr="00041A9E">
        <w:rPr>
          <w:bCs/>
        </w:rPr>
        <w:t xml:space="preserve">Ugovor o osiguranju sastoji se od Općih uvjeta osiguranja kratkoročnih izvoznih potraživanja </w:t>
      </w:r>
      <w:r w:rsidR="00623BA1" w:rsidRPr="00623BA1">
        <w:rPr>
          <w:bCs/>
        </w:rPr>
        <w:t>OU-KI-01/16</w:t>
      </w:r>
      <w:r w:rsidR="00623BA1">
        <w:rPr>
          <w:bCs/>
        </w:rPr>
        <w:t xml:space="preserve"> </w:t>
      </w:r>
      <w:r w:rsidRPr="00041A9E">
        <w:rPr>
          <w:bCs/>
        </w:rPr>
        <w:t>i Police osiguranja izvoznih potraživanja</w:t>
      </w:r>
      <w:r w:rsidR="00C053FD">
        <w:rPr>
          <w:bCs/>
        </w:rPr>
        <w:t>.</w:t>
      </w:r>
    </w:p>
    <w:p w:rsidR="00D84940" w:rsidRPr="00041A9E" w:rsidRDefault="00D84940" w:rsidP="00D84940">
      <w:pPr>
        <w:spacing w:after="0" w:line="240" w:lineRule="atLeast"/>
        <w:ind w:left="720"/>
        <w:rPr>
          <w:bCs/>
          <w:szCs w:val="20"/>
        </w:rPr>
      </w:pPr>
    </w:p>
    <w:p w:rsidR="00147AED" w:rsidRPr="00041A9E" w:rsidRDefault="00147AED" w:rsidP="000F74CD">
      <w:pPr>
        <w:pStyle w:val="ListParagraph"/>
        <w:numPr>
          <w:ilvl w:val="0"/>
          <w:numId w:val="9"/>
        </w:numPr>
        <w:spacing w:after="0" w:line="240" w:lineRule="atLeast"/>
        <w:rPr>
          <w:b/>
          <w:bCs/>
        </w:rPr>
      </w:pPr>
      <w:r w:rsidRPr="00041A9E">
        <w:rPr>
          <w:b/>
          <w:bCs/>
        </w:rPr>
        <w:t>Osigurana svota</w:t>
      </w:r>
    </w:p>
    <w:p w:rsidR="00147AED" w:rsidRDefault="00147AED" w:rsidP="00147AED">
      <w:pPr>
        <w:ind w:left="708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Novčani iznos na koji je zaključeno osiguranje po pojedinom </w:t>
      </w:r>
      <w:r w:rsidR="00016FF3">
        <w:rPr>
          <w:rFonts w:ascii="Calibri" w:hAnsi="Calibri"/>
          <w:szCs w:val="20"/>
        </w:rPr>
        <w:t>I</w:t>
      </w:r>
      <w:r w:rsidRPr="00041A9E">
        <w:rPr>
          <w:rFonts w:ascii="Calibri" w:hAnsi="Calibri"/>
          <w:szCs w:val="20"/>
        </w:rPr>
        <w:t xml:space="preserve">nozemnom kupcu i koji je naveden u </w:t>
      </w:r>
      <w:r w:rsidR="00016FF3">
        <w:rPr>
          <w:rFonts w:ascii="Calibri" w:hAnsi="Calibri"/>
          <w:szCs w:val="20"/>
        </w:rPr>
        <w:t>P</w:t>
      </w:r>
      <w:r w:rsidRPr="00041A9E">
        <w:rPr>
          <w:rFonts w:ascii="Calibri" w:hAnsi="Calibri"/>
          <w:szCs w:val="20"/>
        </w:rPr>
        <w:t>olici osiguranja izvoznih potraživanja.</w:t>
      </w:r>
      <w:r w:rsidR="00647DAC" w:rsidRPr="00041A9E">
        <w:rPr>
          <w:rFonts w:ascii="Calibri" w:hAnsi="Calibri"/>
          <w:szCs w:val="20"/>
        </w:rPr>
        <w:t xml:space="preserve"> Odobrena </w:t>
      </w:r>
      <w:r w:rsidR="00016FF3">
        <w:rPr>
          <w:rFonts w:ascii="Calibri" w:hAnsi="Calibri"/>
          <w:szCs w:val="20"/>
        </w:rPr>
        <w:t>O</w:t>
      </w:r>
      <w:r w:rsidR="00647DAC" w:rsidRPr="00041A9E">
        <w:rPr>
          <w:rFonts w:ascii="Calibri" w:hAnsi="Calibri"/>
          <w:szCs w:val="20"/>
        </w:rPr>
        <w:t xml:space="preserve">sigurana svota predstavlja osigurani iznos potraživanja prema pojedinom </w:t>
      </w:r>
      <w:r w:rsidR="00016FF3">
        <w:rPr>
          <w:rFonts w:ascii="Calibri" w:hAnsi="Calibri"/>
          <w:szCs w:val="20"/>
        </w:rPr>
        <w:t>I</w:t>
      </w:r>
      <w:r w:rsidR="00647DAC" w:rsidRPr="00041A9E">
        <w:rPr>
          <w:rFonts w:ascii="Calibri" w:hAnsi="Calibri"/>
          <w:szCs w:val="20"/>
        </w:rPr>
        <w:t>nozemnom kupcu.</w:t>
      </w:r>
    </w:p>
    <w:p w:rsidR="00262659" w:rsidRPr="00041A9E" w:rsidRDefault="00262659" w:rsidP="000F74CD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041A9E">
        <w:rPr>
          <w:rFonts w:ascii="Calibri" w:hAnsi="Calibri"/>
          <w:b/>
        </w:rPr>
        <w:lastRenderedPageBreak/>
        <w:t>Premija osiguranja</w:t>
      </w:r>
    </w:p>
    <w:p w:rsidR="00262659" w:rsidRPr="00041A9E" w:rsidRDefault="00262659" w:rsidP="00262659">
      <w:pPr>
        <w:pStyle w:val="ListParagraph"/>
        <w:numPr>
          <w:ilvl w:val="0"/>
          <w:numId w:val="0"/>
        </w:numPr>
        <w:ind w:left="720"/>
        <w:rPr>
          <w:rFonts w:ascii="Calibri" w:hAnsi="Calibri"/>
          <w:bCs/>
        </w:rPr>
      </w:pPr>
      <w:r w:rsidRPr="00041A9E">
        <w:rPr>
          <w:rFonts w:ascii="Calibri" w:hAnsi="Calibri"/>
          <w:bCs/>
        </w:rPr>
        <w:t xml:space="preserve">Za preuzete rizike HBOR izvoznicima naplaćuje </w:t>
      </w:r>
      <w:r w:rsidR="00016FF3">
        <w:rPr>
          <w:rFonts w:ascii="Calibri" w:hAnsi="Calibri"/>
          <w:bCs/>
        </w:rPr>
        <w:t>P</w:t>
      </w:r>
      <w:r w:rsidRPr="00041A9E">
        <w:rPr>
          <w:rFonts w:ascii="Calibri" w:hAnsi="Calibri"/>
          <w:bCs/>
        </w:rPr>
        <w:t>remiju osiguranja koja se u pravilu</w:t>
      </w:r>
      <w:r w:rsidR="00141340" w:rsidRPr="00041A9E">
        <w:rPr>
          <w:rFonts w:ascii="Calibri" w:hAnsi="Calibri"/>
          <w:bCs/>
        </w:rPr>
        <w:t xml:space="preserve"> obračunava i naplaćuje mjesečno, primjenom </w:t>
      </w:r>
      <w:r w:rsidR="00016FF3">
        <w:rPr>
          <w:rFonts w:ascii="Calibri" w:hAnsi="Calibri"/>
          <w:bCs/>
        </w:rPr>
        <w:t>P</w:t>
      </w:r>
      <w:r w:rsidR="00141340" w:rsidRPr="00041A9E">
        <w:rPr>
          <w:rFonts w:ascii="Calibri" w:hAnsi="Calibri"/>
          <w:bCs/>
        </w:rPr>
        <w:t>remijske stope na iznos prijavljene, izvezene i faktur</w:t>
      </w:r>
      <w:r w:rsidRPr="00041A9E">
        <w:rPr>
          <w:rFonts w:ascii="Calibri" w:hAnsi="Calibri"/>
          <w:bCs/>
        </w:rPr>
        <w:t>irane vrijednosti roba i usluga.</w:t>
      </w:r>
    </w:p>
    <w:p w:rsidR="00262659" w:rsidRPr="00041A9E" w:rsidRDefault="00262659" w:rsidP="00262659">
      <w:pPr>
        <w:pStyle w:val="ListParagraph"/>
        <w:numPr>
          <w:ilvl w:val="0"/>
          <w:numId w:val="0"/>
        </w:numPr>
        <w:ind w:left="720"/>
        <w:rPr>
          <w:bCs/>
        </w:rPr>
      </w:pPr>
      <w:r w:rsidRPr="00041A9E">
        <w:rPr>
          <w:rFonts w:ascii="Calibri" w:hAnsi="Calibri"/>
          <w:bCs/>
        </w:rPr>
        <w:t xml:space="preserve">Kod </w:t>
      </w:r>
      <w:r w:rsidR="00016FF3">
        <w:rPr>
          <w:rFonts w:ascii="Calibri" w:hAnsi="Calibri"/>
          <w:bCs/>
        </w:rPr>
        <w:t>U</w:t>
      </w:r>
      <w:r w:rsidRPr="00041A9E">
        <w:rPr>
          <w:rFonts w:ascii="Calibri" w:hAnsi="Calibri"/>
          <w:bCs/>
        </w:rPr>
        <w:t xml:space="preserve">govora o osiguranju </w:t>
      </w:r>
      <w:r w:rsidRPr="00041A9E">
        <w:rPr>
          <w:bCs/>
        </w:rPr>
        <w:t xml:space="preserve">kojima se osigurava naplata izvoznih potraživanja nastalih temeljem </w:t>
      </w:r>
      <w:r w:rsidR="00016FF3">
        <w:rPr>
          <w:bCs/>
        </w:rPr>
        <w:t>pojedine izvozne transakcije, odnosno pojedinog izvoznog posla</w:t>
      </w:r>
      <w:r w:rsidRPr="00041A9E">
        <w:rPr>
          <w:bCs/>
        </w:rPr>
        <w:t xml:space="preserve">, HBOR će </w:t>
      </w:r>
      <w:r w:rsidR="00016FF3">
        <w:rPr>
          <w:bCs/>
        </w:rPr>
        <w:t>P</w:t>
      </w:r>
      <w:r w:rsidRPr="00041A9E">
        <w:rPr>
          <w:bCs/>
        </w:rPr>
        <w:t>remiju osiguranja obračunati i naplatiti jednokratno unaprijed.</w:t>
      </w:r>
    </w:p>
    <w:p w:rsidR="00262659" w:rsidRPr="00041A9E" w:rsidRDefault="00262659" w:rsidP="00262659">
      <w:pPr>
        <w:pStyle w:val="ListParagraph"/>
        <w:numPr>
          <w:ilvl w:val="0"/>
          <w:numId w:val="0"/>
        </w:numPr>
        <w:ind w:left="720"/>
        <w:rPr>
          <w:bCs/>
        </w:rPr>
      </w:pPr>
    </w:p>
    <w:p w:rsidR="00262659" w:rsidRPr="00041A9E" w:rsidRDefault="00262659" w:rsidP="000F74CD">
      <w:pPr>
        <w:pStyle w:val="ListParagraph"/>
        <w:numPr>
          <w:ilvl w:val="0"/>
          <w:numId w:val="9"/>
        </w:numPr>
        <w:rPr>
          <w:b/>
          <w:bCs/>
        </w:rPr>
      </w:pPr>
      <w:r w:rsidRPr="00041A9E">
        <w:rPr>
          <w:b/>
          <w:bCs/>
        </w:rPr>
        <w:t>Naknada za obradu zahtjeva</w:t>
      </w:r>
    </w:p>
    <w:p w:rsidR="00262659" w:rsidRPr="00041A9E" w:rsidRDefault="00262659" w:rsidP="00262659">
      <w:pPr>
        <w:pStyle w:val="ListParagraph"/>
        <w:numPr>
          <w:ilvl w:val="0"/>
          <w:numId w:val="0"/>
        </w:numPr>
        <w:ind w:left="720"/>
        <w:rPr>
          <w:bCs/>
        </w:rPr>
      </w:pPr>
      <w:r w:rsidRPr="00041A9E">
        <w:rPr>
          <w:bCs/>
        </w:rPr>
        <w:t xml:space="preserve">Obračunava se i naplaćuje po obrađenom </w:t>
      </w:r>
      <w:r w:rsidR="00016FF3">
        <w:rPr>
          <w:bCs/>
        </w:rPr>
        <w:t>Z</w:t>
      </w:r>
      <w:r w:rsidRPr="00041A9E">
        <w:rPr>
          <w:bCs/>
        </w:rPr>
        <w:t>ahtjevu za osiguranje sukladno važećoj Odluci o obračunu naknada za usluge koje obavlja HB</w:t>
      </w:r>
      <w:r w:rsidR="00B7622E" w:rsidRPr="00041A9E">
        <w:rPr>
          <w:bCs/>
        </w:rPr>
        <w:t>OR</w:t>
      </w:r>
      <w:r w:rsidR="00016FF3">
        <w:rPr>
          <w:bCs/>
        </w:rPr>
        <w:t>.</w:t>
      </w:r>
    </w:p>
    <w:p w:rsidR="009A52BE" w:rsidRPr="00041A9E" w:rsidRDefault="009A52BE" w:rsidP="00262659">
      <w:pPr>
        <w:pStyle w:val="ListParagraph"/>
        <w:numPr>
          <w:ilvl w:val="0"/>
          <w:numId w:val="0"/>
        </w:numPr>
        <w:ind w:left="720"/>
        <w:rPr>
          <w:bCs/>
        </w:rPr>
      </w:pPr>
    </w:p>
    <w:p w:rsidR="009A52BE" w:rsidRPr="00041A9E" w:rsidRDefault="009A52BE" w:rsidP="000F74CD">
      <w:pPr>
        <w:pStyle w:val="ListParagraph"/>
        <w:numPr>
          <w:ilvl w:val="0"/>
          <w:numId w:val="9"/>
        </w:numPr>
        <w:rPr>
          <w:b/>
          <w:bCs/>
        </w:rPr>
      </w:pPr>
      <w:r w:rsidRPr="00041A9E">
        <w:rPr>
          <w:b/>
          <w:bCs/>
        </w:rPr>
        <w:t>Ugovaranje osiguranja</w:t>
      </w:r>
    </w:p>
    <w:p w:rsidR="009A52BE" w:rsidRPr="00041A9E" w:rsidRDefault="009A52BE" w:rsidP="009A52BE">
      <w:pPr>
        <w:pStyle w:val="ListParagraph"/>
        <w:numPr>
          <w:ilvl w:val="0"/>
          <w:numId w:val="0"/>
        </w:numPr>
        <w:ind w:left="720"/>
        <w:rPr>
          <w:bCs/>
        </w:rPr>
      </w:pPr>
      <w:r w:rsidRPr="00041A9E">
        <w:rPr>
          <w:bCs/>
        </w:rPr>
        <w:t xml:space="preserve">Za potrebe zaključenja </w:t>
      </w:r>
      <w:r w:rsidR="00016FF3">
        <w:rPr>
          <w:bCs/>
        </w:rPr>
        <w:t>U</w:t>
      </w:r>
      <w:r w:rsidRPr="00041A9E">
        <w:rPr>
          <w:bCs/>
        </w:rPr>
        <w:t xml:space="preserve">govora o osiguranju </w:t>
      </w:r>
      <w:r w:rsidR="00B4025F">
        <w:rPr>
          <w:bCs/>
        </w:rPr>
        <w:t>I</w:t>
      </w:r>
      <w:r w:rsidRPr="00041A9E">
        <w:rPr>
          <w:bCs/>
        </w:rPr>
        <w:t>zvoznik HBOR-u treba dostaviti sljedeće:</w:t>
      </w:r>
    </w:p>
    <w:p w:rsidR="00141340" w:rsidRPr="00041A9E" w:rsidRDefault="009A52BE" w:rsidP="000F74CD">
      <w:pPr>
        <w:pStyle w:val="ListParagraph"/>
        <w:numPr>
          <w:ilvl w:val="0"/>
          <w:numId w:val="10"/>
        </w:numPr>
        <w:spacing w:after="0"/>
        <w:ind w:left="1418" w:hanging="425"/>
        <w:rPr>
          <w:rFonts w:ascii="Calibri" w:hAnsi="Calibri"/>
        </w:rPr>
      </w:pPr>
      <w:r w:rsidRPr="00041A9E">
        <w:rPr>
          <w:bCs/>
        </w:rPr>
        <w:t>Upitnik o poslovanju</w:t>
      </w:r>
      <w:r w:rsidR="00B4025F">
        <w:rPr>
          <w:bCs/>
        </w:rPr>
        <w:t xml:space="preserve"> I</w:t>
      </w:r>
      <w:r w:rsidR="00016FF3">
        <w:rPr>
          <w:bCs/>
        </w:rPr>
        <w:t>zvoznika;</w:t>
      </w:r>
    </w:p>
    <w:p w:rsidR="00141340" w:rsidRPr="00041A9E" w:rsidRDefault="00141340" w:rsidP="000F74CD">
      <w:pPr>
        <w:numPr>
          <w:ilvl w:val="0"/>
          <w:numId w:val="10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Zahtjev za </w:t>
      </w:r>
      <w:r w:rsidR="009A52BE" w:rsidRPr="00041A9E">
        <w:rPr>
          <w:rFonts w:ascii="Calibri" w:hAnsi="Calibri"/>
          <w:szCs w:val="20"/>
        </w:rPr>
        <w:t>osiguranje</w:t>
      </w:r>
      <w:r w:rsidR="00016FF3">
        <w:rPr>
          <w:rFonts w:ascii="Calibri" w:hAnsi="Calibri"/>
          <w:szCs w:val="20"/>
        </w:rPr>
        <w:t>;</w:t>
      </w:r>
    </w:p>
    <w:p w:rsidR="00141340" w:rsidRPr="00041A9E" w:rsidRDefault="00141340" w:rsidP="000F74CD">
      <w:pPr>
        <w:numPr>
          <w:ilvl w:val="0"/>
          <w:numId w:val="10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Bilancu stanja i Račun dobiti i gubitka </w:t>
      </w:r>
      <w:r w:rsidR="00016FF3">
        <w:rPr>
          <w:rFonts w:ascii="Calibri" w:hAnsi="Calibri"/>
          <w:szCs w:val="20"/>
        </w:rPr>
        <w:t xml:space="preserve">Izvoznika </w:t>
      </w:r>
      <w:r w:rsidRPr="00041A9E">
        <w:rPr>
          <w:rFonts w:ascii="Calibri" w:hAnsi="Calibri"/>
          <w:szCs w:val="20"/>
        </w:rPr>
        <w:t>za posljednje obračunsko razdoblje</w:t>
      </w:r>
      <w:r w:rsidR="00016FF3">
        <w:rPr>
          <w:rFonts w:ascii="Calibri" w:hAnsi="Calibri"/>
          <w:szCs w:val="20"/>
        </w:rPr>
        <w:t>;</w:t>
      </w:r>
    </w:p>
    <w:p w:rsidR="00041A9E" w:rsidRPr="00041A9E" w:rsidRDefault="00141340" w:rsidP="00405F67">
      <w:pPr>
        <w:numPr>
          <w:ilvl w:val="0"/>
          <w:numId w:val="10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>Bonitet</w:t>
      </w:r>
      <w:r w:rsidR="00016FF3">
        <w:rPr>
          <w:rFonts w:ascii="Calibri" w:hAnsi="Calibri"/>
          <w:szCs w:val="20"/>
        </w:rPr>
        <w:t>ni izvještaj</w:t>
      </w:r>
      <w:r w:rsidRPr="00041A9E">
        <w:rPr>
          <w:rFonts w:ascii="Calibri" w:hAnsi="Calibri"/>
          <w:szCs w:val="20"/>
        </w:rPr>
        <w:t xml:space="preserve"> </w:t>
      </w:r>
      <w:r w:rsidR="00016FF3">
        <w:rPr>
          <w:rFonts w:ascii="Calibri" w:hAnsi="Calibri"/>
          <w:szCs w:val="20"/>
        </w:rPr>
        <w:t>I</w:t>
      </w:r>
      <w:r w:rsidRPr="00041A9E">
        <w:rPr>
          <w:rFonts w:ascii="Calibri" w:hAnsi="Calibri"/>
          <w:szCs w:val="20"/>
        </w:rPr>
        <w:t xml:space="preserve">nozemnog kupca </w:t>
      </w:r>
      <w:r w:rsidRPr="00041A9E">
        <w:rPr>
          <w:rFonts w:ascii="Calibri" w:hAnsi="Calibri"/>
          <w:i/>
          <w:szCs w:val="20"/>
        </w:rPr>
        <w:t>(može ga u ime i za r</w:t>
      </w:r>
      <w:r w:rsidR="00041A9E" w:rsidRPr="00041A9E">
        <w:rPr>
          <w:rFonts w:ascii="Calibri" w:hAnsi="Calibri"/>
          <w:i/>
          <w:szCs w:val="20"/>
        </w:rPr>
        <w:t xml:space="preserve">ačun </w:t>
      </w:r>
      <w:r w:rsidR="00B4025F">
        <w:rPr>
          <w:rFonts w:ascii="Calibri" w:hAnsi="Calibri"/>
          <w:i/>
          <w:szCs w:val="20"/>
        </w:rPr>
        <w:t>I</w:t>
      </w:r>
      <w:r w:rsidR="00041A9E" w:rsidRPr="00041A9E">
        <w:rPr>
          <w:rFonts w:ascii="Calibri" w:hAnsi="Calibri"/>
          <w:i/>
          <w:szCs w:val="20"/>
        </w:rPr>
        <w:t>zvoznika pribaviti i HBOR)</w:t>
      </w:r>
      <w:r w:rsidR="00016FF3" w:rsidRPr="00A61ECE">
        <w:rPr>
          <w:rFonts w:ascii="Calibri" w:hAnsi="Calibri"/>
          <w:szCs w:val="20"/>
        </w:rPr>
        <w:t>.</w:t>
      </w:r>
    </w:p>
    <w:p w:rsidR="00041A9E" w:rsidRPr="00041A9E" w:rsidRDefault="00041A9E" w:rsidP="00405F67">
      <w:pPr>
        <w:spacing w:after="0"/>
        <w:ind w:left="708"/>
        <w:rPr>
          <w:rFonts w:ascii="Calibri" w:hAnsi="Calibri"/>
          <w:szCs w:val="20"/>
        </w:rPr>
      </w:pPr>
    </w:p>
    <w:p w:rsidR="003E454C" w:rsidRDefault="00141340" w:rsidP="00A61ECE">
      <w:pPr>
        <w:spacing w:after="0"/>
        <w:ind w:left="708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Po obradi </w:t>
      </w:r>
      <w:r w:rsidR="00016FF3">
        <w:rPr>
          <w:rFonts w:ascii="Calibri" w:hAnsi="Calibri"/>
          <w:szCs w:val="20"/>
        </w:rPr>
        <w:t>Z</w:t>
      </w:r>
      <w:r w:rsidRPr="00041A9E">
        <w:rPr>
          <w:rFonts w:ascii="Calibri" w:hAnsi="Calibri"/>
          <w:szCs w:val="20"/>
        </w:rPr>
        <w:t>ahtjeva</w:t>
      </w:r>
      <w:r w:rsidR="00016FF3">
        <w:rPr>
          <w:rFonts w:ascii="Calibri" w:hAnsi="Calibri"/>
          <w:szCs w:val="20"/>
        </w:rPr>
        <w:t xml:space="preserve"> za osiguranje</w:t>
      </w:r>
      <w:r w:rsidRPr="00041A9E">
        <w:rPr>
          <w:rFonts w:ascii="Calibri" w:hAnsi="Calibri"/>
          <w:szCs w:val="20"/>
        </w:rPr>
        <w:t xml:space="preserve"> i procjeni rizika, HBOR </w:t>
      </w:r>
      <w:r w:rsidR="00B4025F">
        <w:rPr>
          <w:rFonts w:ascii="Calibri" w:hAnsi="Calibri"/>
          <w:szCs w:val="20"/>
        </w:rPr>
        <w:t>I</w:t>
      </w:r>
      <w:r w:rsidRPr="00041A9E">
        <w:rPr>
          <w:rFonts w:ascii="Calibri" w:hAnsi="Calibri"/>
          <w:szCs w:val="20"/>
        </w:rPr>
        <w:t>zvozniku na potpisivanje dosta</w:t>
      </w:r>
      <w:r w:rsidR="0086615C" w:rsidRPr="00041A9E">
        <w:rPr>
          <w:rFonts w:ascii="Calibri" w:hAnsi="Calibri"/>
          <w:szCs w:val="20"/>
        </w:rPr>
        <w:t xml:space="preserve">vlja Ugovor o osiguranju </w:t>
      </w:r>
      <w:r w:rsidRPr="00041A9E">
        <w:rPr>
          <w:rFonts w:ascii="Calibri" w:hAnsi="Calibri"/>
          <w:szCs w:val="20"/>
        </w:rPr>
        <w:t>koji se sast</w:t>
      </w:r>
      <w:r w:rsidR="0086615C" w:rsidRPr="00041A9E">
        <w:rPr>
          <w:rFonts w:ascii="Calibri" w:hAnsi="Calibri"/>
          <w:szCs w:val="20"/>
        </w:rPr>
        <w:t>oji od Police osiguranja izvoznih potraživanja i</w:t>
      </w:r>
      <w:r w:rsidRPr="00041A9E">
        <w:rPr>
          <w:rFonts w:ascii="Calibri" w:hAnsi="Calibri"/>
          <w:szCs w:val="20"/>
        </w:rPr>
        <w:t xml:space="preserve"> </w:t>
      </w:r>
      <w:r w:rsidR="0086615C" w:rsidRPr="00041A9E">
        <w:rPr>
          <w:bCs/>
          <w:szCs w:val="20"/>
        </w:rPr>
        <w:t xml:space="preserve">Općih uvjeta osiguranja kratkoročnih izvoznih potraživanja </w:t>
      </w:r>
      <w:r w:rsidR="00623BA1" w:rsidRPr="00623BA1">
        <w:rPr>
          <w:bCs/>
          <w:szCs w:val="20"/>
        </w:rPr>
        <w:t>OU-KI-01/16</w:t>
      </w:r>
      <w:r w:rsidR="00CB6AEF" w:rsidRPr="00041A9E">
        <w:rPr>
          <w:rFonts w:ascii="Calibri" w:hAnsi="Calibri"/>
          <w:szCs w:val="20"/>
        </w:rPr>
        <w:t>.</w:t>
      </w:r>
    </w:p>
    <w:p w:rsidR="00C053FD" w:rsidRPr="00041A9E" w:rsidRDefault="00C053FD" w:rsidP="00A61ECE">
      <w:pPr>
        <w:spacing w:after="0"/>
        <w:ind w:left="708"/>
        <w:rPr>
          <w:rFonts w:ascii="Calibri" w:hAnsi="Calibri"/>
          <w:szCs w:val="20"/>
        </w:rPr>
      </w:pPr>
    </w:p>
    <w:p w:rsidR="000F74CD" w:rsidRPr="00041A9E" w:rsidRDefault="003B5E8F" w:rsidP="000F74CD">
      <w:pPr>
        <w:pStyle w:val="ListParagraph"/>
        <w:numPr>
          <w:ilvl w:val="0"/>
          <w:numId w:val="9"/>
        </w:numPr>
        <w:spacing w:after="0"/>
        <w:rPr>
          <w:rFonts w:ascii="Calibri" w:hAnsi="Calibri"/>
          <w:b/>
        </w:rPr>
      </w:pPr>
      <w:r w:rsidRPr="00041A9E">
        <w:rPr>
          <w:rFonts w:ascii="Calibri" w:hAnsi="Calibri"/>
          <w:b/>
        </w:rPr>
        <w:t xml:space="preserve">Obveze </w:t>
      </w:r>
      <w:r w:rsidR="005C2E06">
        <w:rPr>
          <w:rFonts w:ascii="Calibri" w:hAnsi="Calibri"/>
          <w:b/>
        </w:rPr>
        <w:t>O</w:t>
      </w:r>
      <w:r w:rsidRPr="00041A9E">
        <w:rPr>
          <w:rFonts w:ascii="Calibri" w:hAnsi="Calibri"/>
          <w:b/>
        </w:rPr>
        <w:t xml:space="preserve">siguranika nakon zaključenja </w:t>
      </w:r>
      <w:r w:rsidR="00016FF3">
        <w:rPr>
          <w:rFonts w:ascii="Calibri" w:hAnsi="Calibri"/>
          <w:b/>
        </w:rPr>
        <w:t>U</w:t>
      </w:r>
      <w:r w:rsidRPr="00041A9E">
        <w:rPr>
          <w:rFonts w:ascii="Calibri" w:hAnsi="Calibri"/>
          <w:b/>
        </w:rPr>
        <w:t>govora o osiguranju</w:t>
      </w:r>
    </w:p>
    <w:p w:rsidR="00141340" w:rsidRPr="00041A9E" w:rsidRDefault="00141340" w:rsidP="000F74CD">
      <w:pPr>
        <w:pStyle w:val="ListParagraph"/>
        <w:numPr>
          <w:ilvl w:val="0"/>
          <w:numId w:val="16"/>
        </w:numPr>
        <w:spacing w:after="0"/>
        <w:ind w:left="1418" w:hanging="425"/>
        <w:rPr>
          <w:rFonts w:ascii="Calibri" w:hAnsi="Calibri"/>
        </w:rPr>
      </w:pPr>
      <w:r w:rsidRPr="00041A9E">
        <w:rPr>
          <w:rFonts w:ascii="Calibri" w:hAnsi="Calibri"/>
        </w:rPr>
        <w:t xml:space="preserve">Prijavljivati HBOR-u izvršene i fakturirane isporuke prema </w:t>
      </w:r>
      <w:r w:rsidR="00B4025F">
        <w:rPr>
          <w:rFonts w:ascii="Calibri" w:hAnsi="Calibri"/>
        </w:rPr>
        <w:t>I</w:t>
      </w:r>
      <w:r w:rsidRPr="00041A9E">
        <w:rPr>
          <w:rFonts w:ascii="Calibri" w:hAnsi="Calibri"/>
        </w:rPr>
        <w:t>nozemnim kupcima;</w:t>
      </w:r>
    </w:p>
    <w:p w:rsidR="00141340" w:rsidRPr="00041A9E" w:rsidRDefault="00A867DA" w:rsidP="000F74CD">
      <w:pPr>
        <w:numPr>
          <w:ilvl w:val="0"/>
          <w:numId w:val="16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Plaćati </w:t>
      </w:r>
      <w:r w:rsidR="00B4025F">
        <w:rPr>
          <w:rFonts w:ascii="Calibri" w:hAnsi="Calibri"/>
          <w:szCs w:val="20"/>
        </w:rPr>
        <w:t>P</w:t>
      </w:r>
      <w:r w:rsidRPr="00041A9E">
        <w:rPr>
          <w:rFonts w:ascii="Calibri" w:hAnsi="Calibri"/>
          <w:szCs w:val="20"/>
        </w:rPr>
        <w:t>remiju osiguranja;</w:t>
      </w:r>
    </w:p>
    <w:p w:rsidR="00A867DA" w:rsidRPr="00041A9E" w:rsidRDefault="00A867DA" w:rsidP="000F74CD">
      <w:pPr>
        <w:numPr>
          <w:ilvl w:val="0"/>
          <w:numId w:val="16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szCs w:val="20"/>
        </w:rPr>
        <w:t xml:space="preserve">Obavijestiti HBOR o svakoj promjeni u </w:t>
      </w:r>
      <w:r w:rsidR="00B4025F">
        <w:rPr>
          <w:rFonts w:ascii="Calibri" w:hAnsi="Calibri"/>
          <w:szCs w:val="20"/>
        </w:rPr>
        <w:t>I</w:t>
      </w:r>
      <w:r w:rsidRPr="00041A9E">
        <w:rPr>
          <w:rFonts w:ascii="Calibri" w:hAnsi="Calibri"/>
          <w:szCs w:val="20"/>
        </w:rPr>
        <w:t xml:space="preserve">zvoznom ugovoru s osiguranim </w:t>
      </w:r>
      <w:r w:rsidR="00016FF3">
        <w:rPr>
          <w:rFonts w:ascii="Calibri" w:hAnsi="Calibri"/>
          <w:szCs w:val="20"/>
        </w:rPr>
        <w:t>I</w:t>
      </w:r>
      <w:r w:rsidRPr="00041A9E">
        <w:rPr>
          <w:rFonts w:ascii="Calibri" w:hAnsi="Calibri"/>
          <w:szCs w:val="20"/>
        </w:rPr>
        <w:t>nozemnim kupcem.</w:t>
      </w:r>
    </w:p>
    <w:p w:rsidR="000F74CD" w:rsidRPr="00041A9E" w:rsidRDefault="000F74CD" w:rsidP="000F74CD">
      <w:pPr>
        <w:spacing w:after="0"/>
        <w:ind w:left="1418"/>
        <w:rPr>
          <w:rFonts w:ascii="Calibri" w:hAnsi="Calibri"/>
          <w:szCs w:val="20"/>
        </w:rPr>
      </w:pPr>
    </w:p>
    <w:p w:rsidR="000F74CD" w:rsidRPr="00041A9E" w:rsidRDefault="000F74CD" w:rsidP="000F74CD">
      <w:pPr>
        <w:pStyle w:val="ListParagraph"/>
        <w:numPr>
          <w:ilvl w:val="0"/>
          <w:numId w:val="9"/>
        </w:numPr>
        <w:spacing w:after="0"/>
        <w:rPr>
          <w:rFonts w:ascii="Calibri" w:hAnsi="Calibri"/>
          <w:b/>
        </w:rPr>
      </w:pPr>
      <w:r w:rsidRPr="00041A9E">
        <w:rPr>
          <w:rFonts w:ascii="Calibri" w:hAnsi="Calibri"/>
          <w:b/>
        </w:rPr>
        <w:t xml:space="preserve">Obveze </w:t>
      </w:r>
      <w:r w:rsidR="005C2E06">
        <w:rPr>
          <w:rFonts w:ascii="Calibri" w:hAnsi="Calibri"/>
          <w:b/>
        </w:rPr>
        <w:t>O</w:t>
      </w:r>
      <w:r w:rsidRPr="00041A9E">
        <w:rPr>
          <w:rFonts w:ascii="Calibri" w:hAnsi="Calibri"/>
          <w:b/>
        </w:rPr>
        <w:t xml:space="preserve">siguranika u slučaju nastupa </w:t>
      </w:r>
      <w:r w:rsidR="00016FF3">
        <w:rPr>
          <w:rFonts w:ascii="Calibri" w:hAnsi="Calibri"/>
          <w:b/>
        </w:rPr>
        <w:t>O</w:t>
      </w:r>
      <w:r w:rsidRPr="00041A9E">
        <w:rPr>
          <w:rFonts w:ascii="Calibri" w:hAnsi="Calibri"/>
          <w:b/>
        </w:rPr>
        <w:t>siguranog rizika</w:t>
      </w:r>
    </w:p>
    <w:p w:rsidR="00141340" w:rsidRPr="00041A9E" w:rsidRDefault="00141340" w:rsidP="000F74CD">
      <w:pPr>
        <w:pStyle w:val="ListParagraph"/>
        <w:numPr>
          <w:ilvl w:val="0"/>
          <w:numId w:val="15"/>
        </w:numPr>
        <w:spacing w:after="0"/>
        <w:ind w:left="1418" w:hanging="425"/>
        <w:rPr>
          <w:rFonts w:ascii="Calibri" w:hAnsi="Calibri"/>
        </w:rPr>
      </w:pPr>
      <w:r w:rsidRPr="00041A9E">
        <w:rPr>
          <w:rFonts w:ascii="Calibri" w:hAnsi="Calibri"/>
          <w:bCs/>
        </w:rPr>
        <w:t xml:space="preserve">Pisanim putem pozvati </w:t>
      </w:r>
      <w:r w:rsidR="00016FF3">
        <w:rPr>
          <w:rFonts w:ascii="Calibri" w:hAnsi="Calibri"/>
          <w:bCs/>
        </w:rPr>
        <w:t xml:space="preserve">Inozemnog </w:t>
      </w:r>
      <w:r w:rsidRPr="00041A9E">
        <w:rPr>
          <w:rFonts w:ascii="Calibri" w:hAnsi="Calibri"/>
          <w:bCs/>
        </w:rPr>
        <w:t>kupca na plaćanje;</w:t>
      </w:r>
    </w:p>
    <w:p w:rsidR="00141340" w:rsidRPr="00041A9E" w:rsidRDefault="005C2E06" w:rsidP="000F74CD">
      <w:pPr>
        <w:numPr>
          <w:ilvl w:val="0"/>
          <w:numId w:val="15"/>
        </w:numPr>
        <w:spacing w:after="0"/>
        <w:ind w:left="1418" w:hanging="425"/>
        <w:rPr>
          <w:rFonts w:ascii="Calibri" w:hAnsi="Calibri"/>
          <w:szCs w:val="20"/>
        </w:rPr>
      </w:pPr>
      <w:r>
        <w:rPr>
          <w:rFonts w:ascii="Calibri" w:hAnsi="Calibri"/>
          <w:bCs/>
          <w:szCs w:val="20"/>
        </w:rPr>
        <w:t>Obustaviti</w:t>
      </w:r>
      <w:r w:rsidR="00141340" w:rsidRPr="00041A9E">
        <w:rPr>
          <w:rFonts w:ascii="Calibri" w:hAnsi="Calibri"/>
          <w:bCs/>
          <w:szCs w:val="20"/>
        </w:rPr>
        <w:t xml:space="preserve"> sve daljnje isporuke prema </w:t>
      </w:r>
      <w:r>
        <w:rPr>
          <w:rFonts w:ascii="Calibri" w:hAnsi="Calibri"/>
          <w:bCs/>
          <w:szCs w:val="20"/>
        </w:rPr>
        <w:t xml:space="preserve">Inozemnom </w:t>
      </w:r>
      <w:r w:rsidR="00141340" w:rsidRPr="00041A9E">
        <w:rPr>
          <w:rFonts w:ascii="Calibri" w:hAnsi="Calibri"/>
          <w:bCs/>
          <w:szCs w:val="20"/>
        </w:rPr>
        <w:t>kupcu;</w:t>
      </w:r>
    </w:p>
    <w:p w:rsidR="00141340" w:rsidRPr="00041A9E" w:rsidRDefault="00141340" w:rsidP="000F74CD">
      <w:pPr>
        <w:numPr>
          <w:ilvl w:val="0"/>
          <w:numId w:val="15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bCs/>
          <w:szCs w:val="20"/>
        </w:rPr>
        <w:t>Prijaviti HBOR-u zakašnjenje plaćanja u roku od 30 dana od dospijeća roka plaćanja;</w:t>
      </w:r>
    </w:p>
    <w:p w:rsidR="00141340" w:rsidRPr="00041A9E" w:rsidRDefault="00141340" w:rsidP="000F74CD">
      <w:pPr>
        <w:numPr>
          <w:ilvl w:val="0"/>
          <w:numId w:val="15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bCs/>
          <w:szCs w:val="20"/>
        </w:rPr>
        <w:t>U dogovoru s HBOR-om poduzimati potrebne radnje s ciljem naplate potraživanja;</w:t>
      </w:r>
    </w:p>
    <w:p w:rsidR="00141340" w:rsidRPr="00041A9E" w:rsidRDefault="00141340" w:rsidP="000F74CD">
      <w:pPr>
        <w:numPr>
          <w:ilvl w:val="0"/>
          <w:numId w:val="15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bCs/>
          <w:szCs w:val="20"/>
        </w:rPr>
        <w:t>U slučaju neuspješne naplate, protekom 5 mjeseci od prijave zakašnjenja plaćanja HBOR-u, podnijeti odštetni zahtjev HBOR-u.</w:t>
      </w:r>
    </w:p>
    <w:p w:rsidR="00141340" w:rsidRPr="00864C3C" w:rsidRDefault="00141340" w:rsidP="000F74CD">
      <w:pPr>
        <w:numPr>
          <w:ilvl w:val="0"/>
          <w:numId w:val="15"/>
        </w:numPr>
        <w:spacing w:after="0"/>
        <w:ind w:left="1418" w:hanging="425"/>
        <w:rPr>
          <w:rFonts w:ascii="Calibri" w:hAnsi="Calibri"/>
          <w:szCs w:val="20"/>
        </w:rPr>
      </w:pPr>
      <w:r w:rsidRPr="00041A9E">
        <w:rPr>
          <w:rFonts w:ascii="Calibri" w:hAnsi="Calibri"/>
          <w:bCs/>
          <w:szCs w:val="20"/>
        </w:rPr>
        <w:t>U slučaju pokretanja</w:t>
      </w:r>
      <w:r w:rsidR="005C2E06">
        <w:rPr>
          <w:rFonts w:ascii="Calibri" w:hAnsi="Calibri"/>
          <w:bCs/>
          <w:szCs w:val="20"/>
        </w:rPr>
        <w:t xml:space="preserve"> predstečajnog,</w:t>
      </w:r>
      <w:r w:rsidRPr="00041A9E">
        <w:rPr>
          <w:rFonts w:ascii="Calibri" w:hAnsi="Calibri"/>
          <w:bCs/>
          <w:szCs w:val="20"/>
        </w:rPr>
        <w:t xml:space="preserve"> stečajnog</w:t>
      </w:r>
      <w:r w:rsidR="005C2E06">
        <w:rPr>
          <w:rFonts w:ascii="Calibri" w:hAnsi="Calibri"/>
          <w:bCs/>
          <w:szCs w:val="20"/>
        </w:rPr>
        <w:t xml:space="preserve"> ili likvidacijskog</w:t>
      </w:r>
      <w:r w:rsidRPr="00041A9E">
        <w:rPr>
          <w:rFonts w:ascii="Calibri" w:hAnsi="Calibri"/>
          <w:bCs/>
          <w:szCs w:val="20"/>
        </w:rPr>
        <w:t xml:space="preserve"> postupka nad </w:t>
      </w:r>
      <w:r w:rsidR="005C2E06">
        <w:rPr>
          <w:rFonts w:ascii="Calibri" w:hAnsi="Calibri"/>
          <w:bCs/>
          <w:szCs w:val="20"/>
        </w:rPr>
        <w:t>I</w:t>
      </w:r>
      <w:r w:rsidRPr="00041A9E">
        <w:rPr>
          <w:rFonts w:ascii="Calibri" w:hAnsi="Calibri"/>
          <w:bCs/>
          <w:szCs w:val="20"/>
        </w:rPr>
        <w:t>nozem</w:t>
      </w:r>
      <w:r w:rsidR="005C2E06">
        <w:rPr>
          <w:rFonts w:ascii="Calibri" w:hAnsi="Calibri"/>
          <w:bCs/>
          <w:szCs w:val="20"/>
        </w:rPr>
        <w:t>nim</w:t>
      </w:r>
      <w:r w:rsidRPr="00041A9E">
        <w:rPr>
          <w:rFonts w:ascii="Calibri" w:hAnsi="Calibri"/>
          <w:bCs/>
          <w:szCs w:val="20"/>
        </w:rPr>
        <w:t xml:space="preserve"> kupc</w:t>
      </w:r>
      <w:r w:rsidR="005C2E06">
        <w:rPr>
          <w:rFonts w:ascii="Calibri" w:hAnsi="Calibri"/>
          <w:bCs/>
          <w:szCs w:val="20"/>
        </w:rPr>
        <w:t>em</w:t>
      </w:r>
      <w:r w:rsidRPr="00041A9E">
        <w:rPr>
          <w:rFonts w:ascii="Calibri" w:hAnsi="Calibri"/>
          <w:bCs/>
          <w:szCs w:val="20"/>
        </w:rPr>
        <w:t xml:space="preserve">, odštetni zahtjev se može podnijeti odmah uz predočenje </w:t>
      </w:r>
      <w:r w:rsidR="005C2E06">
        <w:rPr>
          <w:rFonts w:ascii="Calibri" w:hAnsi="Calibri"/>
          <w:bCs/>
          <w:szCs w:val="20"/>
        </w:rPr>
        <w:t>dokaza</w:t>
      </w:r>
      <w:r w:rsidRPr="00041A9E">
        <w:rPr>
          <w:rFonts w:ascii="Calibri" w:hAnsi="Calibri"/>
          <w:bCs/>
          <w:szCs w:val="20"/>
        </w:rPr>
        <w:t xml:space="preserve"> o pokretanju </w:t>
      </w:r>
      <w:r w:rsidR="005C2E06">
        <w:rPr>
          <w:rFonts w:ascii="Calibri" w:hAnsi="Calibri"/>
          <w:bCs/>
          <w:szCs w:val="20"/>
        </w:rPr>
        <w:t xml:space="preserve">predstečajnog, </w:t>
      </w:r>
      <w:r w:rsidRPr="00041A9E">
        <w:rPr>
          <w:rFonts w:ascii="Calibri" w:hAnsi="Calibri"/>
          <w:bCs/>
          <w:szCs w:val="20"/>
        </w:rPr>
        <w:t>stečaj</w:t>
      </w:r>
      <w:r w:rsidR="005C2E06">
        <w:rPr>
          <w:rFonts w:ascii="Calibri" w:hAnsi="Calibri"/>
          <w:bCs/>
          <w:szCs w:val="20"/>
        </w:rPr>
        <w:t>nog ili likvidacijskog postupka</w:t>
      </w:r>
      <w:r w:rsidRPr="00041A9E">
        <w:rPr>
          <w:rFonts w:ascii="Calibri" w:hAnsi="Calibri"/>
          <w:bCs/>
          <w:szCs w:val="20"/>
        </w:rPr>
        <w:t xml:space="preserve"> i </w:t>
      </w:r>
      <w:r w:rsidR="005C2E06">
        <w:rPr>
          <w:rFonts w:ascii="Calibri" w:hAnsi="Calibri"/>
          <w:bCs/>
          <w:szCs w:val="20"/>
        </w:rPr>
        <w:t>dokaza</w:t>
      </w:r>
      <w:r w:rsidRPr="00041A9E">
        <w:rPr>
          <w:rFonts w:ascii="Calibri" w:hAnsi="Calibri"/>
          <w:bCs/>
          <w:szCs w:val="20"/>
        </w:rPr>
        <w:t xml:space="preserve"> o </w:t>
      </w:r>
      <w:r w:rsidR="005C2E06">
        <w:rPr>
          <w:rFonts w:ascii="Calibri" w:hAnsi="Calibri"/>
          <w:bCs/>
          <w:szCs w:val="20"/>
        </w:rPr>
        <w:t xml:space="preserve">prijavi Osiguranikovih potraživanja u predstečajni postupak, odnosno </w:t>
      </w:r>
      <w:r w:rsidRPr="00041A9E">
        <w:rPr>
          <w:rFonts w:ascii="Calibri" w:hAnsi="Calibri"/>
          <w:bCs/>
          <w:szCs w:val="20"/>
        </w:rPr>
        <w:t xml:space="preserve">upisu </w:t>
      </w:r>
      <w:r w:rsidR="005C2E06">
        <w:rPr>
          <w:rFonts w:ascii="Calibri" w:hAnsi="Calibri"/>
          <w:bCs/>
          <w:szCs w:val="20"/>
        </w:rPr>
        <w:t xml:space="preserve">Osiguranikovih </w:t>
      </w:r>
      <w:r w:rsidRPr="00041A9E">
        <w:rPr>
          <w:rFonts w:ascii="Calibri" w:hAnsi="Calibri"/>
          <w:bCs/>
          <w:szCs w:val="20"/>
        </w:rPr>
        <w:t xml:space="preserve">potraživanja u stečajnu </w:t>
      </w:r>
      <w:r w:rsidR="005C2E06">
        <w:rPr>
          <w:rFonts w:ascii="Calibri" w:hAnsi="Calibri"/>
          <w:bCs/>
          <w:szCs w:val="20"/>
        </w:rPr>
        <w:t xml:space="preserve">ili likvidacijsku </w:t>
      </w:r>
      <w:r w:rsidRPr="00041A9E">
        <w:rPr>
          <w:rFonts w:ascii="Calibri" w:hAnsi="Calibri"/>
          <w:bCs/>
          <w:szCs w:val="20"/>
        </w:rPr>
        <w:t>masu.</w:t>
      </w:r>
    </w:p>
    <w:p w:rsidR="00737DEB" w:rsidRPr="003E5B4E" w:rsidRDefault="00737DEB" w:rsidP="00A61ECE">
      <w:pPr>
        <w:spacing w:after="0"/>
        <w:ind w:left="1418"/>
        <w:rPr>
          <w:rFonts w:ascii="Calibri" w:hAnsi="Calibri"/>
          <w:szCs w:val="20"/>
        </w:rPr>
      </w:pPr>
    </w:p>
    <w:p w:rsidR="003E5B4E" w:rsidRPr="003E5B4E" w:rsidRDefault="003E5B4E" w:rsidP="003E5B4E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3E5B4E">
        <w:rPr>
          <w:rFonts w:ascii="Calibri" w:hAnsi="Calibri"/>
          <w:b/>
        </w:rPr>
        <w:t>Osigurani slučaj</w:t>
      </w:r>
    </w:p>
    <w:p w:rsidR="003E5B4E" w:rsidRDefault="003E5B4E" w:rsidP="00A61ECE">
      <w:pPr>
        <w:pStyle w:val="ListParagraph"/>
        <w:numPr>
          <w:ilvl w:val="0"/>
          <w:numId w:val="0"/>
        </w:num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>Osigurani slučaj je</w:t>
      </w:r>
      <w:r w:rsidR="00737DEB">
        <w:rPr>
          <w:rFonts w:ascii="Calibri" w:hAnsi="Calibri"/>
        </w:rPr>
        <w:t xml:space="preserve"> štetni</w:t>
      </w:r>
      <w:r>
        <w:rPr>
          <w:rFonts w:ascii="Calibri" w:hAnsi="Calibri"/>
        </w:rPr>
        <w:t xml:space="preserve"> događaj prouzročen </w:t>
      </w:r>
      <w:r w:rsidR="003E454C">
        <w:rPr>
          <w:rFonts w:ascii="Calibri" w:hAnsi="Calibri"/>
        </w:rPr>
        <w:t>O</w:t>
      </w:r>
      <w:r>
        <w:rPr>
          <w:rFonts w:ascii="Calibri" w:hAnsi="Calibri"/>
        </w:rPr>
        <w:t xml:space="preserve">siguranim rizikom temeljem kojeg </w:t>
      </w:r>
      <w:r w:rsidR="007C1D01">
        <w:rPr>
          <w:rFonts w:ascii="Calibri" w:hAnsi="Calibri"/>
        </w:rPr>
        <w:t>O</w:t>
      </w:r>
      <w:r>
        <w:rPr>
          <w:rFonts w:ascii="Calibri" w:hAnsi="Calibri"/>
        </w:rPr>
        <w:t xml:space="preserve">siguranik </w:t>
      </w:r>
      <w:r w:rsidR="00173BCE">
        <w:rPr>
          <w:rFonts w:ascii="Calibri" w:hAnsi="Calibri"/>
        </w:rPr>
        <w:t>može podnijeti odštetni zahtjev</w:t>
      </w:r>
      <w:r w:rsidR="00737DEB">
        <w:rPr>
          <w:rFonts w:ascii="Calibri" w:hAnsi="Calibri"/>
        </w:rPr>
        <w:t xml:space="preserve"> i nastupa ovisno o vrsti Osiguranog rizika.</w:t>
      </w:r>
    </w:p>
    <w:p w:rsidR="006F0FF2" w:rsidRDefault="006F0FF2" w:rsidP="00A61ECE">
      <w:pPr>
        <w:spacing w:after="0"/>
        <w:ind w:left="708"/>
        <w:rPr>
          <w:rFonts w:ascii="Calibri" w:hAnsi="Calibri"/>
        </w:rPr>
      </w:pPr>
    </w:p>
    <w:p w:rsidR="00737DEB" w:rsidRDefault="00737DEB" w:rsidP="00A61ECE">
      <w:pPr>
        <w:spacing w:after="0"/>
        <w:ind w:left="708"/>
        <w:rPr>
          <w:rFonts w:ascii="Calibri" w:hAnsi="Calibri"/>
        </w:rPr>
      </w:pPr>
      <w:r>
        <w:rPr>
          <w:rFonts w:ascii="Calibri" w:hAnsi="Calibri"/>
        </w:rPr>
        <w:t>Osigurani slučaj za komercijalne rizike nastupa:</w:t>
      </w:r>
    </w:p>
    <w:p w:rsidR="00864C3C" w:rsidRDefault="006F0FF2" w:rsidP="00A61ECE">
      <w:pPr>
        <w:pStyle w:val="ListParagraph"/>
        <w:numPr>
          <w:ilvl w:val="0"/>
          <w:numId w:val="22"/>
        </w:numPr>
        <w:ind w:left="1418" w:hanging="425"/>
        <w:rPr>
          <w:rFonts w:ascii="Calibri" w:hAnsi="Calibri"/>
        </w:rPr>
      </w:pPr>
      <w:r w:rsidRPr="00864C3C">
        <w:rPr>
          <w:rFonts w:ascii="Calibri" w:hAnsi="Calibri"/>
        </w:rPr>
        <w:t>I</w:t>
      </w:r>
      <w:r w:rsidR="00737DEB" w:rsidRPr="00A61ECE">
        <w:rPr>
          <w:rFonts w:ascii="Calibri" w:hAnsi="Calibri"/>
        </w:rPr>
        <w:t>stekom Razdoblja čekanja tijekom kojeg Inozemni kupac nije izvršio plaćanje duga uz uvjet ispunjenja svih Osiguranikovih obveza iz Izvoznog ugovora.</w:t>
      </w:r>
    </w:p>
    <w:p w:rsidR="006F0FF2" w:rsidRPr="00E83A8A" w:rsidRDefault="006F0FF2" w:rsidP="00A61ECE">
      <w:pPr>
        <w:pStyle w:val="ListParagraph"/>
        <w:numPr>
          <w:ilvl w:val="0"/>
          <w:numId w:val="22"/>
        </w:numPr>
        <w:ind w:left="1418" w:hanging="425"/>
        <w:rPr>
          <w:rFonts w:ascii="Calibri" w:hAnsi="Calibri"/>
        </w:rPr>
      </w:pPr>
      <w:r w:rsidRPr="00864C3C">
        <w:rPr>
          <w:rFonts w:ascii="Calibri" w:hAnsi="Calibri"/>
        </w:rPr>
        <w:t>Predočenjem dokaza Osiguratelju o otvaranju predstečajnog, stečajnog ili likvidacijskog postupka nad Inozemnim kupcem te dokazom o prijavi Osiguranikovih potraživanja u predstečajni postupak, dokazom upisa Osiguranika u stečajnu ili likvidacijsku masu.</w:t>
      </w:r>
    </w:p>
    <w:p w:rsidR="006F0FF2" w:rsidRDefault="006F0FF2" w:rsidP="00A61ECE">
      <w:pPr>
        <w:pStyle w:val="ListParagraph"/>
        <w:numPr>
          <w:ilvl w:val="0"/>
          <w:numId w:val="22"/>
        </w:numPr>
        <w:ind w:left="1418" w:hanging="425"/>
        <w:rPr>
          <w:rFonts w:ascii="Calibri" w:hAnsi="Calibri"/>
        </w:rPr>
      </w:pPr>
      <w:r>
        <w:rPr>
          <w:rFonts w:ascii="Calibri" w:hAnsi="Calibri"/>
        </w:rPr>
        <w:t>Zaključenjem izvansudske nagodbe Osiguranika s Inozemnim kupcem.</w:t>
      </w:r>
    </w:p>
    <w:p w:rsidR="006F0FF2" w:rsidRDefault="006F0FF2" w:rsidP="00A61ECE">
      <w:pPr>
        <w:pStyle w:val="ListParagraph"/>
        <w:numPr>
          <w:ilvl w:val="0"/>
          <w:numId w:val="22"/>
        </w:numPr>
        <w:ind w:left="1418" w:hanging="425"/>
        <w:rPr>
          <w:rFonts w:ascii="Calibri" w:hAnsi="Calibri"/>
        </w:rPr>
      </w:pPr>
      <w:r>
        <w:rPr>
          <w:rFonts w:ascii="Calibri" w:hAnsi="Calibri"/>
        </w:rPr>
        <w:t xml:space="preserve">Predočenjem dokaza Osiguratelju o nekorisnosti odnosno neisplativosti poduzimanja bilo kakvih mjera protiv Inozemnog kupca uslijed nepostojanja izgleda za naplatu potraživanja, budući da nije </w:t>
      </w:r>
      <w:r>
        <w:rPr>
          <w:rFonts w:ascii="Calibri" w:hAnsi="Calibri"/>
        </w:rPr>
        <w:lastRenderedPageBreak/>
        <w:t>izgledno očekivati da će pokretanje stečajnog postupka odnosno drugih postupaka prisilne naplate rezultirati naplatom potraživanja.</w:t>
      </w:r>
    </w:p>
    <w:p w:rsidR="006F0FF2" w:rsidRDefault="006F0FF2" w:rsidP="00A61ECE">
      <w:pPr>
        <w:pStyle w:val="ListParagraph"/>
        <w:numPr>
          <w:ilvl w:val="0"/>
          <w:numId w:val="22"/>
        </w:numPr>
        <w:ind w:left="1418" w:hanging="425"/>
        <w:rPr>
          <w:rFonts w:ascii="Calibri" w:hAnsi="Calibri"/>
        </w:rPr>
      </w:pPr>
      <w:r>
        <w:rPr>
          <w:rFonts w:ascii="Calibri" w:hAnsi="Calibri"/>
        </w:rPr>
        <w:t>Predočenjem dokaza da je Osiguranik pretrpio gubitke izazvane razlikom u cijeni prilikom Zamjenskog unovčenja robe, provedenog u cilju umanjenja Štete.</w:t>
      </w:r>
    </w:p>
    <w:p w:rsidR="006F0FF2" w:rsidRDefault="006F0FF2" w:rsidP="006F0FF2">
      <w:pPr>
        <w:spacing w:after="0"/>
        <w:ind w:left="708"/>
        <w:rPr>
          <w:rFonts w:ascii="Calibri" w:hAnsi="Calibri"/>
        </w:rPr>
      </w:pPr>
      <w:r>
        <w:rPr>
          <w:rFonts w:ascii="Calibri" w:hAnsi="Calibri"/>
        </w:rPr>
        <w:t>Osigurani slučaj za političke rizike nastupa:</w:t>
      </w:r>
    </w:p>
    <w:p w:rsidR="006F0FF2" w:rsidRDefault="006F0FF2" w:rsidP="00A61ECE">
      <w:pPr>
        <w:pStyle w:val="ListParagraph"/>
        <w:numPr>
          <w:ilvl w:val="0"/>
          <w:numId w:val="23"/>
        </w:numPr>
        <w:ind w:left="1418" w:hanging="425"/>
        <w:rPr>
          <w:rFonts w:ascii="Calibri" w:hAnsi="Calibri"/>
        </w:rPr>
      </w:pPr>
      <w:r>
        <w:rPr>
          <w:rFonts w:ascii="Calibri" w:hAnsi="Calibri"/>
        </w:rPr>
        <w:t>Istekom Razdoblja čekanja uz predočenje dokaza od strane Osiguranika o nastanku nekog od osiguranih političkih rizika.</w:t>
      </w:r>
    </w:p>
    <w:p w:rsidR="006F0FF2" w:rsidRPr="00A61ECE" w:rsidRDefault="006F0FF2" w:rsidP="00A61ECE">
      <w:pPr>
        <w:pStyle w:val="ListParagraph"/>
        <w:numPr>
          <w:ilvl w:val="0"/>
          <w:numId w:val="0"/>
        </w:numPr>
        <w:ind w:left="1418"/>
        <w:rPr>
          <w:rFonts w:ascii="Calibri" w:hAnsi="Calibri"/>
        </w:rPr>
      </w:pPr>
    </w:p>
    <w:p w:rsidR="006F0FF2" w:rsidRPr="00A61ECE" w:rsidRDefault="006F0FF2" w:rsidP="00A61ECE">
      <w:pPr>
        <w:pStyle w:val="ListParagraph"/>
        <w:numPr>
          <w:ilvl w:val="0"/>
          <w:numId w:val="9"/>
        </w:numPr>
        <w:rPr>
          <w:b/>
        </w:rPr>
      </w:pPr>
      <w:r w:rsidRPr="00A61ECE">
        <w:rPr>
          <w:b/>
        </w:rPr>
        <w:t>Razdoblje čekanja</w:t>
      </w:r>
    </w:p>
    <w:p w:rsidR="006F0FF2" w:rsidRDefault="006F0FF2" w:rsidP="00A61ECE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Vremensko razdoblje koje u pravilu traje </w:t>
      </w:r>
      <w:r w:rsidR="00B24C09">
        <w:rPr>
          <w:rFonts w:ascii="Calibri" w:hAnsi="Calibri"/>
        </w:rPr>
        <w:t xml:space="preserve">3 </w:t>
      </w:r>
      <w:r>
        <w:rPr>
          <w:rFonts w:ascii="Calibri" w:hAnsi="Calibri"/>
        </w:rPr>
        <w:t>mjesec</w:t>
      </w:r>
      <w:r w:rsidR="00B24C09">
        <w:rPr>
          <w:rFonts w:ascii="Calibri" w:hAnsi="Calibri"/>
        </w:rPr>
        <w:t>a</w:t>
      </w:r>
      <w:r>
        <w:rPr>
          <w:rFonts w:ascii="Calibri" w:hAnsi="Calibri"/>
        </w:rPr>
        <w:t xml:space="preserve"> od podnošenja pisane obavijesti o zakašnjenju plaćanja HBOR-u, tijekom kojeg Osiguranik u dogovoru s HBOR-om poduzima dogovorene aktivnosti s ciljem umanjenja Štete i naplate potraživanja od Inozemnog kupca.</w:t>
      </w:r>
    </w:p>
    <w:p w:rsidR="00737DEB" w:rsidRDefault="00737DEB" w:rsidP="003E5B4E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</w:p>
    <w:p w:rsidR="00A70008" w:rsidRDefault="00A70008" w:rsidP="00173BCE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173BCE">
        <w:rPr>
          <w:rFonts w:ascii="Calibri" w:hAnsi="Calibri"/>
          <w:b/>
        </w:rPr>
        <w:t>Podnošenje odštetnog zahtjeva</w:t>
      </w:r>
    </w:p>
    <w:p w:rsidR="00636123" w:rsidRDefault="00173BCE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  <w:r w:rsidRPr="00173BCE">
        <w:rPr>
          <w:rFonts w:ascii="Calibri" w:hAnsi="Calibri"/>
        </w:rPr>
        <w:t>Od</w:t>
      </w:r>
      <w:r>
        <w:rPr>
          <w:rFonts w:ascii="Calibri" w:hAnsi="Calibri"/>
        </w:rPr>
        <w:t xml:space="preserve">štetni zahtjev </w:t>
      </w:r>
      <w:r w:rsidR="003E454C">
        <w:rPr>
          <w:rFonts w:ascii="Calibri" w:hAnsi="Calibri"/>
        </w:rPr>
        <w:t>Osiguranik</w:t>
      </w:r>
      <w:r>
        <w:rPr>
          <w:rFonts w:ascii="Calibri" w:hAnsi="Calibri"/>
        </w:rPr>
        <w:t xml:space="preserve"> HBOR-u podnosi u pisanom obliku zajedno s dokumentacijom kojom dokazuje uredno ispunjenje obveza iz </w:t>
      </w:r>
      <w:r w:rsidR="003E454C">
        <w:rPr>
          <w:rFonts w:ascii="Calibri" w:hAnsi="Calibri"/>
        </w:rPr>
        <w:t>I</w:t>
      </w:r>
      <w:r>
        <w:rPr>
          <w:rFonts w:ascii="Calibri" w:hAnsi="Calibri"/>
        </w:rPr>
        <w:t xml:space="preserve">zvoznog ugovora prema </w:t>
      </w:r>
      <w:r w:rsidR="003E454C">
        <w:rPr>
          <w:rFonts w:ascii="Calibri" w:hAnsi="Calibri"/>
        </w:rPr>
        <w:t>I</w:t>
      </w:r>
      <w:r>
        <w:rPr>
          <w:rFonts w:ascii="Calibri" w:hAnsi="Calibri"/>
        </w:rPr>
        <w:t>nozemnom kupcu, odnosno dokaz o postojanju potraživanja.</w:t>
      </w:r>
      <w:r w:rsidR="003E454C">
        <w:rPr>
          <w:rFonts w:ascii="Calibri" w:hAnsi="Calibri"/>
        </w:rPr>
        <w:t xml:space="preserve"> </w:t>
      </w:r>
      <w:r w:rsidR="00636123">
        <w:rPr>
          <w:rFonts w:ascii="Calibri" w:hAnsi="Calibri"/>
        </w:rPr>
        <w:t xml:space="preserve">Odštetni zahtjev HBOR-u može biti podnesen najkasnije godinu dana od nastanka </w:t>
      </w:r>
      <w:r w:rsidR="003E454C">
        <w:rPr>
          <w:rFonts w:ascii="Calibri" w:hAnsi="Calibri"/>
        </w:rPr>
        <w:t>O</w:t>
      </w:r>
      <w:r w:rsidR="00636123">
        <w:rPr>
          <w:rFonts w:ascii="Calibri" w:hAnsi="Calibri"/>
        </w:rPr>
        <w:t>siguranog slučaja.</w:t>
      </w:r>
    </w:p>
    <w:p w:rsidR="003E454C" w:rsidRPr="00636123" w:rsidRDefault="003E454C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</w:p>
    <w:p w:rsidR="00636123" w:rsidRDefault="00A70008" w:rsidP="00636123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7468CB">
        <w:rPr>
          <w:rFonts w:ascii="Calibri" w:hAnsi="Calibri"/>
          <w:b/>
        </w:rPr>
        <w:t>Odšteta</w:t>
      </w:r>
    </w:p>
    <w:p w:rsidR="00636123" w:rsidRDefault="00636123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Odšteta predstavlja novčani iznos koji HBOR isplaćuje </w:t>
      </w:r>
      <w:r w:rsidR="003E454C">
        <w:rPr>
          <w:rFonts w:ascii="Calibri" w:hAnsi="Calibri"/>
        </w:rPr>
        <w:t>Osiguraniku</w:t>
      </w:r>
      <w:r>
        <w:rPr>
          <w:rFonts w:ascii="Calibri" w:hAnsi="Calibri"/>
        </w:rPr>
        <w:t xml:space="preserve"> radi naknade </w:t>
      </w:r>
      <w:r w:rsidR="003E454C">
        <w:rPr>
          <w:rFonts w:ascii="Calibri" w:hAnsi="Calibri"/>
        </w:rPr>
        <w:t>Š</w:t>
      </w:r>
      <w:r>
        <w:rPr>
          <w:rFonts w:ascii="Calibri" w:hAnsi="Calibri"/>
        </w:rPr>
        <w:t xml:space="preserve">tete uzrokovane nastupom </w:t>
      </w:r>
      <w:r w:rsidR="003E454C">
        <w:rPr>
          <w:rFonts w:ascii="Calibri" w:hAnsi="Calibri"/>
        </w:rPr>
        <w:t>O</w:t>
      </w:r>
      <w:r>
        <w:rPr>
          <w:rFonts w:ascii="Calibri" w:hAnsi="Calibri"/>
        </w:rPr>
        <w:t xml:space="preserve">siguranog slučaja, najviše do iznosa </w:t>
      </w:r>
      <w:r w:rsidR="003E454C">
        <w:rPr>
          <w:rFonts w:ascii="Calibri" w:hAnsi="Calibri"/>
        </w:rPr>
        <w:t>O</w:t>
      </w:r>
      <w:r>
        <w:rPr>
          <w:rFonts w:ascii="Calibri" w:hAnsi="Calibri"/>
        </w:rPr>
        <w:t>sigurane svote umanjen</w:t>
      </w:r>
      <w:r w:rsidR="003E454C">
        <w:rPr>
          <w:rFonts w:ascii="Calibri" w:hAnsi="Calibri"/>
        </w:rPr>
        <w:t>o</w:t>
      </w:r>
      <w:r>
        <w:rPr>
          <w:rFonts w:ascii="Calibri" w:hAnsi="Calibri"/>
        </w:rPr>
        <w:t xml:space="preserve"> za </w:t>
      </w:r>
      <w:r w:rsidR="003E454C">
        <w:rPr>
          <w:rFonts w:ascii="Calibri" w:hAnsi="Calibri"/>
        </w:rPr>
        <w:t>S</w:t>
      </w:r>
      <w:r>
        <w:rPr>
          <w:rFonts w:ascii="Calibri" w:hAnsi="Calibri"/>
        </w:rPr>
        <w:t>amopridržaj.</w:t>
      </w:r>
    </w:p>
    <w:p w:rsidR="00636123" w:rsidRDefault="00636123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</w:p>
    <w:p w:rsidR="00351E85" w:rsidRPr="00351E85" w:rsidRDefault="00636123" w:rsidP="00351E85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Prije isplate </w:t>
      </w:r>
      <w:r w:rsidR="003E454C">
        <w:rPr>
          <w:rFonts w:ascii="Calibri" w:hAnsi="Calibri"/>
        </w:rPr>
        <w:t>O</w:t>
      </w:r>
      <w:r>
        <w:rPr>
          <w:rFonts w:ascii="Calibri" w:hAnsi="Calibri"/>
        </w:rPr>
        <w:t xml:space="preserve">dštete </w:t>
      </w:r>
      <w:r w:rsidR="003E454C">
        <w:rPr>
          <w:rFonts w:ascii="Calibri" w:hAnsi="Calibri"/>
        </w:rPr>
        <w:t>Osiguranik</w:t>
      </w:r>
      <w:r>
        <w:rPr>
          <w:rFonts w:ascii="Calibri" w:hAnsi="Calibri"/>
        </w:rPr>
        <w:t xml:space="preserve"> je obvezan s HBOR-om zaključiti ugovor kojim će se regulirati međusobn</w:t>
      </w:r>
      <w:r w:rsidR="00351E85">
        <w:rPr>
          <w:rFonts w:ascii="Calibri" w:hAnsi="Calibri"/>
        </w:rPr>
        <w:t>i</w:t>
      </w:r>
      <w:r>
        <w:rPr>
          <w:rFonts w:ascii="Calibri" w:hAnsi="Calibri"/>
        </w:rPr>
        <w:t xml:space="preserve"> odnosi i </w:t>
      </w:r>
      <w:r w:rsidR="00351E85">
        <w:rPr>
          <w:rFonts w:ascii="Calibri" w:hAnsi="Calibri"/>
        </w:rPr>
        <w:t xml:space="preserve">ugovoriti </w:t>
      </w:r>
      <w:r>
        <w:rPr>
          <w:rFonts w:ascii="Calibri" w:hAnsi="Calibri"/>
        </w:rPr>
        <w:t>poduzimanje daljnjih radnji vezano uz postupak regresne naplate potraživanja.</w:t>
      </w:r>
    </w:p>
    <w:p w:rsidR="00636123" w:rsidRDefault="00636123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</w:p>
    <w:p w:rsidR="00636123" w:rsidRPr="00636123" w:rsidRDefault="00636123" w:rsidP="00636123">
      <w:pPr>
        <w:pStyle w:val="ListParagraph"/>
        <w:numPr>
          <w:ilvl w:val="0"/>
          <w:numId w:val="9"/>
        </w:numPr>
        <w:rPr>
          <w:rFonts w:ascii="Calibri" w:hAnsi="Calibri"/>
          <w:b/>
        </w:rPr>
      </w:pPr>
      <w:r w:rsidRPr="00636123">
        <w:rPr>
          <w:rFonts w:ascii="Calibri" w:hAnsi="Calibri"/>
          <w:b/>
        </w:rPr>
        <w:t>Dodatni troškovi</w:t>
      </w:r>
    </w:p>
    <w:p w:rsidR="00636123" w:rsidRPr="00636123" w:rsidRDefault="00636123" w:rsidP="00636123">
      <w:pPr>
        <w:pStyle w:val="ListParagraph"/>
        <w:numPr>
          <w:ilvl w:val="0"/>
          <w:numId w:val="0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Troškovi nastali uslijed poduzetih radnji za umanjenje ili izbjegavanje nastanka </w:t>
      </w:r>
      <w:r w:rsidR="003E454C">
        <w:rPr>
          <w:rFonts w:ascii="Calibri" w:hAnsi="Calibri"/>
        </w:rPr>
        <w:t>Š</w:t>
      </w:r>
      <w:r>
        <w:rPr>
          <w:rFonts w:ascii="Calibri" w:hAnsi="Calibri"/>
        </w:rPr>
        <w:t>tete koji se odnose na angažiranje agencije za naplatu potraživanja</w:t>
      </w:r>
      <w:r w:rsidR="006F0FF2">
        <w:rPr>
          <w:rFonts w:ascii="Calibri" w:hAnsi="Calibri"/>
        </w:rPr>
        <w:t xml:space="preserve"> i</w:t>
      </w:r>
      <w:r>
        <w:rPr>
          <w:rFonts w:ascii="Calibri" w:hAnsi="Calibri"/>
        </w:rPr>
        <w:t xml:space="preserve"> pravne troškove s kojima je HBOR bio upoznat i suglasan u slučaju nadoknade takvih troškova </w:t>
      </w:r>
      <w:r w:rsidR="003E454C">
        <w:rPr>
          <w:rFonts w:ascii="Calibri" w:hAnsi="Calibri"/>
        </w:rPr>
        <w:t>Osiguraniku</w:t>
      </w:r>
      <w:r>
        <w:rPr>
          <w:rFonts w:ascii="Calibri" w:hAnsi="Calibri"/>
        </w:rPr>
        <w:t>.</w:t>
      </w:r>
      <w:r w:rsidR="006F0FF2">
        <w:rPr>
          <w:rFonts w:ascii="Calibri" w:hAnsi="Calibri"/>
        </w:rPr>
        <w:t xml:space="preserve"> Dodatni troškovi se ne odnose na troškove utvrđenja utemeljenosti odštetnog zahtjeva.</w:t>
      </w:r>
    </w:p>
    <w:p w:rsidR="00636123" w:rsidRDefault="00636123" w:rsidP="00636123">
      <w:pPr>
        <w:rPr>
          <w:rFonts w:ascii="Calibri" w:hAnsi="Calibri"/>
          <w:b/>
          <w:sz w:val="22"/>
        </w:rPr>
      </w:pPr>
    </w:p>
    <w:p w:rsidR="00636123" w:rsidRDefault="00636123" w:rsidP="00636123">
      <w:pPr>
        <w:rPr>
          <w:rFonts w:ascii="Calibri" w:hAnsi="Calibri"/>
          <w:b/>
          <w:sz w:val="22"/>
        </w:rPr>
      </w:pPr>
    </w:p>
    <w:p w:rsidR="00636123" w:rsidRPr="00636123" w:rsidRDefault="00636123" w:rsidP="00636123">
      <w:pPr>
        <w:rPr>
          <w:rFonts w:ascii="Calibri" w:hAnsi="Calibri"/>
          <w:b/>
          <w:sz w:val="22"/>
        </w:rPr>
        <w:sectPr w:rsidR="00636123" w:rsidRPr="00636123" w:rsidSect="00E05D4A">
          <w:footerReference w:type="first" r:id="rId12"/>
          <w:type w:val="continuous"/>
          <w:pgSz w:w="11906" w:h="16838"/>
          <w:pgMar w:top="1418" w:right="1134" w:bottom="1701" w:left="1134" w:header="709" w:footer="709" w:gutter="170"/>
          <w:pgNumType w:start="1"/>
          <w:cols w:space="708"/>
          <w:docGrid w:linePitch="360"/>
        </w:sectPr>
      </w:pPr>
    </w:p>
    <w:p w:rsidR="00602AC3" w:rsidRPr="00901ED8" w:rsidRDefault="00602AC3" w:rsidP="00602AC3">
      <w:pPr>
        <w:rPr>
          <w:rFonts w:ascii="Calibri" w:hAnsi="Calibri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417FADFF" wp14:editId="5A42F8FC">
            <wp:simplePos x="0" y="0"/>
            <wp:positionH relativeFrom="column">
              <wp:posOffset>-499745</wp:posOffset>
            </wp:positionH>
            <wp:positionV relativeFrom="paragraph">
              <wp:posOffset>-560705</wp:posOffset>
            </wp:positionV>
            <wp:extent cx="2811145" cy="10063480"/>
            <wp:effectExtent l="0" t="0" r="8255" b="0"/>
            <wp:wrapNone/>
            <wp:docPr id="7" name="Picture 7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0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C438" wp14:editId="59B28F07">
                <wp:simplePos x="0" y="0"/>
                <wp:positionH relativeFrom="column">
                  <wp:posOffset>-534670</wp:posOffset>
                </wp:positionH>
                <wp:positionV relativeFrom="paragraph">
                  <wp:posOffset>-525145</wp:posOffset>
                </wp:positionV>
                <wp:extent cx="2797175" cy="10026650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002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56A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spacing w:before="6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firstLine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Zelinska 3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Default="00602AC3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Zelinska 3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602AC3" w:rsidRPr="00263634" w:rsidRDefault="00602AC3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6C43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1pt;margin-top:-41.35pt;width:220.25pt;height:7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" filled="f" fillcolor="#66656a" stroked="f">
                <v:fill opacity="46003f"/>
                <v:textbox>
                  <w:txbxContent>
                    <w:p w:rsidR="00602AC3" w:rsidRDefault="00602AC3" w:rsidP="00602AC3">
                      <w:pPr>
                        <w:rPr>
                          <w:rFonts w:ascii="Calibri" w:hAnsi="Calibri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spacing w:before="60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firstLine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Zelinska 3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Default="00602AC3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Zelinska 3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602AC3" w:rsidRPr="00263634" w:rsidRDefault="00602AC3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</w:txbxContent>
                </v:textbox>
              </v:shape>
            </w:pict>
          </mc:Fallback>
        </mc:AlternateContent>
      </w:r>
    </w:p>
    <w:p w:rsidR="00C05F2F" w:rsidRPr="005B082C" w:rsidRDefault="00C05F2F" w:rsidP="00A44534">
      <w:pPr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sectPr w:rsidR="00C05F2F" w:rsidRPr="005B082C" w:rsidSect="00132CF8">
      <w:footerReference w:type="first" r:id="rId13"/>
      <w:pgSz w:w="11906" w:h="16838" w:code="9"/>
      <w:pgMar w:top="1418" w:right="1134" w:bottom="1701" w:left="1134" w:header="709" w:footer="709" w:gutter="170"/>
      <w:pgNumType w:start="1"/>
      <w:cols w:num="2" w:space="708" w:equalWidth="0">
        <w:col w:w="4371" w:space="708"/>
        <w:col w:w="43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70E" w:rsidRDefault="000C370E" w:rsidP="00755130">
      <w:r>
        <w:separator/>
      </w:r>
    </w:p>
  </w:endnote>
  <w:endnote w:type="continuationSeparator" w:id="0">
    <w:p w:rsidR="000C370E" w:rsidRDefault="000C370E" w:rsidP="0075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D1E" w:rsidRPr="00F92D1E" w:rsidRDefault="00F92D1E" w:rsidP="00F92D1E">
    <w:pPr>
      <w:pStyle w:val="Footer"/>
      <w:framePr w:wrap="around" w:vAnchor="text" w:hAnchor="page" w:x="10418" w:y="1"/>
      <w:pBdr>
        <w:bottom w:val="single" w:sz="18" w:space="1" w:color="CC0033"/>
      </w:pBdr>
      <w:spacing w:after="0"/>
      <w:rPr>
        <w:rStyle w:val="PageNumber"/>
        <w:rFonts w:ascii="Calibri" w:hAnsi="Calibri"/>
        <w:b/>
        <w:color w:val="66656A"/>
        <w:szCs w:val="20"/>
      </w:rPr>
    </w:pP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PAGE 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1B446C">
      <w:rPr>
        <w:rStyle w:val="PageNumber"/>
        <w:rFonts w:ascii="Calibri" w:hAnsi="Calibri"/>
        <w:b/>
        <w:noProof/>
        <w:color w:val="66656A"/>
        <w:szCs w:val="20"/>
      </w:rPr>
      <w:t>3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t>/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=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 NUMPAGES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1B446C">
      <w:rPr>
        <w:rStyle w:val="PageNumber"/>
        <w:rFonts w:ascii="Calibri" w:hAnsi="Calibri"/>
        <w:b/>
        <w:noProof/>
        <w:color w:val="66656A"/>
        <w:szCs w:val="20"/>
      </w:rPr>
      <w:instrText>5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instrText>-2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1B446C">
      <w:rPr>
        <w:rStyle w:val="PageNumber"/>
        <w:rFonts w:ascii="Calibri" w:hAnsi="Calibri"/>
        <w:b/>
        <w:noProof/>
        <w:color w:val="66656A"/>
        <w:szCs w:val="20"/>
      </w:rPr>
      <w:t>3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</w:p>
  <w:p w:rsidR="00856736" w:rsidRDefault="00856736">
    <w:pPr>
      <w:pStyle w:val="Footer"/>
      <w:jc w:val="right"/>
      <w:rPr>
        <w:rStyle w:val="pagenumChar"/>
      </w:rPr>
    </w:pPr>
  </w:p>
  <w:p w:rsidR="00F92D1E" w:rsidRPr="00856736" w:rsidRDefault="00F92D1E">
    <w:pPr>
      <w:pStyle w:val="Footer"/>
      <w:jc w:val="right"/>
      <w:rPr>
        <w:rStyle w:val="pagenumChar"/>
      </w:rPr>
    </w:pPr>
  </w:p>
  <w:p w:rsidR="00E661DF" w:rsidRDefault="00E66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DE" w:rsidRDefault="00E433DE" w:rsidP="00E433DE">
    <w:pPr>
      <w:pStyle w:val="Footer1"/>
      <w:ind w:left="567"/>
    </w:pPr>
    <w:r w:rsidRPr="00027D2D">
      <w:t>Osiguranje izvoza od komercijalnih i političkih rizika u ime i za račun Republike Hrvatske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93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6736" w:rsidRDefault="008567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3AE6" w:rsidRPr="004C3AE6" w:rsidRDefault="004C3AE6" w:rsidP="004C3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023" w:rsidRDefault="000C370E" w:rsidP="00DB4496">
    <w:pPr>
      <w:pStyle w:val="Footer"/>
      <w:rPr>
        <w:rFonts w:ascii="Calibri" w:hAnsi="Calibri"/>
        <w:color w:val="C0C0C0"/>
        <w:sz w:val="16"/>
        <w:szCs w:val="16"/>
      </w:rPr>
    </w:pPr>
  </w:p>
  <w:p w:rsidR="008C1023" w:rsidRPr="003E51E2" w:rsidRDefault="000C370E" w:rsidP="00DB449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70E" w:rsidRDefault="000C370E" w:rsidP="00755130">
      <w:r>
        <w:separator/>
      </w:r>
    </w:p>
  </w:footnote>
  <w:footnote w:type="continuationSeparator" w:id="0">
    <w:p w:rsidR="000C370E" w:rsidRDefault="000C370E" w:rsidP="0075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5BE5"/>
    <w:multiLevelType w:val="hybridMultilevel"/>
    <w:tmpl w:val="314A7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279"/>
    <w:multiLevelType w:val="hybridMultilevel"/>
    <w:tmpl w:val="ADBC9A02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5E7A9D"/>
    <w:multiLevelType w:val="hybridMultilevel"/>
    <w:tmpl w:val="6CC2E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23EDA"/>
    <w:multiLevelType w:val="hybridMultilevel"/>
    <w:tmpl w:val="C186D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018D"/>
    <w:multiLevelType w:val="hybridMultilevel"/>
    <w:tmpl w:val="75302FC2"/>
    <w:lvl w:ilvl="0" w:tplc="6D666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1C98"/>
    <w:multiLevelType w:val="hybridMultilevel"/>
    <w:tmpl w:val="4DF6422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4322DC1"/>
    <w:multiLevelType w:val="hybridMultilevel"/>
    <w:tmpl w:val="5E8699A4"/>
    <w:lvl w:ilvl="0" w:tplc="CC6A8FCE">
      <w:start w:val="1"/>
      <w:numFmt w:val="decimal"/>
      <w:pStyle w:val="Podbrojevi"/>
      <w:lvlText w:val="%1."/>
      <w:lvlJc w:val="left"/>
      <w:pPr>
        <w:ind w:left="720" w:hanging="360"/>
      </w:pPr>
      <w:rPr>
        <w:rFonts w:hint="default"/>
      </w:rPr>
    </w:lvl>
    <w:lvl w:ilvl="1" w:tplc="A9C807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936"/>
    <w:multiLevelType w:val="multilevel"/>
    <w:tmpl w:val="7EE0C99A"/>
    <w:lvl w:ilvl="0">
      <w:start w:val="1"/>
      <w:numFmt w:val="none"/>
      <w:pStyle w:val="Heading1"/>
      <w:lvlText w:val=""/>
      <w:lvlJc w:val="center"/>
      <w:pPr>
        <w:tabs>
          <w:tab w:val="num" w:pos="3686"/>
        </w:tabs>
        <w:ind w:left="432" w:hanging="14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Heading2"/>
      <w:lvlText w:val="%11.%2"/>
      <w:lvlJc w:val="left"/>
      <w:pPr>
        <w:tabs>
          <w:tab w:val="num" w:pos="576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32399F"/>
    <w:multiLevelType w:val="hybridMultilevel"/>
    <w:tmpl w:val="B6CC2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96149"/>
    <w:multiLevelType w:val="hybridMultilevel"/>
    <w:tmpl w:val="CC1E362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454EA"/>
    <w:multiLevelType w:val="hybridMultilevel"/>
    <w:tmpl w:val="B3F0B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E3B69"/>
    <w:multiLevelType w:val="hybridMultilevel"/>
    <w:tmpl w:val="B5A86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61DC1"/>
    <w:multiLevelType w:val="hybridMultilevel"/>
    <w:tmpl w:val="5AD658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30295"/>
    <w:multiLevelType w:val="hybridMultilevel"/>
    <w:tmpl w:val="7B085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8703F"/>
    <w:multiLevelType w:val="hybridMultilevel"/>
    <w:tmpl w:val="FF7E1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2616E"/>
    <w:multiLevelType w:val="hybridMultilevel"/>
    <w:tmpl w:val="FF2E0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D63F5"/>
    <w:multiLevelType w:val="multilevel"/>
    <w:tmpl w:val="FDD431F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evi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8DC0BA7"/>
    <w:multiLevelType w:val="hybridMultilevel"/>
    <w:tmpl w:val="5EBE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60EE7"/>
    <w:multiLevelType w:val="hybridMultilevel"/>
    <w:tmpl w:val="C5502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80493"/>
    <w:multiLevelType w:val="hybridMultilevel"/>
    <w:tmpl w:val="5ABE9A36"/>
    <w:lvl w:ilvl="0" w:tplc="951CF9F8">
      <w:start w:val="1"/>
      <w:numFmt w:val="bullet"/>
      <w:pStyle w:val="ListParagraph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942D0"/>
    <w:multiLevelType w:val="hybridMultilevel"/>
    <w:tmpl w:val="AB928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B286D"/>
    <w:multiLevelType w:val="hybridMultilevel"/>
    <w:tmpl w:val="3C588806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7B067277"/>
    <w:multiLevelType w:val="hybridMultilevel"/>
    <w:tmpl w:val="FA485D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7B60BA"/>
    <w:multiLevelType w:val="hybridMultilevel"/>
    <w:tmpl w:val="FB64D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3052C"/>
    <w:multiLevelType w:val="hybridMultilevel"/>
    <w:tmpl w:val="A5C61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6"/>
  </w:num>
  <w:num w:numId="5">
    <w:abstractNumId w:val="13"/>
  </w:num>
  <w:num w:numId="6">
    <w:abstractNumId w:val="18"/>
  </w:num>
  <w:num w:numId="7">
    <w:abstractNumId w:val="12"/>
  </w:num>
  <w:num w:numId="8">
    <w:abstractNumId w:val="22"/>
  </w:num>
  <w:num w:numId="9">
    <w:abstractNumId w:val="4"/>
  </w:num>
  <w:num w:numId="10">
    <w:abstractNumId w:val="11"/>
  </w:num>
  <w:num w:numId="11">
    <w:abstractNumId w:val="15"/>
  </w:num>
  <w:num w:numId="12">
    <w:abstractNumId w:val="3"/>
  </w:num>
  <w:num w:numId="13">
    <w:abstractNumId w:val="0"/>
  </w:num>
  <w:num w:numId="14">
    <w:abstractNumId w:val="24"/>
  </w:num>
  <w:num w:numId="15">
    <w:abstractNumId w:val="8"/>
  </w:num>
  <w:num w:numId="16">
    <w:abstractNumId w:val="10"/>
  </w:num>
  <w:num w:numId="17">
    <w:abstractNumId w:val="9"/>
  </w:num>
  <w:num w:numId="18">
    <w:abstractNumId w:val="5"/>
  </w:num>
  <w:num w:numId="19">
    <w:abstractNumId w:val="21"/>
  </w:num>
  <w:num w:numId="20">
    <w:abstractNumId w:val="1"/>
  </w:num>
  <w:num w:numId="21">
    <w:abstractNumId w:val="14"/>
  </w:num>
  <w:num w:numId="22">
    <w:abstractNumId w:val="17"/>
  </w:num>
  <w:num w:numId="23">
    <w:abstractNumId w:val="2"/>
  </w:num>
  <w:num w:numId="24">
    <w:abstractNumId w:val="23"/>
  </w:num>
  <w:num w:numId="2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34"/>
    <w:rsid w:val="000033BA"/>
    <w:rsid w:val="000050D1"/>
    <w:rsid w:val="0001195E"/>
    <w:rsid w:val="00014B7D"/>
    <w:rsid w:val="00016FF3"/>
    <w:rsid w:val="000218A2"/>
    <w:rsid w:val="00022B56"/>
    <w:rsid w:val="00024850"/>
    <w:rsid w:val="00030C7C"/>
    <w:rsid w:val="000344EE"/>
    <w:rsid w:val="00041170"/>
    <w:rsid w:val="00041A9E"/>
    <w:rsid w:val="00051582"/>
    <w:rsid w:val="00051788"/>
    <w:rsid w:val="00055019"/>
    <w:rsid w:val="000566DC"/>
    <w:rsid w:val="00074E83"/>
    <w:rsid w:val="00083203"/>
    <w:rsid w:val="00092EF8"/>
    <w:rsid w:val="000A39D0"/>
    <w:rsid w:val="000A66BC"/>
    <w:rsid w:val="000A6706"/>
    <w:rsid w:val="000B6306"/>
    <w:rsid w:val="000B72ED"/>
    <w:rsid w:val="000C11AB"/>
    <w:rsid w:val="000C17CA"/>
    <w:rsid w:val="000C370E"/>
    <w:rsid w:val="000C5C21"/>
    <w:rsid w:val="000C5C93"/>
    <w:rsid w:val="000D03E9"/>
    <w:rsid w:val="000D512C"/>
    <w:rsid w:val="000E4AAC"/>
    <w:rsid w:val="000F74CD"/>
    <w:rsid w:val="001000DF"/>
    <w:rsid w:val="001053F8"/>
    <w:rsid w:val="00114D56"/>
    <w:rsid w:val="001241D7"/>
    <w:rsid w:val="00135E3F"/>
    <w:rsid w:val="00136803"/>
    <w:rsid w:val="00141340"/>
    <w:rsid w:val="00147AED"/>
    <w:rsid w:val="00153A5F"/>
    <w:rsid w:val="00154E7B"/>
    <w:rsid w:val="0017043F"/>
    <w:rsid w:val="00170623"/>
    <w:rsid w:val="00173BCE"/>
    <w:rsid w:val="001745FC"/>
    <w:rsid w:val="00183A55"/>
    <w:rsid w:val="00184055"/>
    <w:rsid w:val="001A146B"/>
    <w:rsid w:val="001B097B"/>
    <w:rsid w:val="001B446C"/>
    <w:rsid w:val="001B741A"/>
    <w:rsid w:val="001B7FB8"/>
    <w:rsid w:val="001C00D7"/>
    <w:rsid w:val="001C09BF"/>
    <w:rsid w:val="001C526E"/>
    <w:rsid w:val="001C531C"/>
    <w:rsid w:val="001D3731"/>
    <w:rsid w:val="001D594A"/>
    <w:rsid w:val="001E010E"/>
    <w:rsid w:val="001E08A5"/>
    <w:rsid w:val="001E3406"/>
    <w:rsid w:val="00200D34"/>
    <w:rsid w:val="00202BC5"/>
    <w:rsid w:val="0020637B"/>
    <w:rsid w:val="00211641"/>
    <w:rsid w:val="002171E2"/>
    <w:rsid w:val="00240BDA"/>
    <w:rsid w:val="00243B2D"/>
    <w:rsid w:val="002502CB"/>
    <w:rsid w:val="00251F9C"/>
    <w:rsid w:val="00253FFD"/>
    <w:rsid w:val="002601B5"/>
    <w:rsid w:val="00262659"/>
    <w:rsid w:val="00264541"/>
    <w:rsid w:val="002743D1"/>
    <w:rsid w:val="00276435"/>
    <w:rsid w:val="0028410A"/>
    <w:rsid w:val="0029351C"/>
    <w:rsid w:val="002A0E40"/>
    <w:rsid w:val="002A4059"/>
    <w:rsid w:val="002A4705"/>
    <w:rsid w:val="002A637B"/>
    <w:rsid w:val="002A639D"/>
    <w:rsid w:val="002B096C"/>
    <w:rsid w:val="002B1C38"/>
    <w:rsid w:val="002B2BE2"/>
    <w:rsid w:val="002B58F2"/>
    <w:rsid w:val="002C7E15"/>
    <w:rsid w:val="002D751E"/>
    <w:rsid w:val="00300A7D"/>
    <w:rsid w:val="0031474E"/>
    <w:rsid w:val="003318AE"/>
    <w:rsid w:val="00336892"/>
    <w:rsid w:val="003419C6"/>
    <w:rsid w:val="00351E85"/>
    <w:rsid w:val="00353704"/>
    <w:rsid w:val="00354A45"/>
    <w:rsid w:val="0036350F"/>
    <w:rsid w:val="00371A16"/>
    <w:rsid w:val="00381197"/>
    <w:rsid w:val="00393795"/>
    <w:rsid w:val="00393D03"/>
    <w:rsid w:val="00394A5E"/>
    <w:rsid w:val="00396E60"/>
    <w:rsid w:val="003979CD"/>
    <w:rsid w:val="003A6711"/>
    <w:rsid w:val="003B5E8F"/>
    <w:rsid w:val="003C09C5"/>
    <w:rsid w:val="003C0C85"/>
    <w:rsid w:val="003D050F"/>
    <w:rsid w:val="003D56ED"/>
    <w:rsid w:val="003D79D1"/>
    <w:rsid w:val="003E066E"/>
    <w:rsid w:val="003E454C"/>
    <w:rsid w:val="003E5B4E"/>
    <w:rsid w:val="003F0E4C"/>
    <w:rsid w:val="003F34AF"/>
    <w:rsid w:val="003F45D2"/>
    <w:rsid w:val="004037E7"/>
    <w:rsid w:val="00403B9F"/>
    <w:rsid w:val="004043D2"/>
    <w:rsid w:val="00405F67"/>
    <w:rsid w:val="004208AD"/>
    <w:rsid w:val="00432617"/>
    <w:rsid w:val="00434678"/>
    <w:rsid w:val="00437CE8"/>
    <w:rsid w:val="00440AC2"/>
    <w:rsid w:val="00460D78"/>
    <w:rsid w:val="00464CC2"/>
    <w:rsid w:val="00466C2B"/>
    <w:rsid w:val="004677CC"/>
    <w:rsid w:val="00470090"/>
    <w:rsid w:val="00473250"/>
    <w:rsid w:val="004754E4"/>
    <w:rsid w:val="00476576"/>
    <w:rsid w:val="004A1A06"/>
    <w:rsid w:val="004B3A11"/>
    <w:rsid w:val="004C0F4F"/>
    <w:rsid w:val="004C3AE6"/>
    <w:rsid w:val="004C4189"/>
    <w:rsid w:val="004D4EF2"/>
    <w:rsid w:val="004E7A86"/>
    <w:rsid w:val="004F6D63"/>
    <w:rsid w:val="00511EA4"/>
    <w:rsid w:val="00523DD1"/>
    <w:rsid w:val="00561E52"/>
    <w:rsid w:val="0057001F"/>
    <w:rsid w:val="00583328"/>
    <w:rsid w:val="00591EDE"/>
    <w:rsid w:val="00591FFE"/>
    <w:rsid w:val="005A46D4"/>
    <w:rsid w:val="005A64B0"/>
    <w:rsid w:val="005A72B3"/>
    <w:rsid w:val="005A7D82"/>
    <w:rsid w:val="005B082C"/>
    <w:rsid w:val="005C1E2C"/>
    <w:rsid w:val="005C2E06"/>
    <w:rsid w:val="005D55E1"/>
    <w:rsid w:val="005E1D12"/>
    <w:rsid w:val="005E28F7"/>
    <w:rsid w:val="005F4F87"/>
    <w:rsid w:val="00602AC3"/>
    <w:rsid w:val="006177BD"/>
    <w:rsid w:val="00623BA1"/>
    <w:rsid w:val="00631BC2"/>
    <w:rsid w:val="00636123"/>
    <w:rsid w:val="00641B11"/>
    <w:rsid w:val="0064432C"/>
    <w:rsid w:val="00647DAC"/>
    <w:rsid w:val="00652E3E"/>
    <w:rsid w:val="006562BB"/>
    <w:rsid w:val="00670B90"/>
    <w:rsid w:val="006735C7"/>
    <w:rsid w:val="00691C3A"/>
    <w:rsid w:val="0069540F"/>
    <w:rsid w:val="006956D6"/>
    <w:rsid w:val="006A4E58"/>
    <w:rsid w:val="006B451E"/>
    <w:rsid w:val="006E27DA"/>
    <w:rsid w:val="006E44E7"/>
    <w:rsid w:val="006F0256"/>
    <w:rsid w:val="006F0FF2"/>
    <w:rsid w:val="006F685B"/>
    <w:rsid w:val="00705D1F"/>
    <w:rsid w:val="00707727"/>
    <w:rsid w:val="007101BC"/>
    <w:rsid w:val="00717AB7"/>
    <w:rsid w:val="00731893"/>
    <w:rsid w:val="00731CF7"/>
    <w:rsid w:val="00733BF3"/>
    <w:rsid w:val="00737DEB"/>
    <w:rsid w:val="00745AB5"/>
    <w:rsid w:val="007468CB"/>
    <w:rsid w:val="00755130"/>
    <w:rsid w:val="0078695D"/>
    <w:rsid w:val="007A3058"/>
    <w:rsid w:val="007B1F85"/>
    <w:rsid w:val="007C1D01"/>
    <w:rsid w:val="007C415A"/>
    <w:rsid w:val="007D06E9"/>
    <w:rsid w:val="007D7BFC"/>
    <w:rsid w:val="007E7861"/>
    <w:rsid w:val="007F6D90"/>
    <w:rsid w:val="007F7ED1"/>
    <w:rsid w:val="00800FBA"/>
    <w:rsid w:val="0080633A"/>
    <w:rsid w:val="00812D32"/>
    <w:rsid w:val="008148C2"/>
    <w:rsid w:val="0081512A"/>
    <w:rsid w:val="00816300"/>
    <w:rsid w:val="00816C0D"/>
    <w:rsid w:val="008314BA"/>
    <w:rsid w:val="00831B52"/>
    <w:rsid w:val="00832A66"/>
    <w:rsid w:val="00836C8E"/>
    <w:rsid w:val="00843B70"/>
    <w:rsid w:val="00851921"/>
    <w:rsid w:val="00856736"/>
    <w:rsid w:val="008577F3"/>
    <w:rsid w:val="008624A0"/>
    <w:rsid w:val="00862618"/>
    <w:rsid w:val="00862C19"/>
    <w:rsid w:val="00864C3C"/>
    <w:rsid w:val="0086615C"/>
    <w:rsid w:val="008702F3"/>
    <w:rsid w:val="00877C94"/>
    <w:rsid w:val="00881D3D"/>
    <w:rsid w:val="00896B51"/>
    <w:rsid w:val="008A5A50"/>
    <w:rsid w:val="008A5E49"/>
    <w:rsid w:val="008B26C9"/>
    <w:rsid w:val="008D7C66"/>
    <w:rsid w:val="008F1C3A"/>
    <w:rsid w:val="008F1F33"/>
    <w:rsid w:val="008F58E1"/>
    <w:rsid w:val="00907059"/>
    <w:rsid w:val="00924381"/>
    <w:rsid w:val="00930455"/>
    <w:rsid w:val="009633C2"/>
    <w:rsid w:val="0097338C"/>
    <w:rsid w:val="00973843"/>
    <w:rsid w:val="00976747"/>
    <w:rsid w:val="009A4D4E"/>
    <w:rsid w:val="009A52BE"/>
    <w:rsid w:val="009A6DE7"/>
    <w:rsid w:val="009B08F8"/>
    <w:rsid w:val="009B5969"/>
    <w:rsid w:val="009D02D5"/>
    <w:rsid w:val="009D5427"/>
    <w:rsid w:val="009D6432"/>
    <w:rsid w:val="009E71E4"/>
    <w:rsid w:val="009E754F"/>
    <w:rsid w:val="009F1AFE"/>
    <w:rsid w:val="00A02996"/>
    <w:rsid w:val="00A03B1B"/>
    <w:rsid w:val="00A04625"/>
    <w:rsid w:val="00A04981"/>
    <w:rsid w:val="00A16AE0"/>
    <w:rsid w:val="00A201CB"/>
    <w:rsid w:val="00A202D4"/>
    <w:rsid w:val="00A20F1A"/>
    <w:rsid w:val="00A24BED"/>
    <w:rsid w:val="00A30274"/>
    <w:rsid w:val="00A356C7"/>
    <w:rsid w:val="00A40182"/>
    <w:rsid w:val="00A44534"/>
    <w:rsid w:val="00A501EC"/>
    <w:rsid w:val="00A6047A"/>
    <w:rsid w:val="00A610BA"/>
    <w:rsid w:val="00A61ECE"/>
    <w:rsid w:val="00A70008"/>
    <w:rsid w:val="00A77C8B"/>
    <w:rsid w:val="00A8217E"/>
    <w:rsid w:val="00A867DA"/>
    <w:rsid w:val="00A91C9A"/>
    <w:rsid w:val="00A929EB"/>
    <w:rsid w:val="00AA0F87"/>
    <w:rsid w:val="00AB6EF9"/>
    <w:rsid w:val="00AB7A4D"/>
    <w:rsid w:val="00AC2EC8"/>
    <w:rsid w:val="00AD39A8"/>
    <w:rsid w:val="00AE1C0C"/>
    <w:rsid w:val="00AE4192"/>
    <w:rsid w:val="00AF3268"/>
    <w:rsid w:val="00AF6F29"/>
    <w:rsid w:val="00B058F4"/>
    <w:rsid w:val="00B12B13"/>
    <w:rsid w:val="00B17A41"/>
    <w:rsid w:val="00B20324"/>
    <w:rsid w:val="00B24C09"/>
    <w:rsid w:val="00B3281E"/>
    <w:rsid w:val="00B37193"/>
    <w:rsid w:val="00B4025F"/>
    <w:rsid w:val="00B44B12"/>
    <w:rsid w:val="00B54A46"/>
    <w:rsid w:val="00B61F40"/>
    <w:rsid w:val="00B6456F"/>
    <w:rsid w:val="00B67785"/>
    <w:rsid w:val="00B7622E"/>
    <w:rsid w:val="00B9719E"/>
    <w:rsid w:val="00BA1268"/>
    <w:rsid w:val="00BA53A7"/>
    <w:rsid w:val="00BA7C62"/>
    <w:rsid w:val="00BA7E0B"/>
    <w:rsid w:val="00BC0C97"/>
    <w:rsid w:val="00BC31DC"/>
    <w:rsid w:val="00BD1447"/>
    <w:rsid w:val="00BE3332"/>
    <w:rsid w:val="00BE5708"/>
    <w:rsid w:val="00BE643B"/>
    <w:rsid w:val="00BF1084"/>
    <w:rsid w:val="00BF1D2C"/>
    <w:rsid w:val="00C00404"/>
    <w:rsid w:val="00C021EF"/>
    <w:rsid w:val="00C053FD"/>
    <w:rsid w:val="00C05F2F"/>
    <w:rsid w:val="00C06124"/>
    <w:rsid w:val="00C11BCF"/>
    <w:rsid w:val="00C30690"/>
    <w:rsid w:val="00C3448A"/>
    <w:rsid w:val="00C36033"/>
    <w:rsid w:val="00C556B4"/>
    <w:rsid w:val="00C62C6F"/>
    <w:rsid w:val="00C64A0C"/>
    <w:rsid w:val="00C7298B"/>
    <w:rsid w:val="00C9040D"/>
    <w:rsid w:val="00C91A79"/>
    <w:rsid w:val="00CA0281"/>
    <w:rsid w:val="00CB0059"/>
    <w:rsid w:val="00CB3D45"/>
    <w:rsid w:val="00CB6AEF"/>
    <w:rsid w:val="00CC031F"/>
    <w:rsid w:val="00CC1589"/>
    <w:rsid w:val="00CC19EC"/>
    <w:rsid w:val="00CC74CC"/>
    <w:rsid w:val="00D019AA"/>
    <w:rsid w:val="00D03ADA"/>
    <w:rsid w:val="00D04735"/>
    <w:rsid w:val="00D11272"/>
    <w:rsid w:val="00D15E5D"/>
    <w:rsid w:val="00D21E2F"/>
    <w:rsid w:val="00D24345"/>
    <w:rsid w:val="00D27176"/>
    <w:rsid w:val="00D33339"/>
    <w:rsid w:val="00D33EDC"/>
    <w:rsid w:val="00D440D7"/>
    <w:rsid w:val="00D44DE3"/>
    <w:rsid w:val="00D45378"/>
    <w:rsid w:val="00D52E04"/>
    <w:rsid w:val="00D55987"/>
    <w:rsid w:val="00D65D65"/>
    <w:rsid w:val="00D67582"/>
    <w:rsid w:val="00D74F9F"/>
    <w:rsid w:val="00D83B97"/>
    <w:rsid w:val="00D842BB"/>
    <w:rsid w:val="00D84940"/>
    <w:rsid w:val="00D973D5"/>
    <w:rsid w:val="00DA6232"/>
    <w:rsid w:val="00DB6700"/>
    <w:rsid w:val="00DE04DF"/>
    <w:rsid w:val="00DE1188"/>
    <w:rsid w:val="00DE14C4"/>
    <w:rsid w:val="00DE7CC6"/>
    <w:rsid w:val="00E05D4A"/>
    <w:rsid w:val="00E1504C"/>
    <w:rsid w:val="00E16F59"/>
    <w:rsid w:val="00E22519"/>
    <w:rsid w:val="00E24DD8"/>
    <w:rsid w:val="00E2644C"/>
    <w:rsid w:val="00E433DE"/>
    <w:rsid w:val="00E56641"/>
    <w:rsid w:val="00E566C8"/>
    <w:rsid w:val="00E57079"/>
    <w:rsid w:val="00E630BF"/>
    <w:rsid w:val="00E661DF"/>
    <w:rsid w:val="00E6711F"/>
    <w:rsid w:val="00E67FE6"/>
    <w:rsid w:val="00E70B1A"/>
    <w:rsid w:val="00E75CB3"/>
    <w:rsid w:val="00E83052"/>
    <w:rsid w:val="00E83A8A"/>
    <w:rsid w:val="00E92DE6"/>
    <w:rsid w:val="00EB0F29"/>
    <w:rsid w:val="00EB634F"/>
    <w:rsid w:val="00EC67CE"/>
    <w:rsid w:val="00EF7C1B"/>
    <w:rsid w:val="00F04EE9"/>
    <w:rsid w:val="00F052CB"/>
    <w:rsid w:val="00F07893"/>
    <w:rsid w:val="00F13822"/>
    <w:rsid w:val="00F1605E"/>
    <w:rsid w:val="00F21E68"/>
    <w:rsid w:val="00F23F59"/>
    <w:rsid w:val="00F25992"/>
    <w:rsid w:val="00F3727B"/>
    <w:rsid w:val="00F427BC"/>
    <w:rsid w:val="00F469F2"/>
    <w:rsid w:val="00F5292F"/>
    <w:rsid w:val="00F56AAD"/>
    <w:rsid w:val="00F56B9B"/>
    <w:rsid w:val="00F57730"/>
    <w:rsid w:val="00F60317"/>
    <w:rsid w:val="00F61E42"/>
    <w:rsid w:val="00F6491A"/>
    <w:rsid w:val="00F650F0"/>
    <w:rsid w:val="00F67EFD"/>
    <w:rsid w:val="00F80364"/>
    <w:rsid w:val="00F83614"/>
    <w:rsid w:val="00F92D1E"/>
    <w:rsid w:val="00FA49FC"/>
    <w:rsid w:val="00FA6BFB"/>
    <w:rsid w:val="00FC39B6"/>
    <w:rsid w:val="00FD7215"/>
    <w:rsid w:val="00FE4BFD"/>
    <w:rsid w:val="00FF2CAF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724573-AE91-4339-A263-C8FA843F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7EFD"/>
    <w:pPr>
      <w:spacing w:after="240" w:line="240" w:lineRule="auto"/>
    </w:pPr>
    <w:rPr>
      <w:sz w:val="20"/>
    </w:rPr>
  </w:style>
  <w:style w:type="paragraph" w:styleId="Heading1">
    <w:name w:val="heading 1"/>
    <w:aliases w:val="Heading 1 - početak"/>
    <w:basedOn w:val="Normal"/>
    <w:next w:val="Normal"/>
    <w:link w:val="Heading1Char"/>
    <w:qFormat/>
    <w:rsid w:val="00D33339"/>
    <w:pPr>
      <w:keepNext/>
      <w:numPr>
        <w:numId w:val="2"/>
      </w:numPr>
      <w:ind w:left="431" w:hanging="142"/>
      <w:contextualSpacing/>
      <w:jc w:val="center"/>
      <w:outlineLvl w:val="0"/>
    </w:pPr>
    <w:rPr>
      <w:rFonts w:ascii="Calibri" w:eastAsia="Times New Roman" w:hAnsi="Calibri" w:cs="Times New Roman"/>
      <w:b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B7A4D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B7A4D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 w:val="32"/>
      <w:szCs w:val="20"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AB7A4D"/>
    <w:pPr>
      <w:keepNext/>
      <w:numPr>
        <w:ilvl w:val="3"/>
        <w:numId w:val="2"/>
      </w:numPr>
      <w:outlineLvl w:val="3"/>
    </w:pPr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paragraph" w:styleId="Heading5">
    <w:name w:val="heading 5"/>
    <w:basedOn w:val="Normal"/>
    <w:next w:val="Normal"/>
    <w:link w:val="Heading5Char"/>
    <w:qFormat/>
    <w:rsid w:val="00AB7A4D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AB7A4D"/>
    <w:pPr>
      <w:keepNext/>
      <w:numPr>
        <w:ilvl w:val="5"/>
        <w:numId w:val="2"/>
      </w:numPr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AB7A4D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ing8">
    <w:name w:val="heading 8"/>
    <w:basedOn w:val="Normal"/>
    <w:next w:val="Normal"/>
    <w:link w:val="Heading8Char"/>
    <w:qFormat/>
    <w:rsid w:val="00AB7A4D"/>
    <w:pPr>
      <w:keepNext/>
      <w:numPr>
        <w:ilvl w:val="7"/>
        <w:numId w:val="2"/>
      </w:numPr>
      <w:outlineLvl w:val="7"/>
    </w:pPr>
    <w:rPr>
      <w:rFonts w:ascii="Times New Roman" w:eastAsia="Times New Roman" w:hAnsi="Times New Roman" w:cs="Times New Roman"/>
      <w:i/>
      <w:color w:val="FF0000"/>
      <w:sz w:val="24"/>
      <w:szCs w:val="20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AB7A4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C3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1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D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08AD"/>
    <w:pPr>
      <w:numPr>
        <w:numId w:val="3"/>
      </w:numPr>
      <w:autoSpaceDE w:val="0"/>
      <w:autoSpaceDN w:val="0"/>
      <w:adjustRightInd w:val="0"/>
      <w:contextualSpacing/>
    </w:pPr>
    <w:rPr>
      <w:rFonts w:cs="Times New Roman"/>
      <w:color w:val="000000"/>
      <w:szCs w:val="20"/>
    </w:rPr>
  </w:style>
  <w:style w:type="paragraph" w:styleId="Header">
    <w:name w:val="header"/>
    <w:basedOn w:val="Normal"/>
    <w:link w:val="HeaderChar"/>
    <w:unhideWhenUsed/>
    <w:rsid w:val="007551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30"/>
  </w:style>
  <w:style w:type="paragraph" w:styleId="Footer">
    <w:name w:val="footer"/>
    <w:basedOn w:val="Normal"/>
    <w:link w:val="FooterChar"/>
    <w:unhideWhenUsed/>
    <w:rsid w:val="007551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2B"/>
    <w:rPr>
      <w:b/>
      <w:bCs/>
      <w:sz w:val="20"/>
      <w:szCs w:val="20"/>
    </w:rPr>
  </w:style>
  <w:style w:type="character" w:customStyle="1" w:styleId="Heading1Char">
    <w:name w:val="Heading 1 Char"/>
    <w:aliases w:val="Heading 1 - početak Char"/>
    <w:basedOn w:val="DefaultParagraphFont"/>
    <w:link w:val="Heading1"/>
    <w:rsid w:val="00D33339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B7A4D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AB7A4D"/>
    <w:rPr>
      <w:rFonts w:ascii="Times New Roman" w:eastAsia="Times New Roman" w:hAnsi="Times New Roman" w:cs="Times New Roman"/>
      <w:sz w:val="32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AB7A4D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AB7A4D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AB7A4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AB7A4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AB7A4D"/>
    <w:rPr>
      <w:rFonts w:ascii="Times New Roman" w:eastAsia="Times New Roman" w:hAnsi="Times New Roman" w:cs="Times New Roman"/>
      <w:i/>
      <w:color w:val="FF0000"/>
      <w:sz w:val="24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AB7A4D"/>
    <w:rPr>
      <w:rFonts w:ascii="Arial" w:eastAsia="Times New Roman" w:hAnsi="Arial" w:cs="Arial"/>
      <w:sz w:val="20"/>
      <w:lang w:val="en-US" w:eastAsia="hr-HR"/>
    </w:rPr>
  </w:style>
  <w:style w:type="paragraph" w:styleId="BodyText3">
    <w:name w:val="Body Text 3"/>
    <w:basedOn w:val="Normal"/>
    <w:link w:val="BodyText3Char"/>
    <w:rsid w:val="00D44DE3"/>
    <w:rPr>
      <w:rFonts w:ascii="Times New Roman" w:eastAsia="Times New Roman" w:hAnsi="Times New Roman" w:cs="Times New Roman"/>
      <w:color w:val="FF0000"/>
      <w:sz w:val="24"/>
      <w:szCs w:val="20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D44DE3"/>
    <w:rPr>
      <w:rFonts w:ascii="Times New Roman" w:eastAsia="Times New Roman" w:hAnsi="Times New Roman" w:cs="Times New Roman"/>
      <w:color w:val="FF0000"/>
      <w:sz w:val="24"/>
      <w:szCs w:val="20"/>
      <w:lang w:val="en-U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5B082C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82C"/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paragraph" w:customStyle="1" w:styleId="Footer1">
    <w:name w:val="Footer1"/>
    <w:basedOn w:val="Footer"/>
    <w:link w:val="Footer1Char"/>
    <w:qFormat/>
    <w:rsid w:val="00E433DE"/>
    <w:pPr>
      <w:pBdr>
        <w:bottom w:val="single" w:sz="8" w:space="1" w:color="C0504D" w:themeColor="accent2"/>
      </w:pBdr>
      <w:ind w:left="851"/>
    </w:pPr>
    <w:rPr>
      <w:rFonts w:ascii="Calibri" w:hAnsi="Calibri"/>
      <w:color w:val="66656A"/>
      <w:sz w:val="24"/>
    </w:rPr>
  </w:style>
  <w:style w:type="paragraph" w:customStyle="1" w:styleId="Istaknuto">
    <w:name w:val="Istaknuto"/>
    <w:basedOn w:val="Normal"/>
    <w:link w:val="IstaknutoChar"/>
    <w:qFormat/>
    <w:rsid w:val="004C3AE6"/>
    <w:pPr>
      <w:autoSpaceDE w:val="0"/>
      <w:autoSpaceDN w:val="0"/>
      <w:adjustRightInd w:val="0"/>
      <w:jc w:val="center"/>
    </w:pPr>
    <w:rPr>
      <w:rFonts w:ascii="Calibri" w:hAnsi="Calibri" w:cs="Times New Roman"/>
      <w:b/>
      <w:bCs/>
      <w:color w:val="000000"/>
      <w:sz w:val="22"/>
      <w:szCs w:val="24"/>
    </w:rPr>
  </w:style>
  <w:style w:type="character" w:customStyle="1" w:styleId="Footer1Char">
    <w:name w:val="Footer1 Char"/>
    <w:basedOn w:val="FooterChar"/>
    <w:link w:val="Footer1"/>
    <w:rsid w:val="00E433DE"/>
    <w:rPr>
      <w:rFonts w:ascii="Calibri" w:hAnsi="Calibri"/>
      <w:color w:val="66656A"/>
      <w:sz w:val="24"/>
    </w:rPr>
  </w:style>
  <w:style w:type="paragraph" w:customStyle="1" w:styleId="Bezrazmaka">
    <w:name w:val="Bez razmaka"/>
    <w:basedOn w:val="Normal"/>
    <w:link w:val="BezrazmakaChar"/>
    <w:qFormat/>
    <w:rsid w:val="004C3AE6"/>
  </w:style>
  <w:style w:type="character" w:customStyle="1" w:styleId="IstaknutoChar">
    <w:name w:val="Istaknuto Char"/>
    <w:basedOn w:val="DefaultParagraphFont"/>
    <w:link w:val="Istaknuto"/>
    <w:rsid w:val="004C3AE6"/>
    <w:rPr>
      <w:rFonts w:ascii="Calibri" w:hAnsi="Calibri" w:cs="Times New Roman"/>
      <w:b/>
      <w:bCs/>
      <w:color w:val="000000"/>
      <w:szCs w:val="24"/>
    </w:rPr>
  </w:style>
  <w:style w:type="paragraph" w:customStyle="1" w:styleId="Brojevi">
    <w:name w:val="Brojevi"/>
    <w:basedOn w:val="Normal"/>
    <w:link w:val="BrojeviChar"/>
    <w:qFormat/>
    <w:rsid w:val="00FA6BFB"/>
    <w:pPr>
      <w:numPr>
        <w:ilvl w:val="1"/>
        <w:numId w:val="4"/>
      </w:num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ezrazmakaChar">
    <w:name w:val="Bez razmaka Char"/>
    <w:basedOn w:val="DefaultParagraphFont"/>
    <w:link w:val="Bezrazmaka"/>
    <w:rsid w:val="004C3AE6"/>
    <w:rPr>
      <w:sz w:val="20"/>
    </w:rPr>
  </w:style>
  <w:style w:type="character" w:customStyle="1" w:styleId="BrojeviChar">
    <w:name w:val="Brojevi Char"/>
    <w:basedOn w:val="DefaultParagraphFont"/>
    <w:link w:val="Brojevi"/>
    <w:rsid w:val="00FA6BFB"/>
    <w:rPr>
      <w:rFonts w:cs="Times New Roman"/>
      <w:color w:val="000000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6C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6C9"/>
    <w:rPr>
      <w:vertAlign w:val="superscript"/>
    </w:rPr>
  </w:style>
  <w:style w:type="paragraph" w:customStyle="1" w:styleId="Podbrojevi">
    <w:name w:val="Podbrojevi"/>
    <w:basedOn w:val="ListParagraph"/>
    <w:link w:val="PodbrojeviChar"/>
    <w:qFormat/>
    <w:rsid w:val="004208AD"/>
    <w:pPr>
      <w:numPr>
        <w:numId w:val="1"/>
      </w:numPr>
    </w:pPr>
  </w:style>
  <w:style w:type="paragraph" w:customStyle="1" w:styleId="Heading1-ostalo">
    <w:name w:val="Heading1 - ostalo"/>
    <w:basedOn w:val="Heading1"/>
    <w:link w:val="Heading1-ostaloChar"/>
    <w:qFormat/>
    <w:rsid w:val="00F67EFD"/>
    <w:pPr>
      <w:spacing w:before="480"/>
      <w:ind w:left="432" w:hanging="14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208AD"/>
    <w:rPr>
      <w:rFonts w:cs="Times New Roman"/>
      <w:color w:val="000000"/>
      <w:sz w:val="20"/>
      <w:szCs w:val="20"/>
    </w:rPr>
  </w:style>
  <w:style w:type="character" w:customStyle="1" w:styleId="PodbrojeviChar">
    <w:name w:val="Podbrojevi Char"/>
    <w:basedOn w:val="ListParagraphChar"/>
    <w:link w:val="Podbrojevi"/>
    <w:rsid w:val="004208AD"/>
    <w:rPr>
      <w:rFonts w:cs="Times New Roman"/>
      <w:color w:val="000000"/>
      <w:sz w:val="20"/>
      <w:szCs w:val="20"/>
    </w:rPr>
  </w:style>
  <w:style w:type="character" w:customStyle="1" w:styleId="Heading1-ostaloChar">
    <w:name w:val="Heading1 - ostalo Char"/>
    <w:basedOn w:val="Heading1Char"/>
    <w:link w:val="Heading1-ostalo"/>
    <w:rsid w:val="00F67EFD"/>
    <w:rPr>
      <w:rFonts w:ascii="Calibri" w:eastAsia="Times New Roman" w:hAnsi="Calibri" w:cs="Times New Roman"/>
      <w:b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602AC3"/>
    <w:pPr>
      <w:spacing w:after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602AC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DocumentMap">
    <w:name w:val="Document Map"/>
    <w:basedOn w:val="Normal"/>
    <w:link w:val="DocumentMapChar"/>
    <w:semiHidden/>
    <w:rsid w:val="00602AC3"/>
    <w:pPr>
      <w:shd w:val="clear" w:color="auto" w:fill="000080"/>
      <w:spacing w:after="0"/>
      <w:jc w:val="left"/>
    </w:pPr>
    <w:rPr>
      <w:rFonts w:ascii="Tahoma" w:eastAsia="Times New Roman" w:hAnsi="Tahoma" w:cs="Tahoma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602AC3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PageNumber">
    <w:name w:val="page number"/>
    <w:basedOn w:val="DefaultParagraphFont"/>
    <w:rsid w:val="00602AC3"/>
  </w:style>
  <w:style w:type="character" w:styleId="Hyperlink">
    <w:name w:val="Hyperlink"/>
    <w:rsid w:val="00602AC3"/>
    <w:rPr>
      <w:color w:val="0000FF"/>
      <w:u w:val="single"/>
    </w:rPr>
  </w:style>
  <w:style w:type="paragraph" w:customStyle="1" w:styleId="pagenum">
    <w:name w:val="page num"/>
    <w:basedOn w:val="Footer"/>
    <w:link w:val="pagenumChar"/>
    <w:qFormat/>
    <w:rsid w:val="00856736"/>
    <w:pPr>
      <w:pBdr>
        <w:bottom w:val="single" w:sz="4" w:space="1" w:color="C0504D" w:themeColor="accent2"/>
      </w:pBdr>
      <w:jc w:val="right"/>
    </w:pPr>
    <w:rPr>
      <w:b/>
      <w:color w:val="A6A6A6" w:themeColor="background1" w:themeShade="A6"/>
    </w:rPr>
  </w:style>
  <w:style w:type="character" w:customStyle="1" w:styleId="pagenumChar">
    <w:name w:val="page num Char"/>
    <w:basedOn w:val="FooterChar"/>
    <w:link w:val="pagenum"/>
    <w:rsid w:val="00856736"/>
    <w:rPr>
      <w:b/>
      <w:color w:val="A6A6A6" w:themeColor="background1" w:themeShade="A6"/>
      <w:sz w:val="20"/>
    </w:rPr>
  </w:style>
  <w:style w:type="paragraph" w:styleId="NormalWeb">
    <w:name w:val="Normal (Web)"/>
    <w:basedOn w:val="Normal"/>
    <w:link w:val="NormalWebChar"/>
    <w:rsid w:val="00141340"/>
    <w:pPr>
      <w:spacing w:after="22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rsid w:val="0014134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2900-489F-48F3-884C-9DFD8209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Hladika Tomislav</dc:creator>
  <cp:lastModifiedBy>Kupanovac Gabrijela</cp:lastModifiedBy>
  <cp:revision>4</cp:revision>
  <cp:lastPrinted>2013-06-19T14:16:00Z</cp:lastPrinted>
  <dcterms:created xsi:type="dcterms:W3CDTF">2016-11-16T16:50:00Z</dcterms:created>
  <dcterms:modified xsi:type="dcterms:W3CDTF">2016-11-16T17:10:00Z</dcterms:modified>
</cp:coreProperties>
</file>