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3C" w:rsidRPr="0064228E" w:rsidRDefault="0001613C" w:rsidP="0001613C">
      <w:pPr>
        <w:spacing w:before="0" w:after="0"/>
        <w:jc w:val="center"/>
        <w:rPr>
          <w:b/>
          <w:lang w:val="hr-HR"/>
        </w:rPr>
      </w:pPr>
      <w:bookmarkStart w:id="0" w:name="_GoBack"/>
      <w:bookmarkEnd w:id="0"/>
      <w:r w:rsidRPr="0064228E">
        <w:rPr>
          <w:b/>
          <w:lang w:val="hr-HR"/>
        </w:rPr>
        <w:t>Opis projekta</w:t>
      </w:r>
    </w:p>
    <w:tbl>
      <w:tblPr>
        <w:tblW w:w="8954" w:type="dxa"/>
        <w:tblInd w:w="48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3"/>
        <w:gridCol w:w="2837"/>
        <w:gridCol w:w="2288"/>
        <w:gridCol w:w="3039"/>
        <w:gridCol w:w="357"/>
      </w:tblGrid>
      <w:tr w:rsidR="0001613C" w:rsidRPr="0064228E" w:rsidTr="008C3C99">
        <w:trPr>
          <w:trHeight w:val="266"/>
        </w:trPr>
        <w:tc>
          <w:tcPr>
            <w:tcW w:w="433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837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288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  <w:lang w:val="hr-HR"/>
              </w:rPr>
            </w:pPr>
          </w:p>
        </w:tc>
        <w:tc>
          <w:tcPr>
            <w:tcW w:w="3396" w:type="dxa"/>
            <w:gridSpan w:val="2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</w:tr>
      <w:tr w:rsidR="0001613C" w:rsidRPr="0064228E" w:rsidTr="008C3C99">
        <w:trPr>
          <w:gridAfter w:val="1"/>
          <w:wAfter w:w="357" w:type="dxa"/>
          <w:trHeight w:val="306"/>
        </w:trPr>
        <w:tc>
          <w:tcPr>
            <w:tcW w:w="433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 w:rsidRPr="0064228E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I.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Područje</w:t>
            </w:r>
            <w:r w:rsidRPr="0064228E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(</w:t>
            </w:r>
            <w:r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a</w:t>
            </w:r>
            <w:r w:rsidRPr="0064228E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 xml:space="preserve">) </w:t>
            </w:r>
            <w:r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djelovanja</w:t>
            </w:r>
          </w:p>
        </w:tc>
        <w:tc>
          <w:tcPr>
            <w:tcW w:w="53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1613C" w:rsidRPr="0064228E" w:rsidRDefault="0001613C" w:rsidP="008C3C99">
            <w:pPr>
              <w:spacing w:before="0"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Projekt će obuhvatiti sljedeća područja djelovanja</w:t>
            </w:r>
            <w:r w:rsidRPr="0064228E">
              <w:rPr>
                <w:sz w:val="20"/>
                <w:szCs w:val="20"/>
                <w:lang w:val="hr-HR"/>
              </w:rPr>
              <w:t>:</w:t>
            </w:r>
          </w:p>
          <w:p w:rsidR="0001613C" w:rsidRPr="0064228E" w:rsidRDefault="0001613C" w:rsidP="0001613C">
            <w:pPr>
              <w:numPr>
                <w:ilvl w:val="0"/>
                <w:numId w:val="2"/>
              </w:numPr>
              <w:spacing w:before="0" w:after="0"/>
              <w:rPr>
                <w:rFonts w:cs="Arial"/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Komponenta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 A: </w:t>
            </w:r>
            <w:r>
              <w:rPr>
                <w:rFonts w:cs="Arial"/>
                <w:sz w:val="20"/>
                <w:szCs w:val="20"/>
                <w:lang w:val="hr-HR"/>
              </w:rPr>
              <w:t>Potpora MMSP-ima za otvaranje i očuvanje održivih radnih mjesta</w:t>
            </w:r>
          </w:p>
          <w:p w:rsidR="0001613C" w:rsidRPr="0064228E" w:rsidRDefault="0001613C" w:rsidP="0001613C">
            <w:pPr>
              <w:numPr>
                <w:ilvl w:val="0"/>
                <w:numId w:val="2"/>
              </w:numPr>
              <w:spacing w:before="0" w:after="0"/>
              <w:rPr>
                <w:sz w:val="20"/>
                <w:szCs w:val="20"/>
                <w:lang w:val="hr-HR"/>
              </w:rPr>
            </w:pPr>
            <w:r>
              <w:rPr>
                <w:rFonts w:cs="Arial"/>
                <w:sz w:val="20"/>
                <w:szCs w:val="20"/>
                <w:lang w:val="hr-HR"/>
              </w:rPr>
              <w:t>Komponenta B: Unapređenje životnih uvjeta u urbanim i ruralnim područjima</w:t>
            </w:r>
            <w:r w:rsidRPr="0064228E">
              <w:rPr>
                <w:sz w:val="20"/>
                <w:szCs w:val="20"/>
                <w:lang w:val="hr-HR"/>
              </w:rPr>
              <w:t xml:space="preserve"> </w:t>
            </w:r>
          </w:p>
        </w:tc>
      </w:tr>
      <w:tr w:rsidR="0001613C" w:rsidRPr="0064228E" w:rsidTr="008C3C99">
        <w:trPr>
          <w:gridAfter w:val="1"/>
          <w:wAfter w:w="357" w:type="dxa"/>
          <w:trHeight w:val="306"/>
        </w:trPr>
        <w:tc>
          <w:tcPr>
            <w:tcW w:w="433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Krajnji korisnici</w:t>
            </w:r>
            <w:r w:rsidRPr="0064228E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/</w:t>
            </w:r>
          </w:p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Krajnji primatelji</w:t>
            </w:r>
          </w:p>
        </w:tc>
        <w:tc>
          <w:tcPr>
            <w:tcW w:w="53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1613C" w:rsidRPr="0064228E" w:rsidRDefault="0001613C" w:rsidP="0001613C">
            <w:pPr>
              <w:numPr>
                <w:ilvl w:val="0"/>
                <w:numId w:val="1"/>
              </w:numPr>
              <w:spacing w:before="0" w:after="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4228E">
              <w:rPr>
                <w:rFonts w:cs="Arial"/>
                <w:sz w:val="20"/>
                <w:szCs w:val="20"/>
                <w:lang w:val="hr-HR"/>
              </w:rPr>
              <w:t>Lo</w:t>
            </w:r>
            <w:r>
              <w:rPr>
                <w:rFonts w:cs="Arial"/>
                <w:sz w:val="20"/>
                <w:szCs w:val="20"/>
                <w:lang w:val="hr-HR"/>
              </w:rPr>
              <w:t>kalni i regionalni organi vlasti i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>/</w:t>
            </w:r>
            <w:r>
              <w:rPr>
                <w:rFonts w:cs="Arial"/>
                <w:sz w:val="20"/>
                <w:szCs w:val="20"/>
                <w:lang w:val="hr-HR"/>
              </w:rPr>
              <w:t>ili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cs="Arial"/>
                <w:sz w:val="20"/>
                <w:szCs w:val="20"/>
                <w:lang w:val="hr-HR"/>
              </w:rPr>
              <w:t>drugi srodni subjekti javnog sektora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numPr>
                <w:ilvl w:val="0"/>
                <w:numId w:val="1"/>
              </w:numPr>
              <w:spacing w:before="0" w:after="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4228E">
              <w:rPr>
                <w:rFonts w:cs="Arial"/>
                <w:sz w:val="20"/>
                <w:szCs w:val="20"/>
                <w:lang w:val="hr-HR"/>
              </w:rPr>
              <w:t>Mi</w:t>
            </w:r>
            <w:r>
              <w:rPr>
                <w:rFonts w:cs="Arial"/>
                <w:sz w:val="20"/>
                <w:szCs w:val="20"/>
                <w:lang w:val="hr-HR"/>
              </w:rPr>
              <w:t>k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ro, </w:t>
            </w:r>
            <w:r>
              <w:rPr>
                <w:rFonts w:cs="Arial"/>
                <w:sz w:val="20"/>
                <w:szCs w:val="20"/>
                <w:lang w:val="hr-HR"/>
              </w:rPr>
              <w:t xml:space="preserve">mala i srednja poduzeća 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>(M</w:t>
            </w:r>
            <w:r>
              <w:rPr>
                <w:rFonts w:cs="Arial"/>
                <w:sz w:val="20"/>
                <w:szCs w:val="20"/>
                <w:lang w:val="hr-HR"/>
              </w:rPr>
              <w:t>MSP-ovi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>).</w:t>
            </w:r>
          </w:p>
        </w:tc>
      </w:tr>
      <w:tr w:rsidR="0001613C" w:rsidRPr="0064228E" w:rsidTr="008C3C99">
        <w:trPr>
          <w:gridAfter w:val="1"/>
          <w:wAfter w:w="357" w:type="dxa"/>
          <w:trHeight w:val="266"/>
        </w:trPr>
        <w:tc>
          <w:tcPr>
            <w:tcW w:w="433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 w:rsidRPr="0064228E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Lo</w:t>
            </w:r>
            <w:r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kacija</w:t>
            </w:r>
          </w:p>
        </w:tc>
        <w:tc>
          <w:tcPr>
            <w:tcW w:w="53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sz w:val="20"/>
                <w:szCs w:val="20"/>
                <w:lang w:val="hr-HR"/>
              </w:rPr>
              <w:t>Diljem Hrvatske</w:t>
            </w:r>
          </w:p>
        </w:tc>
      </w:tr>
      <w:tr w:rsidR="0001613C" w:rsidRPr="0064228E" w:rsidTr="008C3C99">
        <w:trPr>
          <w:trHeight w:val="51"/>
        </w:trPr>
        <w:tc>
          <w:tcPr>
            <w:tcW w:w="433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837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288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  <w:lang w:val="hr-HR"/>
              </w:rPr>
            </w:pPr>
          </w:p>
        </w:tc>
        <w:tc>
          <w:tcPr>
            <w:tcW w:w="3396" w:type="dxa"/>
            <w:gridSpan w:val="2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</w:tr>
      <w:tr w:rsidR="0001613C" w:rsidRPr="0064228E" w:rsidTr="008C3C99">
        <w:trPr>
          <w:gridAfter w:val="1"/>
          <w:wAfter w:w="357" w:type="dxa"/>
          <w:trHeight w:val="532"/>
        </w:trPr>
        <w:tc>
          <w:tcPr>
            <w:tcW w:w="433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bookmarkStart w:id="1" w:name="_Hlk507491997"/>
            <w:r w:rsidRPr="0064228E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II.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Kriteriji prihvatljivosti</w:t>
            </w:r>
          </w:p>
        </w:tc>
        <w:tc>
          <w:tcPr>
            <w:tcW w:w="5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1613C" w:rsidRPr="0064228E" w:rsidRDefault="0001613C" w:rsidP="0001613C">
            <w:pPr>
              <w:numPr>
                <w:ilvl w:val="0"/>
                <w:numId w:val="2"/>
              </w:numPr>
              <w:spacing w:before="0" w:after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Komponenta</w:t>
            </w:r>
            <w:r w:rsidRPr="0064228E">
              <w:rPr>
                <w:b/>
                <w:sz w:val="20"/>
                <w:szCs w:val="20"/>
                <w:lang w:val="hr-HR"/>
              </w:rPr>
              <w:t xml:space="preserve"> A “</w:t>
            </w:r>
            <w:r>
              <w:rPr>
                <w:b/>
                <w:sz w:val="20"/>
                <w:szCs w:val="20"/>
                <w:lang w:val="hr-HR"/>
              </w:rPr>
              <w:t>Potpora</w:t>
            </w:r>
            <w:r w:rsidRPr="0064228E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MMSP-ima za otvaranje i očuvanje održivih radnih mjesta</w:t>
            </w:r>
            <w:r w:rsidRPr="0064228E">
              <w:rPr>
                <w:b/>
                <w:sz w:val="20"/>
                <w:szCs w:val="20"/>
                <w:lang w:val="hr-HR"/>
              </w:rPr>
              <w:t>”</w:t>
            </w:r>
          </w:p>
          <w:p w:rsidR="0001613C" w:rsidRPr="0064228E" w:rsidRDefault="0001613C" w:rsidP="008C3C99">
            <w:pPr>
              <w:spacing w:before="0" w:after="0"/>
              <w:rPr>
                <w:rFonts w:cs="Calibri"/>
                <w:sz w:val="20"/>
                <w:szCs w:val="20"/>
                <w:lang w:val="hr-HR"/>
              </w:rPr>
            </w:pPr>
            <w:r w:rsidRPr="0064228E">
              <w:rPr>
                <w:rFonts w:cstheme="majorHAnsi"/>
                <w:sz w:val="20"/>
                <w:szCs w:val="20"/>
                <w:lang w:val="hr-HR"/>
              </w:rPr>
              <w:t xml:space="preserve">CEB </w:t>
            </w:r>
            <w:r>
              <w:rPr>
                <w:rFonts w:cstheme="majorHAnsi"/>
                <w:sz w:val="20"/>
                <w:szCs w:val="20"/>
                <w:lang w:val="hr-HR"/>
              </w:rPr>
              <w:t>daje Programske kredite s primarnim ciljem</w:t>
            </w:r>
            <w:r w:rsidRPr="0064228E">
              <w:rPr>
                <w:rFonts w:cstheme="maj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val="hr-HR"/>
              </w:rPr>
              <w:t>poticanja otvaranja i očuvanja održivih  stalnih i/ili sezonskih radnih mjesta putem olakšavanja</w:t>
            </w:r>
            <w:r w:rsidRPr="0064228E">
              <w:rPr>
                <w:rFonts w:cstheme="maj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cstheme="majorHAnsi"/>
                <w:sz w:val="20"/>
                <w:szCs w:val="20"/>
                <w:lang w:val="hr-HR"/>
              </w:rPr>
              <w:t>pristupa kreditima</w:t>
            </w:r>
            <w:r w:rsidRPr="0064228E">
              <w:rPr>
                <w:rFonts w:cstheme="majorHAnsi"/>
                <w:sz w:val="20"/>
                <w:szCs w:val="20"/>
                <w:lang w:val="hr-HR"/>
              </w:rPr>
              <w:t xml:space="preserve">. </w:t>
            </w:r>
            <w:r>
              <w:rPr>
                <w:rFonts w:cstheme="majorHAnsi"/>
                <w:sz w:val="20"/>
                <w:szCs w:val="20"/>
                <w:lang w:val="hr-HR"/>
              </w:rPr>
              <w:t>Takvim se kreditima mogu financirati ulaganja u trajna proizvodna sredstva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hr-HR"/>
              </w:rPr>
              <w:t>ili potrebe za obrtnim sredstvima koje CEB smatra prihvatljivima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hr-HR"/>
              </w:rPr>
              <w:t>Usmjereni su na mikro, mala i srednja poduzeća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(M</w:t>
            </w:r>
            <w:r>
              <w:rPr>
                <w:rFonts w:cs="Calibri"/>
                <w:sz w:val="20"/>
                <w:szCs w:val="20"/>
                <w:lang w:val="hr-HR"/>
              </w:rPr>
              <w:t>MSP-ove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), </w:t>
            </w:r>
            <w:r>
              <w:rPr>
                <w:rFonts w:cs="Calibri"/>
                <w:sz w:val="20"/>
                <w:szCs w:val="20"/>
                <w:lang w:val="hr-HR"/>
              </w:rPr>
              <w:t>uključujući one koji provode zanatske/obrtničke djelatnosti ili mala obiteljska poduzeća koja su uključena u redovnu gospodarsku djelatnost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8C3C99">
            <w:pPr>
              <w:spacing w:before="0" w:after="0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U smislu njegovog društvenog mandata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, CEB</w:t>
            </w:r>
            <w:r>
              <w:rPr>
                <w:rFonts w:cs="Calibri"/>
                <w:sz w:val="20"/>
                <w:szCs w:val="20"/>
                <w:lang w:val="hr-HR"/>
              </w:rPr>
              <w:t>-ov prioritet za potporu predstavljaju mali MMSP-ovi te oni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čiji je pristup kreditima ograničen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hr-HR"/>
              </w:rPr>
              <w:t>nepovoljniji, ili ga čak uopće i nema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hr-HR"/>
              </w:rPr>
              <w:t>To posebice uključuje novoosnovana poduzeća i poduzeća u vlasništvu žena, manjina i ranjivih skupina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8C3C99">
            <w:pPr>
              <w:spacing w:before="0" w:after="0"/>
              <w:rPr>
                <w:rFonts w:cs="Arial"/>
                <w:sz w:val="20"/>
                <w:szCs w:val="20"/>
                <w:lang w:val="hr-HR"/>
              </w:rPr>
            </w:pP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CEB 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koristi istu definiciju MMSP-ova kao i 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Europ</w:t>
            </w:r>
            <w:r>
              <w:rPr>
                <w:rFonts w:cs="Calibri"/>
                <w:sz w:val="20"/>
                <w:szCs w:val="20"/>
                <w:lang w:val="hr-HR"/>
              </w:rPr>
              <w:t>ska unija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Preporuka Komisije </w:t>
            </w:r>
            <w:r w:rsidRPr="0064228E">
              <w:rPr>
                <w:rFonts w:cs="Arial"/>
                <w:bCs/>
                <w:sz w:val="20"/>
                <w:szCs w:val="20"/>
                <w:lang w:val="hr-HR"/>
              </w:rPr>
              <w:t>EU 2003/361/E</w:t>
            </w:r>
            <w:r>
              <w:rPr>
                <w:rFonts w:cs="Arial"/>
                <w:bCs/>
                <w:sz w:val="20"/>
                <w:szCs w:val="20"/>
                <w:lang w:val="hr-HR"/>
              </w:rPr>
              <w:t>Z</w:t>
            </w:r>
            <w:r w:rsidRPr="0064228E">
              <w:rPr>
                <w:rFonts w:cs="Arial"/>
                <w:bCs/>
                <w:sz w:val="20"/>
                <w:szCs w:val="20"/>
                <w:lang w:val="hr-HR"/>
              </w:rPr>
              <w:t>),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koja se može ažurirati od vremena do vremena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hr-HR"/>
              </w:rPr>
              <w:t>Izvadak iz Članka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 2 </w:t>
            </w:r>
            <w:r>
              <w:rPr>
                <w:rFonts w:cs="Arial"/>
                <w:sz w:val="20"/>
                <w:szCs w:val="20"/>
                <w:lang w:val="hr-HR"/>
              </w:rPr>
              <w:t>Dodatka Preporuke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 2003/361/E</w:t>
            </w:r>
            <w:r>
              <w:rPr>
                <w:rFonts w:cs="Arial"/>
                <w:sz w:val="20"/>
                <w:szCs w:val="20"/>
                <w:lang w:val="hr-HR"/>
              </w:rPr>
              <w:t>Z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>: “</w:t>
            </w:r>
            <w:r>
              <w:rPr>
                <w:rFonts w:cs="Arial"/>
                <w:sz w:val="20"/>
                <w:szCs w:val="20"/>
                <w:lang w:val="hr-HR"/>
              </w:rPr>
              <w:t>Kategorija mikro, malih i srednjih poduzeća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 (</w:t>
            </w:r>
            <w:r>
              <w:rPr>
                <w:rFonts w:cs="Arial"/>
                <w:sz w:val="20"/>
                <w:szCs w:val="20"/>
                <w:lang w:val="hr-HR"/>
              </w:rPr>
              <w:t>MSP-ovi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) </w:t>
            </w:r>
            <w:r>
              <w:rPr>
                <w:rFonts w:cs="Arial"/>
                <w:sz w:val="20"/>
                <w:szCs w:val="20"/>
                <w:lang w:val="hr-HR"/>
              </w:rPr>
              <w:t>sastoji se od poduzeća koja zapošljavaju manje od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 250 </w:t>
            </w:r>
            <w:r>
              <w:rPr>
                <w:rFonts w:cs="Arial"/>
                <w:sz w:val="20"/>
                <w:szCs w:val="20"/>
                <w:lang w:val="hr-HR"/>
              </w:rPr>
              <w:t>osoba i imaju godišnji promet koji ne premašuje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 50 </w:t>
            </w:r>
            <w:r>
              <w:rPr>
                <w:rFonts w:cs="Arial"/>
                <w:sz w:val="20"/>
                <w:szCs w:val="20"/>
                <w:lang w:val="hr-HR"/>
              </w:rPr>
              <w:t>milijuna eura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, </w:t>
            </w:r>
            <w:r>
              <w:rPr>
                <w:rFonts w:cs="Arial"/>
                <w:sz w:val="20"/>
                <w:szCs w:val="20"/>
                <w:lang w:val="hr-HR"/>
              </w:rPr>
              <w:t>i/ili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 </w:t>
            </w:r>
            <w:r>
              <w:rPr>
                <w:rFonts w:cs="Arial"/>
                <w:sz w:val="20"/>
                <w:szCs w:val="20"/>
                <w:lang w:val="hr-HR"/>
              </w:rPr>
              <w:t>ukupna godišnja bilanca ne premašuje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 xml:space="preserve"> 43 </w:t>
            </w:r>
            <w:r>
              <w:rPr>
                <w:rFonts w:cs="Arial"/>
                <w:sz w:val="20"/>
                <w:szCs w:val="20"/>
                <w:lang w:val="hr-HR"/>
              </w:rPr>
              <w:t>milijuna eura</w:t>
            </w:r>
            <w:r w:rsidRPr="0064228E">
              <w:rPr>
                <w:rFonts w:cs="Arial"/>
                <w:sz w:val="20"/>
                <w:szCs w:val="20"/>
                <w:lang w:val="hr-HR"/>
              </w:rPr>
              <w:t>.”</w:t>
            </w:r>
          </w:p>
          <w:p w:rsidR="0001613C" w:rsidRPr="0064228E" w:rsidRDefault="0001613C" w:rsidP="008C3C99">
            <w:pPr>
              <w:spacing w:before="0" w:after="0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Ulaganja koja se odnose na obnovljivu energiju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hr-HR"/>
              </w:rPr>
              <w:t>sektore obrazovanja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hr-HR"/>
              </w:rPr>
              <w:t>škole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/</w:t>
            </w:r>
            <w:r>
              <w:rPr>
                <w:rFonts w:cs="Calibri"/>
                <w:sz w:val="20"/>
                <w:szCs w:val="20"/>
                <w:lang w:val="hr-HR"/>
              </w:rPr>
              <w:t>sveučilišta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) </w:t>
            </w:r>
            <w:r>
              <w:rPr>
                <w:rFonts w:cs="Calibri"/>
                <w:sz w:val="20"/>
                <w:szCs w:val="20"/>
                <w:lang w:val="hr-HR"/>
              </w:rPr>
              <w:t>i zdravstva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hr-HR"/>
              </w:rPr>
              <w:t>bolnice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/</w:t>
            </w:r>
            <w:r>
              <w:rPr>
                <w:rFonts w:cs="Calibri"/>
                <w:sz w:val="20"/>
                <w:szCs w:val="20"/>
                <w:lang w:val="hr-HR"/>
              </w:rPr>
              <w:t>klinike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) </w:t>
            </w:r>
            <w:r>
              <w:rPr>
                <w:rFonts w:cs="Calibri"/>
                <w:sz w:val="20"/>
                <w:szCs w:val="20"/>
                <w:lang w:val="hr-HR"/>
              </w:rPr>
              <w:t>ne bi se trebala financirati u okviru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CEB</w:t>
            </w:r>
            <w:r>
              <w:rPr>
                <w:rFonts w:cs="Calibri"/>
                <w:sz w:val="20"/>
                <w:szCs w:val="20"/>
                <w:lang w:val="hr-HR"/>
              </w:rPr>
              <w:t>-ovog sektora djelovanja “Potpora MMSP-ovima”</w:t>
            </w:r>
            <w:r w:rsidR="00CC6EF0">
              <w:rPr>
                <w:rFonts w:cs="Calibri"/>
                <w:sz w:val="20"/>
                <w:szCs w:val="20"/>
                <w:lang w:val="hr-HR"/>
              </w:rPr>
              <w:t xml:space="preserve">. 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hr-HR"/>
              </w:rPr>
              <w:t>Potprojekti</w:t>
            </w:r>
            <w:proofErr w:type="spellEnd"/>
            <w:r>
              <w:rPr>
                <w:rFonts w:cs="Calibri"/>
                <w:sz w:val="20"/>
                <w:szCs w:val="20"/>
                <w:lang w:val="hr-HR"/>
              </w:rPr>
              <w:t xml:space="preserve"> manjeg opsega koji se odnose na zdravstvo i obrazovanje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hr-HR"/>
              </w:rPr>
              <w:t>npr.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p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rivat</w:t>
            </w:r>
            <w:r>
              <w:rPr>
                <w:rFonts w:cs="Calibri"/>
                <w:sz w:val="20"/>
                <w:szCs w:val="20"/>
                <w:lang w:val="hr-HR"/>
              </w:rPr>
              <w:t>ne zubarske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/</w:t>
            </w:r>
            <w:r>
              <w:rPr>
                <w:rFonts w:cs="Calibri"/>
                <w:sz w:val="20"/>
                <w:szCs w:val="20"/>
                <w:lang w:val="hr-HR"/>
              </w:rPr>
              <w:t>liječničke ordinacije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hr-HR"/>
              </w:rPr>
              <w:t>jaslice/vrtići ili ustanove za njegu starijih osoba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) </w:t>
            </w:r>
            <w:r>
              <w:rPr>
                <w:rFonts w:cs="Calibri"/>
                <w:sz w:val="20"/>
                <w:szCs w:val="20"/>
                <w:lang w:val="hr-HR"/>
              </w:rPr>
              <w:t>mogu se financirati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u okviru sektora djelovanja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“M</w:t>
            </w:r>
            <w:r>
              <w:rPr>
                <w:rFonts w:cs="Calibri"/>
                <w:sz w:val="20"/>
                <w:szCs w:val="20"/>
                <w:lang w:val="hr-HR"/>
              </w:rPr>
              <w:t>MSP-ovi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” </w:t>
            </w:r>
            <w:r>
              <w:rPr>
                <w:rFonts w:cs="Calibri"/>
                <w:sz w:val="20"/>
                <w:szCs w:val="20"/>
                <w:lang w:val="hr-HR"/>
              </w:rPr>
              <w:t>pod uvjetom da su krajnji korisnici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u skladu s naprijed navedenom definicijom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M</w:t>
            </w:r>
            <w:r>
              <w:rPr>
                <w:rFonts w:cs="Calibri"/>
                <w:sz w:val="20"/>
                <w:szCs w:val="20"/>
                <w:lang w:val="hr-HR"/>
              </w:rPr>
              <w:t>MSP-ova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8C3C99">
            <w:pPr>
              <w:spacing w:before="0" w:after="0"/>
              <w:rPr>
                <w:rFonts w:cs="Calibri"/>
                <w:sz w:val="20"/>
                <w:szCs w:val="20"/>
                <w:lang w:val="hr-HR"/>
              </w:rPr>
            </w:pPr>
          </w:p>
          <w:p w:rsidR="0001613C" w:rsidRPr="0064228E" w:rsidRDefault="0001613C" w:rsidP="0001613C">
            <w:pPr>
              <w:numPr>
                <w:ilvl w:val="0"/>
                <w:numId w:val="2"/>
              </w:numPr>
              <w:spacing w:before="0" w:after="0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Komponenta</w:t>
            </w:r>
            <w:r w:rsidRPr="0064228E">
              <w:rPr>
                <w:b/>
                <w:sz w:val="20"/>
                <w:szCs w:val="20"/>
                <w:lang w:val="hr-HR"/>
              </w:rPr>
              <w:t xml:space="preserve"> B “</w:t>
            </w:r>
            <w:r>
              <w:rPr>
                <w:b/>
                <w:sz w:val="20"/>
                <w:szCs w:val="20"/>
                <w:lang w:val="hr-HR"/>
              </w:rPr>
              <w:t>Unapređenje životnih uvjeta u urbanim i ruralnim područjima</w:t>
            </w:r>
            <w:r w:rsidRPr="0064228E">
              <w:rPr>
                <w:b/>
                <w:sz w:val="20"/>
                <w:szCs w:val="20"/>
                <w:lang w:val="hr-HR"/>
              </w:rPr>
              <w:t>”</w:t>
            </w:r>
          </w:p>
          <w:p w:rsidR="0001613C" w:rsidRPr="0064228E" w:rsidRDefault="0001613C" w:rsidP="008C3C99">
            <w:pPr>
              <w:spacing w:before="0" w:after="0"/>
              <w:rPr>
                <w:rFonts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hr-HR"/>
              </w:rPr>
              <w:t>Potprojekti</w:t>
            </w:r>
            <w:proofErr w:type="spellEnd"/>
            <w:r>
              <w:rPr>
                <w:rFonts w:cs="Calibri"/>
                <w:sz w:val="20"/>
                <w:szCs w:val="20"/>
                <w:lang w:val="hr-HR"/>
              </w:rPr>
              <w:t xml:space="preserve"> koji imaju za cilj unapređenje životnih uvjeta u urbanim područjima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moraju se odnositi na oronule četvrti ili urbana područja s nedostatnom urbanom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infrastru</w:t>
            </w:r>
            <w:r>
              <w:rPr>
                <w:rFonts w:cs="Calibri"/>
                <w:sz w:val="20"/>
                <w:szCs w:val="20"/>
                <w:lang w:val="hr-HR"/>
              </w:rPr>
              <w:t>kturom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i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/</w:t>
            </w:r>
            <w:r>
              <w:rPr>
                <w:rFonts w:cs="Calibri"/>
                <w:sz w:val="20"/>
                <w:szCs w:val="20"/>
                <w:lang w:val="hr-HR"/>
              </w:rPr>
              <w:t>ili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socijalnim i kulturnim sadržajima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8C3C99">
            <w:pPr>
              <w:spacing w:before="0" w:after="0"/>
              <w:rPr>
                <w:rFonts w:cs="Calibri"/>
                <w:sz w:val="20"/>
                <w:szCs w:val="20"/>
                <w:lang w:val="hr-HR"/>
              </w:rPr>
            </w:pPr>
          </w:p>
          <w:p w:rsidR="0001613C" w:rsidRPr="0064228E" w:rsidRDefault="0001613C" w:rsidP="008C3C99">
            <w:pPr>
              <w:spacing w:before="0" w:after="0"/>
              <w:rPr>
                <w:rFonts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hr-HR"/>
              </w:rPr>
              <w:t>Potprojekti</w:t>
            </w:r>
            <w:proofErr w:type="spellEnd"/>
            <w:r>
              <w:rPr>
                <w:rFonts w:cs="Calibri"/>
                <w:sz w:val="20"/>
                <w:szCs w:val="20"/>
                <w:lang w:val="hr-HR"/>
              </w:rPr>
              <w:t xml:space="preserve"> koji imaju za cilj unapređenje životnih uvjeta u ruralnim područjima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moraju se odnositi na regije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za koje je karakteristična mala naseljenost stanovništva ili djelatnosti na </w:t>
            </w:r>
            <w:r>
              <w:rPr>
                <w:rFonts w:cs="Calibri"/>
                <w:sz w:val="20"/>
                <w:szCs w:val="20"/>
                <w:lang w:val="hr-HR"/>
              </w:rPr>
              <w:lastRenderedPageBreak/>
              <w:t>području poljoprivrede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hr-HR"/>
              </w:rPr>
              <w:t>šumarstva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, a</w:t>
            </w:r>
            <w:r>
              <w:rPr>
                <w:rFonts w:cs="Calibri"/>
                <w:sz w:val="20"/>
                <w:szCs w:val="20"/>
                <w:lang w:val="hr-HR"/>
              </w:rPr>
              <w:t>kvakulture i ribarstva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hr-HR"/>
              </w:rPr>
              <w:t>a koje su definirane nacionalnim zakonodavstvom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. </w:t>
            </w:r>
          </w:p>
          <w:p w:rsidR="0001613C" w:rsidRPr="0064228E" w:rsidRDefault="0001613C" w:rsidP="008C3C99">
            <w:pPr>
              <w:spacing w:before="0" w:after="0"/>
              <w:rPr>
                <w:rFonts w:cs="Calibri"/>
                <w:sz w:val="20"/>
                <w:szCs w:val="20"/>
                <w:lang w:val="hr-HR"/>
              </w:rPr>
            </w:pPr>
          </w:p>
          <w:p w:rsidR="0001613C" w:rsidRPr="0064228E" w:rsidRDefault="0001613C" w:rsidP="008C3C99">
            <w:pPr>
              <w:spacing w:before="0" w:after="0"/>
              <w:rPr>
                <w:rFonts w:cs="Calibri"/>
                <w:sz w:val="20"/>
                <w:szCs w:val="20"/>
                <w:lang w:val="hr-HR"/>
              </w:rPr>
            </w:pPr>
            <w:r w:rsidRPr="0064228E">
              <w:rPr>
                <w:rFonts w:cs="Calibri"/>
                <w:sz w:val="20"/>
                <w:szCs w:val="20"/>
                <w:lang w:val="hr-HR"/>
              </w:rPr>
              <w:t>CEB financ</w:t>
            </w:r>
            <w:r>
              <w:rPr>
                <w:rFonts w:cs="Calibri"/>
                <w:sz w:val="20"/>
                <w:szCs w:val="20"/>
                <w:lang w:val="hr-HR"/>
              </w:rPr>
              <w:t xml:space="preserve">ira </w:t>
            </w:r>
            <w:proofErr w:type="spellStart"/>
            <w:r>
              <w:rPr>
                <w:rFonts w:cs="Calibri"/>
                <w:sz w:val="20"/>
                <w:szCs w:val="20"/>
                <w:lang w:val="hr-HR"/>
              </w:rPr>
              <w:t>Potprojekte</w:t>
            </w:r>
            <w:proofErr w:type="spellEnd"/>
            <w:r>
              <w:rPr>
                <w:rFonts w:cs="Calibri"/>
                <w:sz w:val="20"/>
                <w:szCs w:val="20"/>
                <w:lang w:val="hr-HR"/>
              </w:rPr>
              <w:t xml:space="preserve"> koji obuhvaćaju izgradnju ili obnovu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infrastru</w:t>
            </w:r>
            <w:r>
              <w:rPr>
                <w:rFonts w:cs="Calibri"/>
                <w:sz w:val="20"/>
                <w:szCs w:val="20"/>
                <w:lang w:val="hr-HR"/>
              </w:rPr>
              <w:t>k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ture </w:t>
            </w:r>
            <w:r>
              <w:rPr>
                <w:rFonts w:cs="Calibri"/>
                <w:sz w:val="20"/>
                <w:szCs w:val="20"/>
                <w:lang w:val="hr-HR"/>
              </w:rPr>
              <w:t>čiji je cilj urbana ili ruralna modernizacija. Prihvatljivima će se smatrati samo infrastrukturna ulaganja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koja su uključena u regionalni ili općinski proračun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hr-HR"/>
              </w:rPr>
              <w:t>kao što su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:</w:t>
            </w:r>
          </w:p>
          <w:p w:rsidR="0001613C" w:rsidRPr="0064228E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Komunalije kao što su</w:t>
            </w:r>
            <w:r w:rsidRPr="0064228E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vodovodi</w:t>
            </w:r>
            <w:r w:rsidRPr="0064228E">
              <w:rPr>
                <w:sz w:val="20"/>
                <w:szCs w:val="20"/>
                <w:lang w:val="hr-HR"/>
              </w:rPr>
              <w:t>, ele</w:t>
            </w:r>
            <w:r>
              <w:rPr>
                <w:sz w:val="20"/>
                <w:szCs w:val="20"/>
                <w:lang w:val="hr-HR"/>
              </w:rPr>
              <w:t>ktrični i plinski vodovi</w:t>
            </w:r>
            <w:r w:rsidRPr="0064228E">
              <w:rPr>
                <w:sz w:val="20"/>
                <w:szCs w:val="20"/>
                <w:lang w:val="hr-HR"/>
              </w:rPr>
              <w:t xml:space="preserve">, </w:t>
            </w:r>
            <w:r>
              <w:rPr>
                <w:sz w:val="20"/>
                <w:szCs w:val="20"/>
                <w:lang w:val="hr-HR"/>
              </w:rPr>
              <w:t>kanalizacija</w:t>
            </w:r>
            <w:r w:rsidRPr="0064228E">
              <w:rPr>
                <w:sz w:val="20"/>
                <w:szCs w:val="20"/>
                <w:lang w:val="hr-HR"/>
              </w:rPr>
              <w:t xml:space="preserve">, </w:t>
            </w:r>
            <w:r>
              <w:rPr>
                <w:sz w:val="20"/>
                <w:szCs w:val="20"/>
                <w:lang w:val="hr-HR"/>
              </w:rPr>
              <w:t>obrada krutog i tekućeg otpada</w:t>
            </w:r>
            <w:r w:rsidRPr="0064228E">
              <w:rPr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Infrastruktura i održavanje lokalne cestovne mreže</w:t>
            </w:r>
            <w:r w:rsidRPr="0064228E">
              <w:rPr>
                <w:sz w:val="20"/>
                <w:szCs w:val="20"/>
                <w:lang w:val="hr-HR"/>
              </w:rPr>
              <w:t>;</w:t>
            </w:r>
          </w:p>
          <w:p w:rsidR="0001613C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 w:rsidRPr="00906A6E">
              <w:rPr>
                <w:sz w:val="20"/>
                <w:szCs w:val="20"/>
                <w:lang w:val="hr-HR"/>
              </w:rPr>
              <w:t>Infrastruktura lokalnog javnog prijevoza, oprema i održavanje</w:t>
            </w:r>
            <w:r>
              <w:rPr>
                <w:sz w:val="20"/>
                <w:szCs w:val="20"/>
                <w:lang w:val="hr-HR"/>
              </w:rPr>
              <w:t>,</w:t>
            </w:r>
          </w:p>
          <w:p w:rsidR="0001613C" w:rsidRPr="00906A6E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Javna rasvjeta</w:t>
            </w:r>
            <w:r w:rsidRPr="00906A6E">
              <w:rPr>
                <w:sz w:val="20"/>
                <w:szCs w:val="20"/>
                <w:lang w:val="hr-HR"/>
              </w:rPr>
              <w:t xml:space="preserve">; </w:t>
            </w:r>
          </w:p>
          <w:p w:rsidR="0001613C" w:rsidRPr="0064228E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Centralni toplinski sustavi</w:t>
            </w:r>
            <w:r w:rsidRPr="0064228E">
              <w:rPr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Javne službe</w:t>
            </w:r>
            <w:r w:rsidRPr="0064228E">
              <w:rPr>
                <w:sz w:val="20"/>
                <w:szCs w:val="20"/>
                <w:lang w:val="hr-HR"/>
              </w:rPr>
              <w:t xml:space="preserve">, </w:t>
            </w:r>
            <w:r>
              <w:rPr>
                <w:sz w:val="20"/>
                <w:szCs w:val="20"/>
                <w:lang w:val="hr-HR"/>
              </w:rPr>
              <w:t>obrazovne i medicinske ustanove</w:t>
            </w:r>
            <w:r w:rsidRPr="0064228E">
              <w:rPr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Privremena skloništa i socijalno</w:t>
            </w:r>
            <w:r w:rsidRPr="0064228E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stanovanje</w:t>
            </w:r>
            <w:r w:rsidRPr="0064228E">
              <w:rPr>
                <w:sz w:val="20"/>
                <w:szCs w:val="20"/>
                <w:lang w:val="hr-HR"/>
              </w:rPr>
              <w:t xml:space="preserve">; </w:t>
            </w:r>
          </w:p>
          <w:p w:rsidR="0001613C" w:rsidRPr="0064228E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Društveno-kulturni</w:t>
            </w:r>
            <w:r w:rsidRPr="0064228E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i sportski centri kao što su igrališta</w:t>
            </w:r>
            <w:r w:rsidRPr="0064228E">
              <w:rPr>
                <w:sz w:val="20"/>
                <w:szCs w:val="20"/>
                <w:lang w:val="hr-HR"/>
              </w:rPr>
              <w:t xml:space="preserve">, </w:t>
            </w:r>
            <w:r>
              <w:rPr>
                <w:sz w:val="20"/>
                <w:szCs w:val="20"/>
                <w:lang w:val="hr-HR"/>
              </w:rPr>
              <w:t>zelene površine</w:t>
            </w:r>
            <w:r w:rsidRPr="0064228E">
              <w:rPr>
                <w:sz w:val="20"/>
                <w:szCs w:val="20"/>
                <w:lang w:val="hr-HR"/>
              </w:rPr>
              <w:t xml:space="preserve">, </w:t>
            </w:r>
            <w:r>
              <w:rPr>
                <w:sz w:val="20"/>
                <w:szCs w:val="20"/>
                <w:lang w:val="hr-HR"/>
              </w:rPr>
              <w:t>izložbeni prostori</w:t>
            </w:r>
            <w:r w:rsidRPr="0064228E">
              <w:rPr>
                <w:sz w:val="20"/>
                <w:szCs w:val="20"/>
                <w:lang w:val="hr-HR"/>
              </w:rPr>
              <w:t xml:space="preserve">, </w:t>
            </w:r>
            <w:r>
              <w:rPr>
                <w:sz w:val="20"/>
                <w:szCs w:val="20"/>
                <w:lang w:val="hr-HR"/>
              </w:rPr>
              <w:t>kazališta i knjižnice</w:t>
            </w:r>
            <w:r w:rsidRPr="0064228E">
              <w:rPr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Razvoj industrijskih područja</w:t>
            </w:r>
            <w:r w:rsidRPr="0064228E">
              <w:rPr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Mreže navodnjavanja</w:t>
            </w:r>
            <w:r w:rsidRPr="0064228E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u ruralnim područjima</w:t>
            </w:r>
            <w:r w:rsidRPr="0064228E">
              <w:rPr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Upravne zgrade i javno stanovanje</w:t>
            </w:r>
            <w:r w:rsidRPr="0064228E">
              <w:rPr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8C3C99">
            <w:pPr>
              <w:pStyle w:val="ListParagraph"/>
              <w:rPr>
                <w:lang w:val="hr-HR"/>
              </w:rPr>
            </w:pPr>
          </w:p>
          <w:p w:rsidR="0001613C" w:rsidRPr="0064228E" w:rsidRDefault="0001613C" w:rsidP="008C3C99">
            <w:pPr>
              <w:spacing w:before="0" w:after="0"/>
              <w:rPr>
                <w:rFonts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hr-HR"/>
              </w:rPr>
              <w:t>Potprojekte</w:t>
            </w:r>
            <w:proofErr w:type="spellEnd"/>
            <w:r>
              <w:rPr>
                <w:rFonts w:cs="Calibri"/>
                <w:sz w:val="20"/>
                <w:szCs w:val="20"/>
                <w:lang w:val="hr-HR"/>
              </w:rPr>
              <w:t xml:space="preserve"> mogu provoditi javni ili privatni subjekti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. </w:t>
            </w:r>
          </w:p>
          <w:p w:rsidR="0001613C" w:rsidRPr="0064228E" w:rsidRDefault="0001613C" w:rsidP="008C3C99">
            <w:pPr>
              <w:spacing w:before="0" w:after="0"/>
              <w:rPr>
                <w:rFonts w:cs="Calibri"/>
                <w:spacing w:val="-2"/>
                <w:sz w:val="20"/>
                <w:szCs w:val="20"/>
                <w:lang w:val="hr-HR"/>
              </w:rPr>
            </w:pPr>
            <w:proofErr w:type="spellStart"/>
            <w:r>
              <w:rPr>
                <w:rFonts w:cs="Calibri"/>
                <w:spacing w:val="-2"/>
                <w:sz w:val="20"/>
                <w:szCs w:val="20"/>
                <w:lang w:val="hr-HR"/>
              </w:rPr>
              <w:t>Potprojekti</w:t>
            </w:r>
            <w:proofErr w:type="spellEnd"/>
            <w:r>
              <w:rPr>
                <w:rFonts w:cs="Calibri"/>
                <w:spacing w:val="-2"/>
                <w:sz w:val="20"/>
                <w:szCs w:val="20"/>
                <w:lang w:val="hr-HR"/>
              </w:rPr>
              <w:t xml:space="preserve"> navodnjavanja koji obuhvaćaju izgradnju kanala za zadržavanje vode</w:t>
            </w:r>
            <w:r w:rsidRPr="0064228E">
              <w:rPr>
                <w:rFonts w:cs="Calibri"/>
                <w:spacing w:val="-2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spacing w:val="-2"/>
                <w:sz w:val="20"/>
                <w:szCs w:val="20"/>
                <w:lang w:val="hr-HR"/>
              </w:rPr>
              <w:t xml:space="preserve">brane i slična infrastruktura prihvatljivi su sve dok se poštuju kriteriji koji su detaljno opisani u </w:t>
            </w:r>
            <w:r w:rsidRPr="0064228E">
              <w:rPr>
                <w:rFonts w:cs="Calibri"/>
                <w:spacing w:val="-2"/>
                <w:sz w:val="20"/>
                <w:szCs w:val="20"/>
                <w:lang w:val="hr-HR"/>
              </w:rPr>
              <w:t>CEB</w:t>
            </w:r>
            <w:r>
              <w:rPr>
                <w:rFonts w:cs="Calibri"/>
                <w:spacing w:val="-2"/>
                <w:sz w:val="20"/>
                <w:szCs w:val="20"/>
                <w:lang w:val="hr-HR"/>
              </w:rPr>
              <w:t>-ovoj Okolišnoj i socijalnoj politici</w:t>
            </w:r>
            <w:r w:rsidRPr="0064228E">
              <w:rPr>
                <w:rFonts w:cs="Calibri"/>
                <w:spacing w:val="-2"/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8C3C99">
            <w:pPr>
              <w:spacing w:before="0" w:after="0"/>
              <w:rPr>
                <w:rFonts w:cs="Calibri"/>
                <w:spacing w:val="-2"/>
                <w:sz w:val="20"/>
                <w:szCs w:val="20"/>
                <w:lang w:val="hr-HR"/>
              </w:rPr>
            </w:pPr>
          </w:p>
          <w:p w:rsidR="0001613C" w:rsidRPr="0064228E" w:rsidRDefault="0001613C" w:rsidP="0001613C">
            <w:pPr>
              <w:numPr>
                <w:ilvl w:val="0"/>
                <w:numId w:val="2"/>
              </w:numPr>
              <w:spacing w:before="0" w:after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Lista isključenja</w:t>
            </w:r>
          </w:p>
          <w:p w:rsidR="0001613C" w:rsidRPr="0064228E" w:rsidRDefault="0001613C" w:rsidP="008C3C99">
            <w:pPr>
              <w:tabs>
                <w:tab w:val="left" w:pos="-720"/>
              </w:tabs>
              <w:suppressAutoHyphens/>
              <w:spacing w:before="0" w:after="0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Sljedeće aktivnosti koje su definirane </w:t>
            </w:r>
            <w:r w:rsidRPr="0064228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NACE nomen</w:t>
            </w:r>
            <w:r>
              <w:rPr>
                <w:rFonts w:ascii="Calibri" w:eastAsia="Calibri" w:hAnsi="Calibri" w:cs="Calibri"/>
                <w:sz w:val="20"/>
                <w:szCs w:val="20"/>
                <w:lang w:val="hr-HR"/>
              </w:rPr>
              <w:t>klaturom Europske unije</w:t>
            </w:r>
            <w:r w:rsidRPr="0064228E">
              <w:rPr>
                <w:rFonts w:ascii="Calibri" w:eastAsia="Calibri" w:hAnsi="Calibri"/>
                <w:sz w:val="20"/>
                <w:szCs w:val="20"/>
                <w:vertAlign w:val="superscript"/>
                <w:lang w:val="hr-HR"/>
              </w:rPr>
              <w:footnoteReference w:id="1"/>
            </w:r>
            <w:r w:rsidRPr="0064228E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hr-HR"/>
              </w:rPr>
              <w:t>bit će isključene iz</w:t>
            </w:r>
            <w:r w:rsidRPr="0064228E">
              <w:rPr>
                <w:rFonts w:ascii="Calibri" w:eastAsia="Calibri" w:hAnsi="Calibri" w:cs="Calibri"/>
                <w:sz w:val="20"/>
                <w:szCs w:val="20"/>
                <w:lang w:val="hr-HR"/>
              </w:rPr>
              <w:t xml:space="preserve"> CEB</w:t>
            </w:r>
            <w:r>
              <w:rPr>
                <w:rFonts w:ascii="Calibri" w:eastAsia="Calibri" w:hAnsi="Calibri" w:cs="Calibri"/>
                <w:sz w:val="20"/>
                <w:szCs w:val="20"/>
                <w:lang w:val="hr-HR"/>
              </w:rPr>
              <w:t>-ovog financiranja</w:t>
            </w:r>
            <w:r w:rsidRPr="0064228E">
              <w:rPr>
                <w:rFonts w:ascii="Calibri" w:eastAsia="Calibri" w:hAnsi="Calibri" w:cs="Calibri"/>
                <w:sz w:val="20"/>
                <w:szCs w:val="20"/>
                <w:lang w:val="hr-HR"/>
              </w:rPr>
              <w:t>: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  <w:lang w:val="hr-HR"/>
              </w:rPr>
              <w:t>Ekstraktivne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 industrije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B)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osim odjeljka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8 O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stalo rudarstvo i vađenje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(8.1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Vađenje kamena, pijeska i gline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08.91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Vađenje minerala za kemikalije i gnojiva i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08.92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Vađenje treseta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; 08.93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Vađenje soli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>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>D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estiliranje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pročišćavanje i miješanje alkoholnih pića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C11.01)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Proizvodnja duhanskih proizvoda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C12)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Proizvodnja koksa i rafiniranih naftnih proizvoda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C19)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Obrada nuklearnog goriva</w:t>
            </w:r>
            <w:r w:rsidRPr="0064228E">
              <w:rPr>
                <w:rFonts w:ascii="Calibri" w:hAnsi="Calibri" w:cs="Calibri"/>
                <w:sz w:val="20"/>
                <w:szCs w:val="20"/>
                <w:vertAlign w:val="superscript"/>
                <w:lang w:val="hr-HR"/>
              </w:rPr>
              <w:footnoteReference w:id="2"/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C24.46)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Proizvodnja oružja i streljiva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C25.4)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Proizvodnja vojnih borbenih vozila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C30.4)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>Financi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jske djelatnosti i djelatnosti osiguranja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K64-66)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Poslovanje nekretninama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L68)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Djelatnosti kockanja i klađenja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R92)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Djelatnosti članskih organizacija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S94)</w:t>
            </w:r>
          </w:p>
          <w:p w:rsidR="0001613C" w:rsidRPr="0064228E" w:rsidRDefault="0001613C" w:rsidP="000161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lastRenderedPageBreak/>
              <w:t xml:space="preserve">Djelatnosti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hr-HR"/>
              </w:rPr>
              <w:t>izvanteritorijalnih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hr-HR"/>
              </w:rPr>
              <w:t xml:space="preserve"> organizacija i tijela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(NACE U99)</w:t>
            </w:r>
          </w:p>
          <w:p w:rsidR="0001613C" w:rsidRPr="0064228E" w:rsidRDefault="0001613C" w:rsidP="008C3C99">
            <w:pPr>
              <w:spacing w:before="0" w:after="0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Investicijski projekti koji su povezani s pornografijom i proizvodima koji se prema propisima CEB-ovih država članica smatraju štetnima za zdravlje i okoliš</w:t>
            </w:r>
            <w:r w:rsidRPr="0064228E">
              <w:rPr>
                <w:rFonts w:ascii="Calibri" w:hAnsi="Calibri" w:cs="Calibri"/>
                <w:sz w:val="20"/>
                <w:szCs w:val="20"/>
                <w:vertAlign w:val="superscript"/>
                <w:lang w:val="hr-HR"/>
              </w:rPr>
              <w:footnoteReference w:id="3"/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hr-HR"/>
              </w:rPr>
              <w:t>također su isključeni</w:t>
            </w:r>
            <w:r w:rsidRPr="0064228E">
              <w:rPr>
                <w:rFonts w:ascii="Calibri" w:hAnsi="Calibri" w:cs="Calibri"/>
                <w:sz w:val="20"/>
                <w:szCs w:val="20"/>
                <w:lang w:val="hr-HR"/>
              </w:rPr>
              <w:t>.</w:t>
            </w:r>
          </w:p>
        </w:tc>
      </w:tr>
      <w:tr w:rsidR="0001613C" w:rsidRPr="0064228E" w:rsidTr="008C3C99">
        <w:trPr>
          <w:gridAfter w:val="1"/>
          <w:wAfter w:w="357" w:type="dxa"/>
          <w:trHeight w:val="188"/>
        </w:trPr>
        <w:tc>
          <w:tcPr>
            <w:tcW w:w="433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Prihvatljivi troškovi</w:t>
            </w:r>
          </w:p>
        </w:tc>
        <w:tc>
          <w:tcPr>
            <w:tcW w:w="53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01613C" w:rsidRPr="0064228E" w:rsidRDefault="0001613C" w:rsidP="008C3C99">
            <w:pPr>
              <w:spacing w:before="0" w:after="0"/>
              <w:jc w:val="left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t>Troškovi prihvatljivi za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CEB</w:t>
            </w:r>
            <w:r>
              <w:rPr>
                <w:rFonts w:cs="Calibri"/>
                <w:sz w:val="20"/>
                <w:szCs w:val="20"/>
                <w:lang w:val="hr-HR"/>
              </w:rPr>
              <w:t>-ovo financiranje uključuju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:</w:t>
            </w:r>
          </w:p>
          <w:p w:rsidR="0001613C" w:rsidRPr="0064228E" w:rsidRDefault="0001613C" w:rsidP="0001613C">
            <w:pPr>
              <w:pStyle w:val="Title"/>
              <w:numPr>
                <w:ilvl w:val="1"/>
                <w:numId w:val="4"/>
              </w:numPr>
              <w:pBdr>
                <w:bottom w:val="none" w:sz="0" w:space="0" w:color="auto"/>
              </w:pBdr>
              <w:spacing w:after="0"/>
              <w:ind w:left="351" w:hanging="374"/>
              <w:contextualSpacing w:val="0"/>
              <w:jc w:val="left"/>
              <w:outlineLvl w:val="0"/>
              <w:rPr>
                <w:rFonts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cs="Calibri"/>
                <w:b w:val="0"/>
                <w:bCs/>
                <w:spacing w:val="-2"/>
                <w:sz w:val="20"/>
                <w:szCs w:val="20"/>
                <w:lang w:val="hr-HR"/>
              </w:rPr>
              <w:t>Istraživanja ili studije</w:t>
            </w:r>
            <w:r w:rsidRPr="0064228E">
              <w:rPr>
                <w:rFonts w:cs="Calibri"/>
                <w:b w:val="0"/>
                <w:bCs/>
                <w:spacing w:val="-2"/>
                <w:sz w:val="20"/>
                <w:szCs w:val="20"/>
                <w:lang w:val="hr-HR"/>
              </w:rPr>
              <w:t xml:space="preserve"> (te</w:t>
            </w:r>
            <w:r>
              <w:rPr>
                <w:rFonts w:cs="Calibri"/>
                <w:b w:val="0"/>
                <w:bCs/>
                <w:spacing w:val="-2"/>
                <w:sz w:val="20"/>
                <w:szCs w:val="20"/>
                <w:lang w:val="hr-HR"/>
              </w:rPr>
              <w:t>hničke</w:t>
            </w:r>
            <w:r w:rsidRPr="0064228E">
              <w:rPr>
                <w:rFonts w:cs="Calibri"/>
                <w:b w:val="0"/>
                <w:bCs/>
                <w:spacing w:val="-2"/>
                <w:sz w:val="20"/>
                <w:szCs w:val="20"/>
                <w:lang w:val="hr-HR"/>
              </w:rPr>
              <w:t>, e</w:t>
            </w:r>
            <w:r>
              <w:rPr>
                <w:rFonts w:cs="Calibri"/>
                <w:b w:val="0"/>
                <w:bCs/>
                <w:spacing w:val="-2"/>
                <w:sz w:val="20"/>
                <w:szCs w:val="20"/>
                <w:lang w:val="hr-HR"/>
              </w:rPr>
              <w:t>konomske ili komercijalne</w:t>
            </w:r>
            <w:r w:rsidRPr="0064228E">
              <w:rPr>
                <w:rFonts w:cs="Calibri"/>
                <w:b w:val="0"/>
                <w:bCs/>
                <w:spacing w:val="-2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pacing w:val="-2"/>
                <w:sz w:val="20"/>
                <w:szCs w:val="20"/>
                <w:lang w:val="hr-HR"/>
              </w:rPr>
              <w:t>inženjerske</w:t>
            </w:r>
            <w:r w:rsidRPr="0064228E">
              <w:rPr>
                <w:rFonts w:cs="Calibri"/>
                <w:b w:val="0"/>
                <w:bCs/>
                <w:spacing w:val="-2"/>
                <w:sz w:val="20"/>
                <w:szCs w:val="20"/>
                <w:lang w:val="hr-HR"/>
              </w:rPr>
              <w:t>)</w:t>
            </w:r>
            <w:r>
              <w:rPr>
                <w:rFonts w:cs="Calibri"/>
                <w:b w:val="0"/>
                <w:bCs/>
                <w:spacing w:val="-2"/>
                <w:sz w:val="20"/>
                <w:szCs w:val="20"/>
                <w:lang w:val="hr-HR"/>
              </w:rPr>
              <w:t>, tehnički nadzor projekta i druge profesionalne usluge vezane za projekt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01613C">
            <w:pPr>
              <w:pStyle w:val="Title"/>
              <w:numPr>
                <w:ilvl w:val="1"/>
                <w:numId w:val="4"/>
              </w:numPr>
              <w:pBdr>
                <w:bottom w:val="none" w:sz="0" w:space="0" w:color="auto"/>
              </w:pBdr>
              <w:spacing w:after="0"/>
              <w:ind w:left="351" w:hanging="374"/>
              <w:contextualSpacing w:val="0"/>
              <w:jc w:val="left"/>
              <w:outlineLvl w:val="0"/>
              <w:rPr>
                <w:rFonts w:cs="Calibri"/>
                <w:b w:val="0"/>
                <w:sz w:val="20"/>
                <w:szCs w:val="20"/>
                <w:u w:val="single"/>
                <w:lang w:val="hr-HR"/>
              </w:rPr>
            </w:pP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T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i troškovi ne bi trebali premašivati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5%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ukupnog troška projekta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ako nije opravdano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Title"/>
              <w:numPr>
                <w:ilvl w:val="1"/>
                <w:numId w:val="4"/>
              </w:numPr>
              <w:pBdr>
                <w:bottom w:val="none" w:sz="0" w:space="0" w:color="auto"/>
              </w:pBdr>
              <w:spacing w:after="0"/>
              <w:ind w:left="351" w:hanging="374"/>
              <w:contextualSpacing w:val="0"/>
              <w:jc w:val="left"/>
              <w:outlineLvl w:val="0"/>
              <w:rPr>
                <w:rFonts w:cs="Calibri"/>
                <w:b w:val="0"/>
                <w:sz w:val="20"/>
                <w:szCs w:val="20"/>
                <w:u w:val="single"/>
                <w:lang w:val="hr-HR"/>
              </w:rPr>
            </w:pP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Stjecanje zemljišta koje je direktno povezano s projektom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po njegovoj kupovnoj cijeni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ako nije donirano ili darovano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; </w:t>
            </w:r>
          </w:p>
          <w:p w:rsidR="0001613C" w:rsidRPr="0064228E" w:rsidRDefault="0001613C" w:rsidP="0001613C">
            <w:pPr>
              <w:pStyle w:val="Title"/>
              <w:numPr>
                <w:ilvl w:val="1"/>
                <w:numId w:val="4"/>
              </w:numPr>
              <w:pBdr>
                <w:bottom w:val="none" w:sz="0" w:space="0" w:color="auto"/>
              </w:pBdr>
              <w:spacing w:after="0"/>
              <w:ind w:left="351" w:hanging="374"/>
              <w:contextualSpacing w:val="0"/>
              <w:jc w:val="left"/>
              <w:outlineLvl w:val="0"/>
              <w:rPr>
                <w:rFonts w:cs="Calibri"/>
                <w:b w:val="0"/>
                <w:sz w:val="20"/>
                <w:szCs w:val="20"/>
                <w:u w:val="single"/>
                <w:lang w:val="hr-HR"/>
              </w:rPr>
            </w:pP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Pr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iprema zemljišta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Title"/>
              <w:numPr>
                <w:ilvl w:val="1"/>
                <w:numId w:val="4"/>
              </w:numPr>
              <w:pBdr>
                <w:bottom w:val="none" w:sz="0" w:space="0" w:color="auto"/>
              </w:pBdr>
              <w:spacing w:after="0"/>
              <w:ind w:left="351" w:hanging="374"/>
              <w:contextualSpacing w:val="0"/>
              <w:jc w:val="left"/>
              <w:outlineLvl w:val="0"/>
              <w:rPr>
                <w:rFonts w:cs="Calibri"/>
                <w:b w:val="0"/>
                <w:sz w:val="20"/>
                <w:szCs w:val="20"/>
                <w:u w:val="single"/>
                <w:lang w:val="hr-HR"/>
              </w:rPr>
            </w:pP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Izgradnja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/renova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cija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/moderni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zacija ili kupnja zgrada koje su direktno povezane s projektom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Title"/>
              <w:numPr>
                <w:ilvl w:val="1"/>
                <w:numId w:val="4"/>
              </w:numPr>
              <w:pBdr>
                <w:bottom w:val="none" w:sz="0" w:space="0" w:color="auto"/>
              </w:pBdr>
              <w:spacing w:after="0"/>
              <w:ind w:left="351" w:hanging="374"/>
              <w:contextualSpacing w:val="0"/>
              <w:jc w:val="left"/>
              <w:outlineLvl w:val="0"/>
              <w:rPr>
                <w:rFonts w:cs="Calibri"/>
                <w:b w:val="0"/>
                <w:sz w:val="20"/>
                <w:szCs w:val="20"/>
                <w:u w:val="single"/>
                <w:lang w:val="hr-HR"/>
              </w:rPr>
            </w:pP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Instalacija osnovne infrastrukture kao što je kanalizacija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vodoopskrba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isporuka plina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, ele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ktrične i telekomunikacijske mreže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uklanjanje otpada i obrada otpadnih voda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ceste itd.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Title"/>
              <w:numPr>
                <w:ilvl w:val="1"/>
                <w:numId w:val="4"/>
              </w:numPr>
              <w:pBdr>
                <w:bottom w:val="none" w:sz="0" w:space="0" w:color="auto"/>
              </w:pBdr>
              <w:spacing w:after="0"/>
              <w:ind w:left="351" w:hanging="374"/>
              <w:contextualSpacing w:val="0"/>
              <w:jc w:val="left"/>
              <w:outlineLvl w:val="0"/>
              <w:rPr>
                <w:rFonts w:cs="Calibri"/>
                <w:b w:val="0"/>
                <w:sz w:val="20"/>
                <w:szCs w:val="20"/>
                <w:u w:val="single"/>
                <w:lang w:val="hr-HR"/>
              </w:rPr>
            </w:pP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Održavanje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opstojnosti i održivosti javnih službi</w:t>
            </w:r>
            <w:r w:rsidRPr="0064228E">
              <w:rPr>
                <w:rFonts w:cs="Calibri"/>
                <w:b w:val="0"/>
                <w:sz w:val="20"/>
                <w:szCs w:val="20"/>
                <w:lang w:val="hr-HR"/>
              </w:rPr>
              <w:t>;</w:t>
            </w:r>
          </w:p>
          <w:p w:rsidR="0001613C" w:rsidRPr="0064228E" w:rsidRDefault="0001613C" w:rsidP="0001613C">
            <w:pPr>
              <w:pStyle w:val="Title"/>
              <w:numPr>
                <w:ilvl w:val="1"/>
                <w:numId w:val="4"/>
              </w:numPr>
              <w:pBdr>
                <w:bottom w:val="none" w:sz="0" w:space="0" w:color="auto"/>
              </w:pBdr>
              <w:spacing w:after="0"/>
              <w:ind w:left="351" w:hanging="374"/>
              <w:contextualSpacing w:val="0"/>
              <w:jc w:val="left"/>
              <w:outlineLvl w:val="0"/>
              <w:rPr>
                <w:rFonts w:cs="Calibri"/>
                <w:b w:val="0"/>
                <w:sz w:val="20"/>
                <w:szCs w:val="20"/>
                <w:u w:val="single"/>
                <w:lang w:val="hr-HR"/>
              </w:rPr>
            </w:pP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Kupnja materijala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opreme i strojeva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uključujući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IT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opremu i softver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kao i povezane troškove koji se odnose na obuku zaposlenika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8C3C99">
            <w:pPr>
              <w:pStyle w:val="Title"/>
              <w:pBdr>
                <w:bottom w:val="none" w:sz="0" w:space="0" w:color="auto"/>
              </w:pBdr>
              <w:spacing w:after="0"/>
              <w:contextualSpacing w:val="0"/>
              <w:jc w:val="left"/>
              <w:outlineLvl w:val="0"/>
              <w:rPr>
                <w:rFonts w:cs="Calibri"/>
                <w:b w:val="0"/>
                <w:sz w:val="20"/>
                <w:szCs w:val="20"/>
                <w:u w:val="single"/>
                <w:lang w:val="hr-HR"/>
              </w:rPr>
            </w:pP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Izdatke za nepredviđene troškove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(te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hničke i/ili povećanja troškova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)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CEB može financirati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.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Isti predstavljaju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financi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jsko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pokriće u odnosu na moguće izmjene u količini potrebnih radova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ili jediničnim cijenama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u vrsti i količini opreme koju je potrebno kupiti ili u načinu izvršavanja projekta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.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Ovisno o sektoru djelatnosti i različitim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komponentama projekta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ovi nepredviđeni troškovi mogu predstavljati do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10%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ukupnih troškova projekta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. </w:t>
            </w:r>
          </w:p>
          <w:p w:rsidR="0001613C" w:rsidRPr="0064228E" w:rsidRDefault="0001613C" w:rsidP="008C3C99">
            <w:pPr>
              <w:pStyle w:val="Title"/>
              <w:pBdr>
                <w:bottom w:val="none" w:sz="0" w:space="0" w:color="auto"/>
              </w:pBdr>
              <w:spacing w:after="0"/>
              <w:contextualSpacing w:val="0"/>
              <w:jc w:val="left"/>
              <w:outlineLvl w:val="0"/>
              <w:rPr>
                <w:rFonts w:cs="Calibri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Troškovi koji se odnose na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stručno usavršavanje/osposobljavanje i kampanje za podizanje svijesti javnosti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mogu biti prihvatljivi za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CEB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-ovo financiranje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b w:val="0"/>
                <w:bCs/>
                <w:sz w:val="20"/>
                <w:szCs w:val="20"/>
                <w:lang w:val="hr-HR"/>
              </w:rPr>
              <w:t>uzimajući u obzir njihove ciljeve u okviru projekata</w:t>
            </w:r>
            <w:r w:rsidRPr="0064228E">
              <w:rPr>
                <w:rFonts w:cs="Calibri"/>
                <w:b w:val="0"/>
                <w:bCs/>
                <w:sz w:val="20"/>
                <w:szCs w:val="20"/>
                <w:lang w:val="hr-HR"/>
              </w:rPr>
              <w:t xml:space="preserve">. </w:t>
            </w:r>
          </w:p>
          <w:p w:rsidR="0001613C" w:rsidRPr="0064228E" w:rsidRDefault="0001613C" w:rsidP="008C3C99">
            <w:pPr>
              <w:spacing w:before="0" w:after="0"/>
              <w:jc w:val="left"/>
              <w:rPr>
                <w:rFonts w:cs="Calibri"/>
                <w:sz w:val="20"/>
                <w:szCs w:val="20"/>
                <w:lang w:val="hr-HR"/>
              </w:rPr>
            </w:pPr>
            <w:r w:rsidRPr="0064228E">
              <w:rPr>
                <w:rFonts w:cs="Calibri"/>
                <w:sz w:val="20"/>
                <w:szCs w:val="20"/>
                <w:lang w:val="hr-HR"/>
              </w:rPr>
              <w:t>CEB</w:t>
            </w:r>
            <w:r>
              <w:rPr>
                <w:rFonts w:cs="Calibri"/>
                <w:sz w:val="20"/>
                <w:szCs w:val="20"/>
                <w:lang w:val="hr-HR"/>
              </w:rPr>
              <w:t>-ovi krediti ne mogu pokrivati troškove osoblja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(</w:t>
            </w:r>
            <w:r>
              <w:rPr>
                <w:rFonts w:cs="Calibri"/>
                <w:sz w:val="20"/>
                <w:szCs w:val="20"/>
                <w:lang w:val="hr-HR"/>
              </w:rPr>
              <w:t>plaće/dohodci i druge povezane pogodnosti poput mirovinskih plaćanja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), financi</w:t>
            </w:r>
            <w:r>
              <w:rPr>
                <w:rFonts w:cs="Calibri"/>
                <w:sz w:val="20"/>
                <w:szCs w:val="20"/>
                <w:lang w:val="hr-HR"/>
              </w:rPr>
              <w:t>jske troškove i negotovinske elemente poput amortizacije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. </w:t>
            </w:r>
            <w:r>
              <w:rPr>
                <w:rFonts w:cs="Calibri"/>
                <w:sz w:val="20"/>
                <w:szCs w:val="20"/>
                <w:lang w:val="hr-HR"/>
              </w:rPr>
              <w:t>Međutim, takvi troškovi se mogu smatrati prihvatljivima kada se odnose na upravljanje projektom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hr-HR"/>
              </w:rPr>
              <w:t>ili tehničku pomoć koja je potrebna za pripremu i provedbu projekta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8C3C99">
            <w:pPr>
              <w:spacing w:before="0" w:after="0"/>
              <w:jc w:val="left"/>
              <w:rPr>
                <w:rFonts w:cs="Calibri"/>
                <w:sz w:val="20"/>
                <w:szCs w:val="20"/>
                <w:lang w:val="hr-HR"/>
              </w:rPr>
            </w:pPr>
            <w:r w:rsidRPr="0064228E">
              <w:rPr>
                <w:rFonts w:cs="Calibri"/>
                <w:sz w:val="20"/>
                <w:szCs w:val="20"/>
                <w:lang w:val="hr-HR"/>
              </w:rPr>
              <w:t>Financi</w:t>
            </w:r>
            <w:r>
              <w:rPr>
                <w:rFonts w:cs="Calibri"/>
                <w:sz w:val="20"/>
                <w:szCs w:val="20"/>
                <w:lang w:val="hr-HR"/>
              </w:rPr>
              <w:t>jski troškovi ili ulaganja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 (p</w:t>
            </w:r>
            <w:r>
              <w:rPr>
                <w:rFonts w:cs="Calibri"/>
                <w:sz w:val="20"/>
                <w:szCs w:val="20"/>
                <w:lang w:val="hr-HR"/>
              </w:rPr>
              <w:t>laćanje dugova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, refinanci</w:t>
            </w:r>
            <w:r>
              <w:rPr>
                <w:rFonts w:cs="Calibri"/>
                <w:sz w:val="20"/>
                <w:szCs w:val="20"/>
                <w:lang w:val="hr-HR"/>
              </w:rPr>
              <w:t>ranje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hr-HR"/>
              </w:rPr>
              <w:t>troškovi kamata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, </w:t>
            </w:r>
            <w:r>
              <w:rPr>
                <w:rFonts w:cs="Calibri"/>
                <w:sz w:val="20"/>
                <w:szCs w:val="20"/>
                <w:lang w:val="hr-HR"/>
              </w:rPr>
              <w:t>stjecanje udjela u kapitalu nekog poduzeća itd.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 xml:space="preserve">) </w:t>
            </w:r>
            <w:r>
              <w:rPr>
                <w:rFonts w:cs="Calibri"/>
                <w:sz w:val="20"/>
                <w:szCs w:val="20"/>
                <w:lang w:val="hr-HR"/>
              </w:rPr>
              <w:t>ne može biti uključeno u procijenjeni trošak projekta i CEB ga ne može financirati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8C3C99">
            <w:pPr>
              <w:spacing w:before="0" w:after="0"/>
              <w:jc w:val="left"/>
              <w:rPr>
                <w:rFonts w:cs="Calibri"/>
                <w:sz w:val="20"/>
                <w:szCs w:val="20"/>
                <w:lang w:val="hr-HR"/>
              </w:rPr>
            </w:pPr>
            <w:r>
              <w:rPr>
                <w:rFonts w:cs="Calibri"/>
                <w:sz w:val="20"/>
                <w:szCs w:val="20"/>
                <w:lang w:val="hr-HR"/>
              </w:rPr>
              <w:lastRenderedPageBreak/>
              <w:t>PDV koji se ne može odbijati i refundirati i drugi troškovi vezani za porez koji se ne mogu odbijati i refundirati smatraju se prihvatljivim troškovima</w:t>
            </w:r>
            <w:r w:rsidRPr="0064228E">
              <w:rPr>
                <w:rFonts w:cs="Calibri"/>
                <w:sz w:val="20"/>
                <w:szCs w:val="20"/>
                <w:lang w:val="hr-HR"/>
              </w:rPr>
              <w:t>.</w:t>
            </w:r>
          </w:p>
          <w:p w:rsidR="0001613C" w:rsidRPr="0064228E" w:rsidRDefault="0001613C" w:rsidP="008C3C99">
            <w:pPr>
              <w:spacing w:before="0" w:after="0"/>
              <w:jc w:val="left"/>
              <w:rPr>
                <w:sz w:val="20"/>
                <w:szCs w:val="20"/>
                <w:lang w:val="hr-HR"/>
              </w:rPr>
            </w:pPr>
            <w:r w:rsidRPr="0064228E">
              <w:rPr>
                <w:sz w:val="20"/>
                <w:szCs w:val="20"/>
                <w:lang w:val="hr-HR"/>
              </w:rPr>
              <w:t>U</w:t>
            </w:r>
            <w:r>
              <w:rPr>
                <w:sz w:val="20"/>
                <w:szCs w:val="20"/>
                <w:lang w:val="hr-HR"/>
              </w:rPr>
              <w:t xml:space="preserve"> okviru komponente</w:t>
            </w:r>
            <w:r w:rsidRPr="0064228E">
              <w:rPr>
                <w:sz w:val="20"/>
                <w:szCs w:val="20"/>
                <w:lang w:val="hr-HR"/>
              </w:rPr>
              <w:t xml:space="preserve"> A, </w:t>
            </w:r>
            <w:r>
              <w:rPr>
                <w:sz w:val="20"/>
                <w:szCs w:val="20"/>
                <w:lang w:val="hr-HR"/>
              </w:rPr>
              <w:t>obrtna sredstva su ograničena na</w:t>
            </w:r>
            <w:r w:rsidRPr="0064228E">
              <w:rPr>
                <w:sz w:val="20"/>
                <w:szCs w:val="20"/>
                <w:lang w:val="hr-HR"/>
              </w:rPr>
              <w:t xml:space="preserve"> 15% CEB</w:t>
            </w:r>
            <w:r>
              <w:rPr>
                <w:sz w:val="20"/>
                <w:szCs w:val="20"/>
                <w:lang w:val="hr-HR"/>
              </w:rPr>
              <w:t xml:space="preserve">-ovog Kredita krajnjem korisniku kao maksimalni udjel u svakom pojedinačnom </w:t>
            </w:r>
            <w:proofErr w:type="spellStart"/>
            <w:r>
              <w:rPr>
                <w:sz w:val="20"/>
                <w:szCs w:val="20"/>
                <w:lang w:val="hr-HR"/>
              </w:rPr>
              <w:t>Potprojektu</w:t>
            </w:r>
            <w:proofErr w:type="spellEnd"/>
            <w:r w:rsidRPr="0064228E">
              <w:rPr>
                <w:sz w:val="20"/>
                <w:szCs w:val="20"/>
                <w:lang w:val="hr-HR"/>
              </w:rPr>
              <w:t>.</w:t>
            </w:r>
          </w:p>
        </w:tc>
      </w:tr>
      <w:bookmarkEnd w:id="1"/>
      <w:tr w:rsidR="0001613C" w:rsidRPr="0064228E" w:rsidTr="008C3C99">
        <w:trPr>
          <w:trHeight w:val="51"/>
        </w:trPr>
        <w:tc>
          <w:tcPr>
            <w:tcW w:w="433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837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2288" w:type="dxa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i/>
                <w:sz w:val="20"/>
                <w:szCs w:val="20"/>
                <w:lang w:val="hr-HR"/>
              </w:rPr>
            </w:pPr>
          </w:p>
        </w:tc>
        <w:tc>
          <w:tcPr>
            <w:tcW w:w="3396" w:type="dxa"/>
            <w:gridSpan w:val="2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hr-HR"/>
              </w:rPr>
            </w:pPr>
          </w:p>
        </w:tc>
      </w:tr>
      <w:tr w:rsidR="0001613C" w:rsidRPr="0064228E" w:rsidTr="008C3C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6" w:space="0" w:color="auto"/>
          </w:tblBorders>
        </w:tblPrEx>
        <w:trPr>
          <w:gridAfter w:val="1"/>
          <w:wAfter w:w="357" w:type="dxa"/>
          <w:trHeight w:val="285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 w:rsidRPr="0064228E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I</w:t>
            </w:r>
            <w:r w:rsidR="00F964C9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II</w:t>
            </w:r>
            <w:r w:rsidRPr="0064228E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.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</w:tcPr>
          <w:p w:rsidR="0001613C" w:rsidRPr="0064228E" w:rsidRDefault="0001613C" w:rsidP="008C3C99">
            <w:pPr>
              <w:spacing w:before="0" w:after="0"/>
              <w:rPr>
                <w:rFonts w:eastAsia="Times New Roman" w:cs="Times New Roman"/>
                <w:b/>
                <w:sz w:val="20"/>
                <w:szCs w:val="20"/>
                <w:lang w:val="hr-HR"/>
              </w:rPr>
            </w:pPr>
            <w:r w:rsidRPr="0064228E"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Soci</w:t>
            </w:r>
            <w:r>
              <w:rPr>
                <w:rFonts w:eastAsia="Times New Roman" w:cs="Times New Roman"/>
                <w:b/>
                <w:sz w:val="20"/>
                <w:szCs w:val="20"/>
                <w:lang w:val="hr-HR"/>
              </w:rPr>
              <w:t>jalni učinak</w:t>
            </w:r>
          </w:p>
        </w:tc>
        <w:tc>
          <w:tcPr>
            <w:tcW w:w="532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01613C" w:rsidRPr="0064228E" w:rsidRDefault="0001613C" w:rsidP="008C3C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0" w:after="0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64228E">
              <w:rPr>
                <w:sz w:val="20"/>
                <w:szCs w:val="20"/>
                <w:lang w:val="hr-HR"/>
              </w:rPr>
              <w:t>U</w:t>
            </w:r>
            <w:r>
              <w:rPr>
                <w:sz w:val="20"/>
                <w:szCs w:val="20"/>
                <w:lang w:val="hr-HR"/>
              </w:rPr>
              <w:t xml:space="preserve"> okviru Komponente</w:t>
            </w:r>
            <w:r w:rsidRPr="0064228E">
              <w:rPr>
                <w:sz w:val="20"/>
                <w:szCs w:val="20"/>
                <w:lang w:val="hr-HR"/>
              </w:rPr>
              <w:t xml:space="preserve"> A, </w:t>
            </w:r>
            <w:r>
              <w:rPr>
                <w:sz w:val="20"/>
                <w:szCs w:val="20"/>
                <w:lang w:val="hr-HR"/>
              </w:rPr>
              <w:t>cilj</w:t>
            </w:r>
            <w:r w:rsidRPr="0064228E">
              <w:rPr>
                <w:sz w:val="20"/>
                <w:szCs w:val="20"/>
                <w:lang w:val="hr-HR"/>
              </w:rPr>
              <w:t xml:space="preserve"> Proje</w:t>
            </w:r>
            <w:r>
              <w:rPr>
                <w:sz w:val="20"/>
                <w:szCs w:val="20"/>
                <w:lang w:val="hr-HR"/>
              </w:rPr>
              <w:t>kta je</w:t>
            </w:r>
            <w:r w:rsidRPr="0064228E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doprinos otvaranju novih stalnih i sezonskih radnih mjesta kroz jačanje konkurentne pozicije MSP-ova olakšavanjem njihovog pristupa srednjoročnom i dugoročnom financiranju</w:t>
            </w:r>
            <w:r w:rsidRPr="0064228E">
              <w:rPr>
                <w:sz w:val="20"/>
                <w:szCs w:val="20"/>
                <w:lang w:val="hr-HR"/>
              </w:rPr>
              <w:t>.</w:t>
            </w:r>
            <w:r w:rsidRPr="0064228E" w:rsidDel="0021671E">
              <w:rPr>
                <w:rFonts w:eastAsia="Times New Roman" w:cs="Times New Roman"/>
                <w:sz w:val="20"/>
                <w:szCs w:val="20"/>
                <w:lang w:val="hr-HR"/>
              </w:rPr>
              <w:t xml:space="preserve"> </w:t>
            </w:r>
          </w:p>
          <w:p w:rsidR="0001613C" w:rsidRPr="0064228E" w:rsidRDefault="0001613C" w:rsidP="008C3C99">
            <w:pPr>
              <w:tabs>
                <w:tab w:val="left" w:pos="354"/>
              </w:tabs>
              <w:spacing w:before="0" w:after="0"/>
              <w:rPr>
                <w:sz w:val="20"/>
                <w:szCs w:val="20"/>
                <w:lang w:val="hr-HR"/>
              </w:rPr>
            </w:pPr>
            <w:r w:rsidRPr="0064228E">
              <w:rPr>
                <w:sz w:val="20"/>
                <w:szCs w:val="20"/>
                <w:lang w:val="hr-HR"/>
              </w:rPr>
              <w:t>U</w:t>
            </w:r>
            <w:r>
              <w:rPr>
                <w:sz w:val="20"/>
                <w:szCs w:val="20"/>
                <w:lang w:val="hr-HR"/>
              </w:rPr>
              <w:t xml:space="preserve"> okviru Komponente</w:t>
            </w:r>
            <w:r w:rsidRPr="0064228E">
              <w:rPr>
                <w:sz w:val="20"/>
                <w:szCs w:val="20"/>
                <w:lang w:val="hr-HR"/>
              </w:rPr>
              <w:t xml:space="preserve"> B, </w:t>
            </w:r>
            <w:r>
              <w:rPr>
                <w:sz w:val="20"/>
                <w:szCs w:val="20"/>
                <w:lang w:val="hr-HR"/>
              </w:rPr>
              <w:t>cilj Projekta je potpora komunalnom sektoru u njegovom nastojanju da razvije i unaprijedi svoju socijalnu infrastrukturu kao potreban uvjet za održiv ekonomski razvoj</w:t>
            </w:r>
            <w:r w:rsidRPr="0064228E">
              <w:rPr>
                <w:sz w:val="20"/>
                <w:szCs w:val="20"/>
                <w:lang w:val="hr-HR"/>
              </w:rPr>
              <w:t>.</w:t>
            </w:r>
          </w:p>
        </w:tc>
      </w:tr>
    </w:tbl>
    <w:p w:rsidR="0001613C" w:rsidRPr="0064228E" w:rsidRDefault="0001613C" w:rsidP="0001613C">
      <w:pPr>
        <w:spacing w:before="0" w:after="0"/>
        <w:rPr>
          <w:sz w:val="20"/>
          <w:szCs w:val="20"/>
          <w:lang w:val="hr-HR"/>
        </w:rPr>
      </w:pPr>
    </w:p>
    <w:p w:rsidR="00D97A59" w:rsidRPr="00F964C9" w:rsidRDefault="00D97A59" w:rsidP="00F964C9">
      <w:pPr>
        <w:spacing w:before="0" w:after="0"/>
        <w:jc w:val="left"/>
        <w:rPr>
          <w:rFonts w:eastAsiaTheme="majorEastAsia" w:cstheme="majorBidi"/>
          <w:b/>
          <w:sz w:val="24"/>
          <w:szCs w:val="32"/>
          <w:lang w:val="hr-HR"/>
        </w:rPr>
      </w:pPr>
    </w:p>
    <w:sectPr w:rsidR="00D97A59" w:rsidRPr="00F96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C7" w:rsidRDefault="004274C7" w:rsidP="0001613C">
      <w:pPr>
        <w:spacing w:before="0" w:after="0"/>
      </w:pPr>
      <w:r>
        <w:separator/>
      </w:r>
    </w:p>
  </w:endnote>
  <w:endnote w:type="continuationSeparator" w:id="0">
    <w:p w:rsidR="004274C7" w:rsidRDefault="004274C7" w:rsidP="000161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C7" w:rsidRDefault="004274C7" w:rsidP="0001613C">
      <w:pPr>
        <w:spacing w:before="0" w:after="0"/>
      </w:pPr>
      <w:r>
        <w:separator/>
      </w:r>
    </w:p>
  </w:footnote>
  <w:footnote w:type="continuationSeparator" w:id="0">
    <w:p w:rsidR="004274C7" w:rsidRDefault="004274C7" w:rsidP="0001613C">
      <w:pPr>
        <w:spacing w:before="0" w:after="0"/>
      </w:pPr>
      <w:r>
        <w:continuationSeparator/>
      </w:r>
    </w:p>
  </w:footnote>
  <w:footnote w:id="1">
    <w:p w:rsidR="0001613C" w:rsidRPr="00830EB7" w:rsidRDefault="0001613C" w:rsidP="0001613C">
      <w:pPr>
        <w:pStyle w:val="FootnoteText"/>
        <w:tabs>
          <w:tab w:val="left" w:pos="142"/>
        </w:tabs>
        <w:ind w:left="142" w:hanging="142"/>
        <w:rPr>
          <w:rFonts w:cstheme="minorHAnsi"/>
          <w:noProof/>
          <w:sz w:val="16"/>
          <w:szCs w:val="16"/>
          <w:lang w:val="hr-HR"/>
        </w:rPr>
      </w:pPr>
      <w:r w:rsidRPr="00FE0613">
        <w:rPr>
          <w:rStyle w:val="FootnoteReference"/>
          <w:rFonts w:cstheme="minorHAnsi"/>
          <w:noProof/>
          <w:sz w:val="16"/>
          <w:szCs w:val="16"/>
        </w:rPr>
        <w:footnoteRef/>
      </w:r>
      <w:r w:rsidRPr="005417F7">
        <w:rPr>
          <w:rFonts w:cstheme="minorHAnsi"/>
          <w:noProof/>
          <w:sz w:val="16"/>
          <w:szCs w:val="16"/>
          <w:lang w:val="en-US"/>
        </w:rPr>
        <w:tab/>
      </w:r>
      <w:r w:rsidRPr="00830EB7">
        <w:rPr>
          <w:rFonts w:cstheme="minorHAnsi"/>
          <w:noProof/>
          <w:sz w:val="16"/>
          <w:szCs w:val="16"/>
          <w:lang w:val="hr-HR"/>
        </w:rPr>
        <w:t>Francuski akronim NACE odnosi se na “Statističku klasifikaciju ekonomskih djelatnosti u Europskoj zajednici”. Osmišljen je 1970., NACE daje okvir za prikupljanje i prezentiranje, prema ekonomskoj djelatnosti, širokog raspona statistike na ekonomskim područjima (na primjer: proizvodnja, zapošljavanje, nacionalni računi) ili drugo – Vidi Uredbu (EZ) br. 1893/2006 Europskog parlamenta i Vijeća od 20/12/2006 o utvrđivanju statističke klasifikacije ekonomskih djelatnosti NACE Revision 2 te izmjeni Uredbe Vijeća (EEZ) br. 3037/90 kao i određenih uredbi EZ-a o posebnim statističkim područjima.</w:t>
      </w:r>
    </w:p>
  </w:footnote>
  <w:footnote w:id="2">
    <w:p w:rsidR="0001613C" w:rsidRPr="00830EB7" w:rsidRDefault="0001613C" w:rsidP="0001613C">
      <w:pPr>
        <w:pStyle w:val="FootnoteText"/>
        <w:tabs>
          <w:tab w:val="left" w:pos="142"/>
        </w:tabs>
        <w:ind w:left="142" w:hanging="142"/>
        <w:rPr>
          <w:rFonts w:cstheme="minorHAnsi"/>
          <w:noProof/>
          <w:sz w:val="16"/>
          <w:szCs w:val="16"/>
          <w:lang w:val="hr-HR"/>
        </w:rPr>
      </w:pPr>
      <w:r w:rsidRPr="00830EB7">
        <w:rPr>
          <w:rStyle w:val="FootnoteReference"/>
          <w:rFonts w:cs="Calibri"/>
          <w:noProof/>
          <w:sz w:val="16"/>
          <w:szCs w:val="16"/>
          <w:lang w:val="hr-HR"/>
        </w:rPr>
        <w:footnoteRef/>
      </w:r>
      <w:r w:rsidRPr="00830EB7">
        <w:rPr>
          <w:rFonts w:cs="Calibri"/>
          <w:noProof/>
          <w:sz w:val="16"/>
          <w:szCs w:val="16"/>
          <w:lang w:val="hr-HR"/>
        </w:rPr>
        <w:tab/>
      </w:r>
      <w:r w:rsidRPr="00830EB7">
        <w:rPr>
          <w:rFonts w:cstheme="minorHAnsi"/>
          <w:noProof/>
          <w:sz w:val="16"/>
          <w:szCs w:val="16"/>
          <w:lang w:val="hr-HR"/>
        </w:rPr>
        <w:t>Ovo se ne primjenjuje na kupnju medicinske opreme, opremu za kontrolu (mjerenje) kvalitete i bilo koju opremu kada CEB smatra da je radiokativan izvor beznačajan i/ili adekvatno zaštićen.</w:t>
      </w:r>
    </w:p>
  </w:footnote>
  <w:footnote w:id="3">
    <w:p w:rsidR="0001613C" w:rsidRPr="00830EB7" w:rsidRDefault="0001613C" w:rsidP="0001613C">
      <w:pPr>
        <w:pStyle w:val="FootnoteText"/>
        <w:tabs>
          <w:tab w:val="left" w:pos="142"/>
        </w:tabs>
        <w:ind w:left="142" w:hanging="142"/>
        <w:rPr>
          <w:rFonts w:cstheme="minorHAnsi"/>
          <w:noProof/>
          <w:sz w:val="16"/>
          <w:szCs w:val="16"/>
          <w:lang w:val="hr-HR"/>
        </w:rPr>
      </w:pPr>
      <w:r w:rsidRPr="00830EB7">
        <w:rPr>
          <w:rStyle w:val="FootnoteReference"/>
          <w:rFonts w:cstheme="minorHAnsi"/>
          <w:noProof/>
          <w:sz w:val="16"/>
          <w:szCs w:val="16"/>
          <w:lang w:val="hr-HR"/>
        </w:rPr>
        <w:footnoteRef/>
      </w:r>
      <w:r w:rsidRPr="00830EB7">
        <w:rPr>
          <w:rFonts w:cstheme="minorHAnsi"/>
          <w:noProof/>
          <w:sz w:val="16"/>
          <w:szCs w:val="16"/>
          <w:lang w:val="hr-HR"/>
        </w:rPr>
        <w:tab/>
        <w:t>Proizvodnja ili trgovina bilo kojim proizvodom ili aktivnost koja se smatra nezakonitom prema zakonima ili propisima država članica ili međunarodnim konvencijama i sporazumima, kao što su nepovezana azbestna vlakna, medikamenti, pesticidi/herbicidi, tvari koje uništavaju ozon, polikloriran</w:t>
      </w:r>
      <w:r>
        <w:rPr>
          <w:rFonts w:cstheme="minorHAnsi"/>
          <w:noProof/>
          <w:sz w:val="16"/>
          <w:szCs w:val="16"/>
          <w:lang w:val="hr-HR"/>
        </w:rPr>
        <w:t>i bifenili</w:t>
      </w:r>
      <w:r w:rsidRPr="00830EB7">
        <w:rPr>
          <w:rFonts w:cstheme="minorHAnsi"/>
          <w:noProof/>
          <w:sz w:val="16"/>
          <w:szCs w:val="16"/>
          <w:lang w:val="hr-HR"/>
        </w:rPr>
        <w:t xml:space="preserve"> (PCB), divlje životinje ili proizvodi koji su regulirani prema Konvenciji o međunarodnoj trgovini ugroženim vrstama (CITES).</w:t>
      </w:r>
    </w:p>
    <w:p w:rsidR="0001613C" w:rsidRPr="005417F7" w:rsidRDefault="0001613C" w:rsidP="0001613C">
      <w:pPr>
        <w:pStyle w:val="FootnoteText"/>
        <w:tabs>
          <w:tab w:val="left" w:pos="0"/>
        </w:tabs>
        <w:rPr>
          <w:rFonts w:cstheme="minorHAnsi"/>
          <w:noProof/>
          <w:sz w:val="16"/>
          <w:szCs w:val="16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2643"/>
    <w:multiLevelType w:val="hybridMultilevel"/>
    <w:tmpl w:val="77F451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790762C"/>
    <w:multiLevelType w:val="hybridMultilevel"/>
    <w:tmpl w:val="B07288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9E139C"/>
    <w:multiLevelType w:val="multilevel"/>
    <w:tmpl w:val="D8C46E6C"/>
    <w:lvl w:ilvl="0">
      <w:start w:val="1"/>
      <w:numFmt w:val="bullet"/>
      <w:lvlText w:val=""/>
      <w:lvlJc w:val="left"/>
      <w:pPr>
        <w:ind w:left="750" w:hanging="37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70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3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5" w:hanging="1440"/>
      </w:pPr>
      <w:rPr>
        <w:rFonts w:hint="default"/>
      </w:rPr>
    </w:lvl>
  </w:abstractNum>
  <w:abstractNum w:abstractNumId="3" w15:restartNumberingAfterBreak="0">
    <w:nsid w:val="33713DEB"/>
    <w:multiLevelType w:val="multilevel"/>
    <w:tmpl w:val="D8C46E6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36E3CBA"/>
    <w:multiLevelType w:val="hybridMultilevel"/>
    <w:tmpl w:val="BD1C9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C"/>
    <w:rsid w:val="0001613C"/>
    <w:rsid w:val="004274C7"/>
    <w:rsid w:val="00534428"/>
    <w:rsid w:val="00615D4A"/>
    <w:rsid w:val="00806DDA"/>
    <w:rsid w:val="008E3092"/>
    <w:rsid w:val="00983604"/>
    <w:rsid w:val="009B6BEC"/>
    <w:rsid w:val="009B6BF9"/>
    <w:rsid w:val="00A37ACD"/>
    <w:rsid w:val="00CC6EF0"/>
    <w:rsid w:val="00D97A59"/>
    <w:rsid w:val="00F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C66BB-50F7-4536-8FA4-678A2099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13C"/>
    <w:pPr>
      <w:spacing w:before="120" w:after="120" w:line="240" w:lineRule="auto"/>
      <w:jc w:val="both"/>
    </w:pPr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1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autoRedefine/>
    <w:uiPriority w:val="34"/>
    <w:qFormat/>
    <w:rsid w:val="0001613C"/>
    <w:pPr>
      <w:spacing w:before="0" w:after="0"/>
      <w:contextualSpacing/>
    </w:pPr>
    <w:rPr>
      <w:rFonts w:cstheme="minorHAnsi"/>
      <w:lang w:val="en-GB"/>
    </w:rPr>
  </w:style>
  <w:style w:type="paragraph" w:styleId="Title">
    <w:name w:val="Title"/>
    <w:basedOn w:val="Normal"/>
    <w:next w:val="Normal"/>
    <w:link w:val="TitleChar"/>
    <w:qFormat/>
    <w:rsid w:val="0001613C"/>
    <w:pPr>
      <w:pBdr>
        <w:bottom w:val="single" w:sz="8" w:space="4" w:color="4472C4" w:themeColor="accent1"/>
      </w:pBdr>
      <w:spacing w:before="0" w:after="30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01613C"/>
    <w:rPr>
      <w:rFonts w:eastAsiaTheme="majorEastAsia" w:cstheme="majorBidi"/>
      <w:b/>
      <w:spacing w:val="5"/>
      <w:kern w:val="28"/>
      <w:szCs w:val="52"/>
      <w:lang w:val="fr-FR"/>
    </w:rPr>
  </w:style>
  <w:style w:type="paragraph" w:styleId="FootnoteText">
    <w:name w:val="footnote text"/>
    <w:aliases w:val="single space,FOOTNOTES,fn,ft,ADB,pod carou,footnote text,single spac,Footnote,Footnote1,Footnote2,Footnote3,Footnote4,Footnote5,Footnote6,Footnote7,Footnote8,Footnote9,Footnote10,Footnote11,Footn,Fußnot,Footnote text"/>
    <w:basedOn w:val="Normal"/>
    <w:link w:val="FootnoteTextChar"/>
    <w:uiPriority w:val="99"/>
    <w:unhideWhenUsed/>
    <w:rsid w:val="0001613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aliases w:val="single space Char,FOOTNOTES Char,fn Char,ft Char,ADB Char,pod carou Char,footnote text Char,single spac Char,Footnote Char,Footnote1 Char,Footnote2 Char,Footnote3 Char,Footnote4 Char,Footnote5 Char,Footnote6 Char,Footnote7 Char"/>
    <w:basedOn w:val="DefaultParagraphFont"/>
    <w:link w:val="FootnoteText"/>
    <w:uiPriority w:val="99"/>
    <w:rsid w:val="0001613C"/>
    <w:rPr>
      <w:sz w:val="20"/>
      <w:szCs w:val="20"/>
      <w:lang w:val="fr-FR"/>
    </w:rPr>
  </w:style>
  <w:style w:type="character" w:styleId="FootnoteReference">
    <w:name w:val="footnote reference"/>
    <w:aliases w:val="Appel,note,de,bas,p.,Footnotes,refss,Fussnota,footnote1,reference,footnote11,footnote111,footnote1111,footnote11111,footnote111111,footnote1111111,footnote11111111,footnote111111111,footnote1111111111,footnote11111111111,ftref"/>
    <w:uiPriority w:val="99"/>
    <w:rsid w:val="0001613C"/>
    <w:rPr>
      <w:vertAlign w:val="superscript"/>
    </w:rPr>
  </w:style>
  <w:style w:type="paragraph" w:customStyle="1" w:styleId="Annexe">
    <w:name w:val="Annexe"/>
    <w:basedOn w:val="Heading1"/>
    <w:next w:val="Normal"/>
    <w:qFormat/>
    <w:rsid w:val="0001613C"/>
    <w:pPr>
      <w:spacing w:before="120" w:after="120"/>
      <w:jc w:val="center"/>
    </w:pPr>
    <w:rPr>
      <w:rFonts w:asciiTheme="minorHAnsi" w:hAnsiTheme="minorHAnsi"/>
      <w:b/>
      <w:color w:val="auto"/>
      <w:sz w:val="24"/>
      <w:lang w:val="en-US"/>
    </w:rPr>
  </w:style>
  <w:style w:type="paragraph" w:customStyle="1" w:styleId="AOHead4">
    <w:name w:val="AOHead4"/>
    <w:basedOn w:val="Normal"/>
    <w:next w:val="Normal"/>
    <w:rsid w:val="0001613C"/>
    <w:pPr>
      <w:tabs>
        <w:tab w:val="num" w:pos="2160"/>
      </w:tabs>
      <w:spacing w:before="240" w:after="0" w:line="260" w:lineRule="atLeast"/>
      <w:ind w:left="2160" w:hanging="720"/>
      <w:outlineLvl w:val="3"/>
    </w:pPr>
    <w:rPr>
      <w:rFonts w:ascii="Calibri" w:eastAsia="SimSun" w:hAnsi="Calibri" w:cs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1613C"/>
    <w:rPr>
      <w:rFonts w:cstheme="minorHAns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161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4C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C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Gessert Rosandić Ariana</dc:creator>
  <cp:keywords/>
  <dc:description/>
  <cp:lastModifiedBy>Matijaščić Marko</cp:lastModifiedBy>
  <cp:revision>5</cp:revision>
  <dcterms:created xsi:type="dcterms:W3CDTF">2018-03-22T14:11:00Z</dcterms:created>
  <dcterms:modified xsi:type="dcterms:W3CDTF">2018-03-23T13:09:00Z</dcterms:modified>
</cp:coreProperties>
</file>