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68EF" w14:textId="6ED687AA" w:rsidR="00864A8F" w:rsidRPr="00781E9C" w:rsidRDefault="002504F0" w:rsidP="00E94667">
      <w:pPr>
        <w:pStyle w:val="Heading1"/>
        <w:numPr>
          <w:ilvl w:val="0"/>
          <w:numId w:val="0"/>
        </w:numPr>
        <w:spacing w:after="240" w:line="276" w:lineRule="auto"/>
        <w:ind w:left="431"/>
        <w:jc w:val="center"/>
        <w:rPr>
          <w:rFonts w:ascii="Arial" w:hAnsi="Arial" w:cs="Arial"/>
          <w:b/>
          <w:sz w:val="24"/>
          <w:szCs w:val="24"/>
        </w:rPr>
      </w:pPr>
      <w:bookmarkStart w:id="0" w:name="_Toc530750667"/>
      <w:bookmarkStart w:id="1" w:name="_Toc531696231"/>
      <w:bookmarkStart w:id="2" w:name="_Toc534881540"/>
      <w:bookmarkStart w:id="3" w:name="_Toc4408937"/>
      <w:r w:rsidRPr="00781E9C">
        <w:rPr>
          <w:rFonts w:ascii="Arial" w:hAnsi="Arial" w:cs="Arial"/>
          <w:b/>
          <w:sz w:val="24"/>
          <w:szCs w:val="24"/>
        </w:rPr>
        <w:t xml:space="preserve">Opći </w:t>
      </w:r>
      <w:r w:rsidR="007174C9" w:rsidRPr="00781E9C">
        <w:rPr>
          <w:rFonts w:ascii="Arial" w:hAnsi="Arial" w:cs="Arial"/>
          <w:b/>
          <w:sz w:val="24"/>
          <w:szCs w:val="24"/>
        </w:rPr>
        <w:t>kriteriji</w:t>
      </w:r>
      <w:r w:rsidRPr="00781E9C">
        <w:rPr>
          <w:rFonts w:ascii="Arial" w:hAnsi="Arial" w:cs="Arial"/>
          <w:b/>
          <w:sz w:val="24"/>
          <w:szCs w:val="24"/>
        </w:rPr>
        <w:t xml:space="preserve"> </w:t>
      </w:r>
      <w:r w:rsidR="004A1CC9" w:rsidRPr="00781E9C">
        <w:rPr>
          <w:rFonts w:ascii="Arial" w:hAnsi="Arial" w:cs="Arial"/>
          <w:b/>
          <w:sz w:val="24"/>
          <w:szCs w:val="24"/>
        </w:rPr>
        <w:t>prihvatljivosti</w:t>
      </w:r>
      <w:bookmarkEnd w:id="0"/>
      <w:bookmarkEnd w:id="1"/>
      <w:bookmarkEnd w:id="2"/>
      <w:bookmarkEnd w:id="3"/>
    </w:p>
    <w:bookmarkStart w:id="4" w:name="_Toc4408938" w:displacedByCustomXml="next"/>
    <w:sdt>
      <w:sdtPr>
        <w:rPr>
          <w:rFonts w:eastAsiaTheme="minorEastAsia" w:cs="Arial"/>
          <w:b/>
          <w:noProof/>
          <w:szCs w:val="20"/>
          <w:lang w:eastAsia="hr-HR"/>
        </w:rPr>
        <w:id w:val="-884179149"/>
        <w:docPartObj>
          <w:docPartGallery w:val="Table of Contents"/>
          <w:docPartUnique/>
        </w:docPartObj>
      </w:sdtPr>
      <w:sdtEndPr/>
      <w:sdtContent>
        <w:p w14:paraId="7152349B" w14:textId="77777777" w:rsidR="005256B3" w:rsidRDefault="005256B3" w:rsidP="003B2ECF">
          <w:pPr>
            <w:tabs>
              <w:tab w:val="left" w:pos="540"/>
            </w:tabs>
            <w:spacing w:line="276" w:lineRule="auto"/>
            <w:jc w:val="both"/>
            <w:outlineLvl w:val="1"/>
            <w:rPr>
              <w:rFonts w:eastAsiaTheme="minorEastAsia" w:cs="Arial"/>
              <w:szCs w:val="20"/>
              <w:lang w:eastAsia="hr-HR"/>
            </w:rPr>
          </w:pPr>
        </w:p>
        <w:p w14:paraId="146B1F0C" w14:textId="278C9536" w:rsidR="003B2ECF" w:rsidRDefault="005256B3" w:rsidP="003B2ECF">
          <w:pPr>
            <w:tabs>
              <w:tab w:val="left" w:pos="540"/>
            </w:tabs>
            <w:spacing w:line="276" w:lineRule="auto"/>
            <w:jc w:val="both"/>
            <w:outlineLvl w:val="1"/>
            <w:rPr>
              <w:rFonts w:eastAsia="Times New Roman" w:cs="Arial"/>
              <w:bCs/>
              <w:szCs w:val="20"/>
              <w:lang w:eastAsia="hr-HR"/>
            </w:rPr>
          </w:pPr>
          <w:r>
            <w:rPr>
              <w:rFonts w:eastAsiaTheme="minorEastAsia" w:cs="Arial"/>
              <w:szCs w:val="20"/>
              <w:lang w:eastAsia="hr-HR"/>
            </w:rPr>
            <w:t>Opći kriteriji prihvatljivosti definiraju</w:t>
          </w:r>
          <w:r w:rsidR="00FC0CA3">
            <w:rPr>
              <w:rFonts w:eastAsiaTheme="minorEastAsia" w:cs="Arial"/>
              <w:szCs w:val="20"/>
            </w:rPr>
            <w:t xml:space="preserve"> općenite značajke, ograničenja i posebnosti koje se primjenjuju kod kreditiranja projekata/klijenata prema programima kreditiranja:</w:t>
          </w:r>
          <w:r w:rsidR="003B2ECF" w:rsidRPr="003B2ECF">
            <w:rPr>
              <w:rFonts w:eastAsia="Times New Roman" w:cs="Arial"/>
              <w:bCs/>
              <w:szCs w:val="20"/>
              <w:lang w:eastAsia="hr-HR"/>
            </w:rPr>
            <w:t xml:space="preserve"> </w:t>
          </w:r>
          <w:bookmarkStart w:id="5" w:name="_Hlk1480171"/>
          <w:r w:rsidR="003B2ECF" w:rsidRPr="003B2ECF">
            <w:rPr>
              <w:rFonts w:eastAsia="Times New Roman" w:cs="Arial"/>
              <w:b/>
              <w:bCs/>
              <w:szCs w:val="20"/>
              <w:lang w:eastAsia="hr-HR"/>
            </w:rPr>
            <w:t>Poduzetništvo mladih, žena i početnika; Investicije privatnog sektora; Investicije javnog sektora; EU projekti; Obrtna sredstva; Priprema izvoza; Financijsko restrukturiranje</w:t>
          </w:r>
          <w:r w:rsidR="00A76941">
            <w:rPr>
              <w:rFonts w:eastAsia="Times New Roman" w:cs="Arial"/>
              <w:bCs/>
              <w:szCs w:val="20"/>
              <w:lang w:eastAsia="hr-HR"/>
            </w:rPr>
            <w:t>.</w:t>
          </w:r>
          <w:bookmarkEnd w:id="4"/>
        </w:p>
        <w:p w14:paraId="2BD4AC40" w14:textId="47F61C28" w:rsidR="00A76941" w:rsidRDefault="00A76941" w:rsidP="003B2ECF">
          <w:pPr>
            <w:tabs>
              <w:tab w:val="left" w:pos="540"/>
            </w:tabs>
            <w:spacing w:line="276" w:lineRule="auto"/>
            <w:jc w:val="both"/>
            <w:outlineLvl w:val="1"/>
            <w:rPr>
              <w:rFonts w:eastAsia="Times New Roman" w:cs="Arial"/>
              <w:bCs/>
              <w:szCs w:val="20"/>
              <w:lang w:eastAsia="hr-HR"/>
            </w:rPr>
          </w:pPr>
        </w:p>
        <w:p w14:paraId="47A30AF7" w14:textId="6F542A0F" w:rsidR="00A76941" w:rsidRPr="003B2ECF" w:rsidRDefault="00A76941" w:rsidP="003B2ECF">
          <w:pPr>
            <w:tabs>
              <w:tab w:val="left" w:pos="540"/>
            </w:tabs>
            <w:spacing w:line="276" w:lineRule="auto"/>
            <w:jc w:val="both"/>
            <w:outlineLvl w:val="1"/>
            <w:rPr>
              <w:rFonts w:eastAsia="Times New Roman" w:cs="Arial"/>
              <w:bCs/>
              <w:szCs w:val="20"/>
              <w:lang w:eastAsia="hr-HR"/>
            </w:rPr>
          </w:pPr>
          <w:bookmarkStart w:id="6" w:name="_Toc4408939"/>
          <w:r>
            <w:rPr>
              <w:rFonts w:eastAsia="Times New Roman" w:cs="Arial"/>
              <w:bCs/>
              <w:szCs w:val="20"/>
              <w:lang w:eastAsia="hr-HR"/>
            </w:rPr>
            <w:t xml:space="preserve">Točka </w:t>
          </w:r>
          <w:r w:rsidR="001B7A44">
            <w:rPr>
              <w:rFonts w:eastAsia="Times New Roman" w:cs="Arial"/>
              <w:bCs/>
              <w:szCs w:val="20"/>
              <w:lang w:eastAsia="hr-HR"/>
            </w:rPr>
            <w:t>3</w:t>
          </w:r>
          <w:r>
            <w:rPr>
              <w:rFonts w:eastAsia="Times New Roman" w:cs="Arial"/>
              <w:bCs/>
              <w:szCs w:val="20"/>
              <w:lang w:eastAsia="hr-HR"/>
            </w:rPr>
            <w:t xml:space="preserve">. Općih kriterija </w:t>
          </w:r>
          <w:r w:rsidR="003A1A8C">
            <w:rPr>
              <w:rFonts w:eastAsia="Times New Roman" w:cs="Arial"/>
              <w:bCs/>
              <w:szCs w:val="20"/>
              <w:lang w:eastAsia="hr-HR"/>
            </w:rPr>
            <w:t xml:space="preserve">prihvatljivosti </w:t>
          </w:r>
          <w:r>
            <w:rPr>
              <w:rFonts w:eastAsia="Times New Roman" w:cs="Arial"/>
              <w:bCs/>
              <w:szCs w:val="20"/>
              <w:lang w:eastAsia="hr-HR"/>
            </w:rPr>
            <w:t xml:space="preserve">primjenjuje se i na sve ostale programe i </w:t>
          </w:r>
          <w:r w:rsidR="003A1A8C">
            <w:rPr>
              <w:rFonts w:eastAsia="Times New Roman" w:cs="Arial"/>
              <w:bCs/>
              <w:szCs w:val="20"/>
              <w:lang w:eastAsia="hr-HR"/>
            </w:rPr>
            <w:t xml:space="preserve">proizvode </w:t>
          </w:r>
          <w:r>
            <w:rPr>
              <w:rFonts w:eastAsia="Times New Roman" w:cs="Arial"/>
              <w:bCs/>
              <w:szCs w:val="20"/>
              <w:lang w:eastAsia="hr-HR"/>
            </w:rPr>
            <w:t>HBOR-a.</w:t>
          </w:r>
          <w:bookmarkEnd w:id="6"/>
        </w:p>
        <w:bookmarkEnd w:id="5"/>
        <w:p w14:paraId="5A91C4AD" w14:textId="3CD99465" w:rsidR="00522682" w:rsidRPr="00522682" w:rsidRDefault="00E72BA0" w:rsidP="007920C1">
          <w:pPr>
            <w:pStyle w:val="TOCHeading"/>
            <w:spacing w:before="360" w:after="240" w:line="276" w:lineRule="auto"/>
            <w:rPr>
              <w:rFonts w:ascii="Arial" w:hAnsi="Arial" w:cs="Arial"/>
              <w:noProof/>
              <w:sz w:val="20"/>
              <w:szCs w:val="20"/>
            </w:rPr>
          </w:pPr>
          <w:r w:rsidRPr="00781E9C">
            <w:rPr>
              <w:rFonts w:ascii="Arial" w:hAnsi="Arial" w:cs="Arial"/>
              <w:sz w:val="20"/>
              <w:szCs w:val="20"/>
            </w:rPr>
            <w:t>Sadržaj</w:t>
          </w:r>
          <w:r w:rsidR="000B1F6C" w:rsidRPr="00781E9C">
            <w:rPr>
              <w:rFonts w:ascii="Arial" w:hAnsi="Arial" w:cs="Arial"/>
              <w:sz w:val="20"/>
              <w:szCs w:val="20"/>
            </w:rPr>
            <w:fldChar w:fldCharType="begin"/>
          </w:r>
          <w:r w:rsidR="000B1F6C" w:rsidRPr="00781E9C">
            <w:rPr>
              <w:rFonts w:ascii="Arial" w:hAnsi="Arial" w:cs="Arial"/>
              <w:sz w:val="20"/>
              <w:szCs w:val="20"/>
            </w:rPr>
            <w:instrText xml:space="preserve"> TOC \o "1-3" \h \z \u </w:instrText>
          </w:r>
          <w:r w:rsidR="000B1F6C" w:rsidRPr="00781E9C">
            <w:rPr>
              <w:rFonts w:ascii="Arial" w:hAnsi="Arial" w:cs="Arial"/>
              <w:sz w:val="20"/>
              <w:szCs w:val="20"/>
            </w:rPr>
            <w:fldChar w:fldCharType="separate"/>
          </w:r>
        </w:p>
        <w:p w14:paraId="07618C11" w14:textId="0865DCB2" w:rsidR="00522682" w:rsidRPr="00522682" w:rsidRDefault="00542147" w:rsidP="00522682">
          <w:pPr>
            <w:pStyle w:val="TOC1"/>
          </w:pPr>
          <w:hyperlink w:anchor="_Toc4408940" w:history="1">
            <w:r w:rsidR="00522682" w:rsidRPr="00522682">
              <w:rPr>
                <w:rStyle w:val="Hyperlink"/>
              </w:rPr>
              <w:t>Korisnici kredita</w:t>
            </w:r>
            <w:r w:rsidR="00522682" w:rsidRPr="00522682">
              <w:rPr>
                <w:b w:val="0"/>
                <w:webHidden/>
              </w:rPr>
              <w:tab/>
            </w:r>
            <w:r w:rsidR="00522682" w:rsidRPr="00522682">
              <w:rPr>
                <w:b w:val="0"/>
                <w:webHidden/>
              </w:rPr>
              <w:fldChar w:fldCharType="begin"/>
            </w:r>
            <w:r w:rsidR="00522682" w:rsidRPr="00522682">
              <w:rPr>
                <w:b w:val="0"/>
                <w:webHidden/>
              </w:rPr>
              <w:instrText xml:space="preserve"> PAGEREF _Toc4408940 \h </w:instrText>
            </w:r>
            <w:r w:rsidR="00522682" w:rsidRPr="00522682">
              <w:rPr>
                <w:b w:val="0"/>
                <w:webHidden/>
              </w:rPr>
            </w:r>
            <w:r w:rsidR="00522682" w:rsidRPr="00522682">
              <w:rPr>
                <w:b w:val="0"/>
                <w:webHidden/>
              </w:rPr>
              <w:fldChar w:fldCharType="separate"/>
            </w:r>
            <w:r w:rsidR="00FE0A05">
              <w:rPr>
                <w:b w:val="0"/>
                <w:webHidden/>
              </w:rPr>
              <w:t>2</w:t>
            </w:r>
            <w:r w:rsidR="00522682" w:rsidRPr="00522682">
              <w:rPr>
                <w:b w:val="0"/>
                <w:webHidden/>
              </w:rPr>
              <w:fldChar w:fldCharType="end"/>
            </w:r>
          </w:hyperlink>
        </w:p>
        <w:p w14:paraId="44470EEA" w14:textId="77E44B3A" w:rsidR="00522682" w:rsidRPr="00522682" w:rsidRDefault="00542147" w:rsidP="00522682">
          <w:pPr>
            <w:pStyle w:val="TOC1"/>
          </w:pPr>
          <w:hyperlink w:anchor="_Toc4408941" w:history="1">
            <w:r w:rsidR="00522682" w:rsidRPr="00522682">
              <w:rPr>
                <w:rStyle w:val="Hyperlink"/>
              </w:rPr>
              <w:t>Kriteriji za definiranje posebnih korisnika, područja i djelatnosti ulaganja</w:t>
            </w:r>
            <w:r w:rsidR="00522682" w:rsidRPr="00522682">
              <w:rPr>
                <w:b w:val="0"/>
                <w:webHidden/>
              </w:rPr>
              <w:tab/>
            </w:r>
            <w:r w:rsidR="00522682" w:rsidRPr="00522682">
              <w:rPr>
                <w:b w:val="0"/>
                <w:webHidden/>
              </w:rPr>
              <w:fldChar w:fldCharType="begin"/>
            </w:r>
            <w:r w:rsidR="00522682" w:rsidRPr="00522682">
              <w:rPr>
                <w:b w:val="0"/>
                <w:webHidden/>
              </w:rPr>
              <w:instrText xml:space="preserve"> PAGEREF _Toc4408941 \h </w:instrText>
            </w:r>
            <w:r w:rsidR="00522682" w:rsidRPr="00522682">
              <w:rPr>
                <w:b w:val="0"/>
                <w:webHidden/>
              </w:rPr>
            </w:r>
            <w:r w:rsidR="00522682" w:rsidRPr="00522682">
              <w:rPr>
                <w:b w:val="0"/>
                <w:webHidden/>
              </w:rPr>
              <w:fldChar w:fldCharType="separate"/>
            </w:r>
            <w:r w:rsidR="00FE0A05">
              <w:rPr>
                <w:b w:val="0"/>
                <w:webHidden/>
              </w:rPr>
              <w:t>2</w:t>
            </w:r>
            <w:r w:rsidR="00522682" w:rsidRPr="00522682">
              <w:rPr>
                <w:b w:val="0"/>
                <w:webHidden/>
              </w:rPr>
              <w:fldChar w:fldCharType="end"/>
            </w:r>
          </w:hyperlink>
        </w:p>
        <w:p w14:paraId="7513FD53" w14:textId="4D32BB4C" w:rsidR="00522682" w:rsidRPr="00522682" w:rsidRDefault="00542147">
          <w:pPr>
            <w:pStyle w:val="TOC2"/>
            <w:rPr>
              <w:rFonts w:ascii="Arial" w:hAnsi="Arial" w:cs="Arial"/>
              <w:noProof/>
              <w:sz w:val="20"/>
              <w:szCs w:val="20"/>
            </w:rPr>
          </w:pPr>
          <w:hyperlink w:anchor="_Toc4408942" w:history="1">
            <w:r w:rsidR="00522682" w:rsidRPr="00522682">
              <w:rPr>
                <w:rStyle w:val="Hyperlink"/>
                <w:rFonts w:ascii="Arial" w:hAnsi="Arial" w:cs="Arial"/>
                <w:noProof/>
                <w:sz w:val="20"/>
                <w:szCs w:val="20"/>
              </w:rPr>
              <w:t>Poduzetništvo mladih, žena i početnika</w:t>
            </w:r>
            <w:r w:rsidR="00522682" w:rsidRPr="00522682">
              <w:rPr>
                <w:rFonts w:ascii="Arial" w:hAnsi="Arial" w:cs="Arial"/>
                <w:noProof/>
                <w:webHidden/>
                <w:sz w:val="20"/>
                <w:szCs w:val="20"/>
              </w:rPr>
              <w:tab/>
            </w:r>
            <w:r w:rsidR="00522682" w:rsidRPr="00522682">
              <w:rPr>
                <w:rFonts w:ascii="Arial" w:hAnsi="Arial" w:cs="Arial"/>
                <w:noProof/>
                <w:webHidden/>
                <w:sz w:val="20"/>
                <w:szCs w:val="20"/>
              </w:rPr>
              <w:fldChar w:fldCharType="begin"/>
            </w:r>
            <w:r w:rsidR="00522682" w:rsidRPr="00522682">
              <w:rPr>
                <w:rFonts w:ascii="Arial" w:hAnsi="Arial" w:cs="Arial"/>
                <w:noProof/>
                <w:webHidden/>
                <w:sz w:val="20"/>
                <w:szCs w:val="20"/>
              </w:rPr>
              <w:instrText xml:space="preserve"> PAGEREF _Toc4408942 \h </w:instrText>
            </w:r>
            <w:r w:rsidR="00522682" w:rsidRPr="00522682">
              <w:rPr>
                <w:rFonts w:ascii="Arial" w:hAnsi="Arial" w:cs="Arial"/>
                <w:noProof/>
                <w:webHidden/>
                <w:sz w:val="20"/>
                <w:szCs w:val="20"/>
              </w:rPr>
            </w:r>
            <w:r w:rsidR="00522682" w:rsidRPr="00522682">
              <w:rPr>
                <w:rFonts w:ascii="Arial" w:hAnsi="Arial" w:cs="Arial"/>
                <w:noProof/>
                <w:webHidden/>
                <w:sz w:val="20"/>
                <w:szCs w:val="20"/>
              </w:rPr>
              <w:fldChar w:fldCharType="separate"/>
            </w:r>
            <w:r w:rsidR="00FE0A05">
              <w:rPr>
                <w:rFonts w:ascii="Arial" w:hAnsi="Arial" w:cs="Arial"/>
                <w:noProof/>
                <w:webHidden/>
                <w:sz w:val="20"/>
                <w:szCs w:val="20"/>
              </w:rPr>
              <w:t>2</w:t>
            </w:r>
            <w:r w:rsidR="00522682" w:rsidRPr="00522682">
              <w:rPr>
                <w:rFonts w:ascii="Arial" w:hAnsi="Arial" w:cs="Arial"/>
                <w:noProof/>
                <w:webHidden/>
                <w:sz w:val="20"/>
                <w:szCs w:val="20"/>
              </w:rPr>
              <w:fldChar w:fldCharType="end"/>
            </w:r>
          </w:hyperlink>
        </w:p>
        <w:p w14:paraId="1AEA3C96" w14:textId="21906CF1" w:rsidR="00522682" w:rsidRPr="00522682" w:rsidRDefault="00542147">
          <w:pPr>
            <w:pStyle w:val="TOC2"/>
            <w:rPr>
              <w:rFonts w:ascii="Arial" w:hAnsi="Arial" w:cs="Arial"/>
              <w:noProof/>
              <w:sz w:val="20"/>
              <w:szCs w:val="20"/>
            </w:rPr>
          </w:pPr>
          <w:hyperlink w:anchor="_Toc4408943" w:history="1">
            <w:r w:rsidR="00522682" w:rsidRPr="00522682">
              <w:rPr>
                <w:rStyle w:val="Hyperlink"/>
                <w:rFonts w:ascii="Arial" w:hAnsi="Arial" w:cs="Arial"/>
                <w:noProof/>
                <w:sz w:val="20"/>
                <w:szCs w:val="20"/>
              </w:rPr>
              <w:t>Tržišno konkurentni subjekti</w:t>
            </w:r>
            <w:r w:rsidR="00522682" w:rsidRPr="00522682">
              <w:rPr>
                <w:rFonts w:ascii="Arial" w:hAnsi="Arial" w:cs="Arial"/>
                <w:noProof/>
                <w:webHidden/>
                <w:sz w:val="20"/>
                <w:szCs w:val="20"/>
              </w:rPr>
              <w:tab/>
            </w:r>
            <w:r w:rsidR="00522682" w:rsidRPr="00522682">
              <w:rPr>
                <w:rFonts w:ascii="Arial" w:hAnsi="Arial" w:cs="Arial"/>
                <w:noProof/>
                <w:webHidden/>
                <w:sz w:val="20"/>
                <w:szCs w:val="20"/>
              </w:rPr>
              <w:fldChar w:fldCharType="begin"/>
            </w:r>
            <w:r w:rsidR="00522682" w:rsidRPr="00522682">
              <w:rPr>
                <w:rFonts w:ascii="Arial" w:hAnsi="Arial" w:cs="Arial"/>
                <w:noProof/>
                <w:webHidden/>
                <w:sz w:val="20"/>
                <w:szCs w:val="20"/>
              </w:rPr>
              <w:instrText xml:space="preserve"> PAGEREF _Toc4408943 \h </w:instrText>
            </w:r>
            <w:r w:rsidR="00522682" w:rsidRPr="00522682">
              <w:rPr>
                <w:rFonts w:ascii="Arial" w:hAnsi="Arial" w:cs="Arial"/>
                <w:noProof/>
                <w:webHidden/>
                <w:sz w:val="20"/>
                <w:szCs w:val="20"/>
              </w:rPr>
            </w:r>
            <w:r w:rsidR="00522682" w:rsidRPr="00522682">
              <w:rPr>
                <w:rFonts w:ascii="Arial" w:hAnsi="Arial" w:cs="Arial"/>
                <w:noProof/>
                <w:webHidden/>
                <w:sz w:val="20"/>
                <w:szCs w:val="20"/>
              </w:rPr>
              <w:fldChar w:fldCharType="separate"/>
            </w:r>
            <w:r w:rsidR="00FE0A05">
              <w:rPr>
                <w:rFonts w:ascii="Arial" w:hAnsi="Arial" w:cs="Arial"/>
                <w:noProof/>
                <w:webHidden/>
                <w:sz w:val="20"/>
                <w:szCs w:val="20"/>
              </w:rPr>
              <w:t>2</w:t>
            </w:r>
            <w:r w:rsidR="00522682" w:rsidRPr="00522682">
              <w:rPr>
                <w:rFonts w:ascii="Arial" w:hAnsi="Arial" w:cs="Arial"/>
                <w:noProof/>
                <w:webHidden/>
                <w:sz w:val="20"/>
                <w:szCs w:val="20"/>
              </w:rPr>
              <w:fldChar w:fldCharType="end"/>
            </w:r>
          </w:hyperlink>
        </w:p>
        <w:p w14:paraId="2722FB78" w14:textId="4E0C7C5F" w:rsidR="00522682" w:rsidRPr="00522682" w:rsidRDefault="00542147">
          <w:pPr>
            <w:pStyle w:val="TOC2"/>
            <w:rPr>
              <w:rFonts w:ascii="Arial" w:hAnsi="Arial" w:cs="Arial"/>
              <w:noProof/>
              <w:sz w:val="20"/>
              <w:szCs w:val="20"/>
            </w:rPr>
          </w:pPr>
          <w:hyperlink w:anchor="_Toc4408944" w:history="1">
            <w:r w:rsidR="00522682" w:rsidRPr="00522682">
              <w:rPr>
                <w:rStyle w:val="Hyperlink"/>
                <w:rFonts w:ascii="Arial" w:hAnsi="Arial" w:cs="Arial"/>
                <w:noProof/>
                <w:sz w:val="20"/>
                <w:szCs w:val="20"/>
              </w:rPr>
              <w:t>Posebna područja RH</w:t>
            </w:r>
            <w:r w:rsidR="00522682" w:rsidRPr="00522682">
              <w:rPr>
                <w:rFonts w:ascii="Arial" w:hAnsi="Arial" w:cs="Arial"/>
                <w:noProof/>
                <w:webHidden/>
                <w:sz w:val="20"/>
                <w:szCs w:val="20"/>
              </w:rPr>
              <w:tab/>
            </w:r>
            <w:r w:rsidR="00522682" w:rsidRPr="00522682">
              <w:rPr>
                <w:rFonts w:ascii="Arial" w:hAnsi="Arial" w:cs="Arial"/>
                <w:noProof/>
                <w:webHidden/>
                <w:sz w:val="20"/>
                <w:szCs w:val="20"/>
              </w:rPr>
              <w:fldChar w:fldCharType="begin"/>
            </w:r>
            <w:r w:rsidR="00522682" w:rsidRPr="00522682">
              <w:rPr>
                <w:rFonts w:ascii="Arial" w:hAnsi="Arial" w:cs="Arial"/>
                <w:noProof/>
                <w:webHidden/>
                <w:sz w:val="20"/>
                <w:szCs w:val="20"/>
              </w:rPr>
              <w:instrText xml:space="preserve"> PAGEREF _Toc4408944 \h </w:instrText>
            </w:r>
            <w:r w:rsidR="00522682" w:rsidRPr="00522682">
              <w:rPr>
                <w:rFonts w:ascii="Arial" w:hAnsi="Arial" w:cs="Arial"/>
                <w:noProof/>
                <w:webHidden/>
                <w:sz w:val="20"/>
                <w:szCs w:val="20"/>
              </w:rPr>
            </w:r>
            <w:r w:rsidR="00522682" w:rsidRPr="00522682">
              <w:rPr>
                <w:rFonts w:ascii="Arial" w:hAnsi="Arial" w:cs="Arial"/>
                <w:noProof/>
                <w:webHidden/>
                <w:sz w:val="20"/>
                <w:szCs w:val="20"/>
              </w:rPr>
              <w:fldChar w:fldCharType="separate"/>
            </w:r>
            <w:r w:rsidR="00FE0A05">
              <w:rPr>
                <w:rFonts w:ascii="Arial" w:hAnsi="Arial" w:cs="Arial"/>
                <w:noProof/>
                <w:webHidden/>
                <w:sz w:val="20"/>
                <w:szCs w:val="20"/>
              </w:rPr>
              <w:t>3</w:t>
            </w:r>
            <w:r w:rsidR="00522682" w:rsidRPr="00522682">
              <w:rPr>
                <w:rFonts w:ascii="Arial" w:hAnsi="Arial" w:cs="Arial"/>
                <w:noProof/>
                <w:webHidden/>
                <w:sz w:val="20"/>
                <w:szCs w:val="20"/>
              </w:rPr>
              <w:fldChar w:fldCharType="end"/>
            </w:r>
          </w:hyperlink>
        </w:p>
        <w:p w14:paraId="0415EE2F" w14:textId="7D3280FE" w:rsidR="00522682" w:rsidRPr="00522682" w:rsidRDefault="00542147">
          <w:pPr>
            <w:pStyle w:val="TOC2"/>
            <w:rPr>
              <w:rFonts w:ascii="Arial" w:hAnsi="Arial" w:cs="Arial"/>
              <w:noProof/>
              <w:sz w:val="20"/>
              <w:szCs w:val="20"/>
            </w:rPr>
          </w:pPr>
          <w:hyperlink w:anchor="_Toc4408945" w:history="1">
            <w:r w:rsidR="00522682" w:rsidRPr="00522682">
              <w:rPr>
                <w:rStyle w:val="Hyperlink"/>
                <w:rFonts w:ascii="Arial" w:hAnsi="Arial" w:cs="Arial"/>
                <w:noProof/>
                <w:sz w:val="20"/>
                <w:szCs w:val="20"/>
              </w:rPr>
              <w:t>Djelatnosti od posebnog interesa</w:t>
            </w:r>
            <w:r w:rsidR="00522682" w:rsidRPr="00522682">
              <w:rPr>
                <w:rFonts w:ascii="Arial" w:hAnsi="Arial" w:cs="Arial"/>
                <w:noProof/>
                <w:webHidden/>
                <w:sz w:val="20"/>
                <w:szCs w:val="20"/>
              </w:rPr>
              <w:tab/>
            </w:r>
            <w:r w:rsidR="00522682" w:rsidRPr="00522682">
              <w:rPr>
                <w:rFonts w:ascii="Arial" w:hAnsi="Arial" w:cs="Arial"/>
                <w:noProof/>
                <w:webHidden/>
                <w:sz w:val="20"/>
                <w:szCs w:val="20"/>
              </w:rPr>
              <w:fldChar w:fldCharType="begin"/>
            </w:r>
            <w:r w:rsidR="00522682" w:rsidRPr="00522682">
              <w:rPr>
                <w:rFonts w:ascii="Arial" w:hAnsi="Arial" w:cs="Arial"/>
                <w:noProof/>
                <w:webHidden/>
                <w:sz w:val="20"/>
                <w:szCs w:val="20"/>
              </w:rPr>
              <w:instrText xml:space="preserve"> PAGEREF _Toc4408945 \h </w:instrText>
            </w:r>
            <w:r w:rsidR="00522682" w:rsidRPr="00522682">
              <w:rPr>
                <w:rFonts w:ascii="Arial" w:hAnsi="Arial" w:cs="Arial"/>
                <w:noProof/>
                <w:webHidden/>
                <w:sz w:val="20"/>
                <w:szCs w:val="20"/>
              </w:rPr>
            </w:r>
            <w:r w:rsidR="00522682" w:rsidRPr="00522682">
              <w:rPr>
                <w:rFonts w:ascii="Arial" w:hAnsi="Arial" w:cs="Arial"/>
                <w:noProof/>
                <w:webHidden/>
                <w:sz w:val="20"/>
                <w:szCs w:val="20"/>
              </w:rPr>
              <w:fldChar w:fldCharType="separate"/>
            </w:r>
            <w:r w:rsidR="00FE0A05">
              <w:rPr>
                <w:rFonts w:ascii="Arial" w:hAnsi="Arial" w:cs="Arial"/>
                <w:noProof/>
                <w:webHidden/>
                <w:sz w:val="20"/>
                <w:szCs w:val="20"/>
              </w:rPr>
              <w:t>4</w:t>
            </w:r>
            <w:r w:rsidR="00522682" w:rsidRPr="00522682">
              <w:rPr>
                <w:rFonts w:ascii="Arial" w:hAnsi="Arial" w:cs="Arial"/>
                <w:noProof/>
                <w:webHidden/>
                <w:sz w:val="20"/>
                <w:szCs w:val="20"/>
              </w:rPr>
              <w:fldChar w:fldCharType="end"/>
            </w:r>
          </w:hyperlink>
        </w:p>
        <w:p w14:paraId="56842180" w14:textId="10A45719" w:rsidR="00522682" w:rsidRPr="00522682" w:rsidRDefault="00542147" w:rsidP="00522682">
          <w:pPr>
            <w:pStyle w:val="TOC1"/>
          </w:pPr>
          <w:hyperlink w:anchor="_Toc4408947" w:history="1">
            <w:r w:rsidR="00522682" w:rsidRPr="00522682">
              <w:rPr>
                <w:rStyle w:val="Hyperlink"/>
              </w:rPr>
              <w:t>Zabrane i ograničenja financiranja</w:t>
            </w:r>
            <w:r w:rsidR="00522682" w:rsidRPr="00522682">
              <w:rPr>
                <w:b w:val="0"/>
                <w:webHidden/>
              </w:rPr>
              <w:tab/>
            </w:r>
            <w:r w:rsidR="00FB0CDC">
              <w:rPr>
                <w:b w:val="0"/>
                <w:webHidden/>
              </w:rPr>
              <w:t>4</w:t>
            </w:r>
          </w:hyperlink>
        </w:p>
        <w:p w14:paraId="2605FD8C" w14:textId="2F6D7712" w:rsidR="00522682" w:rsidRPr="00522682" w:rsidRDefault="00542147">
          <w:pPr>
            <w:pStyle w:val="TOC2"/>
            <w:rPr>
              <w:rFonts w:ascii="Arial" w:hAnsi="Arial" w:cs="Arial"/>
              <w:noProof/>
              <w:sz w:val="20"/>
              <w:szCs w:val="20"/>
            </w:rPr>
          </w:pPr>
          <w:hyperlink w:anchor="_Toc4408948" w:history="1">
            <w:r w:rsidR="00522682" w:rsidRPr="00522682">
              <w:rPr>
                <w:rStyle w:val="Hyperlink"/>
                <w:rFonts w:ascii="Arial" w:hAnsi="Arial" w:cs="Arial"/>
                <w:noProof/>
                <w:sz w:val="20"/>
                <w:szCs w:val="20"/>
              </w:rPr>
              <w:t>Djelatnosti i namjene koje nisu prihvatljive za financiranje</w:t>
            </w:r>
            <w:r w:rsidR="00522682" w:rsidRPr="00522682">
              <w:rPr>
                <w:rFonts w:ascii="Arial" w:hAnsi="Arial" w:cs="Arial"/>
                <w:noProof/>
                <w:webHidden/>
                <w:sz w:val="20"/>
                <w:szCs w:val="20"/>
              </w:rPr>
              <w:tab/>
            </w:r>
            <w:r w:rsidR="00FB0CDC">
              <w:rPr>
                <w:rFonts w:ascii="Arial" w:hAnsi="Arial" w:cs="Arial"/>
                <w:noProof/>
                <w:webHidden/>
                <w:sz w:val="20"/>
                <w:szCs w:val="20"/>
              </w:rPr>
              <w:t>4</w:t>
            </w:r>
          </w:hyperlink>
        </w:p>
        <w:p w14:paraId="4EDCB9BA" w14:textId="256C1311" w:rsidR="00522682" w:rsidRPr="00522682" w:rsidRDefault="00542147">
          <w:pPr>
            <w:pStyle w:val="TOC2"/>
            <w:rPr>
              <w:rFonts w:ascii="Arial" w:hAnsi="Arial" w:cs="Arial"/>
              <w:noProof/>
              <w:sz w:val="20"/>
              <w:szCs w:val="20"/>
            </w:rPr>
          </w:pPr>
          <w:hyperlink w:anchor="_Toc4408949" w:history="1">
            <w:r w:rsidR="00522682" w:rsidRPr="00522682">
              <w:rPr>
                <w:rStyle w:val="Hyperlink"/>
                <w:rFonts w:ascii="Arial" w:hAnsi="Arial" w:cs="Arial"/>
                <w:noProof/>
                <w:sz w:val="20"/>
                <w:szCs w:val="20"/>
              </w:rPr>
              <w:t>Ograničenja financiranja poslovnih subjekata u kojima udjele u vlasništvu imaju dužnosnici i članovi njihove obitelji</w:t>
            </w:r>
            <w:r w:rsidR="00522682" w:rsidRPr="00522682">
              <w:rPr>
                <w:rFonts w:ascii="Arial" w:hAnsi="Arial" w:cs="Arial"/>
                <w:noProof/>
                <w:webHidden/>
                <w:sz w:val="20"/>
                <w:szCs w:val="20"/>
              </w:rPr>
              <w:tab/>
            </w:r>
            <w:r w:rsidR="00522682" w:rsidRPr="00522682">
              <w:rPr>
                <w:rFonts w:ascii="Arial" w:hAnsi="Arial" w:cs="Arial"/>
                <w:noProof/>
                <w:webHidden/>
                <w:sz w:val="20"/>
                <w:szCs w:val="20"/>
              </w:rPr>
              <w:fldChar w:fldCharType="begin"/>
            </w:r>
            <w:r w:rsidR="00522682" w:rsidRPr="00522682">
              <w:rPr>
                <w:rFonts w:ascii="Arial" w:hAnsi="Arial" w:cs="Arial"/>
                <w:noProof/>
                <w:webHidden/>
                <w:sz w:val="20"/>
                <w:szCs w:val="20"/>
              </w:rPr>
              <w:instrText xml:space="preserve"> PAGEREF _Toc4408949 \h </w:instrText>
            </w:r>
            <w:r w:rsidR="00522682" w:rsidRPr="00522682">
              <w:rPr>
                <w:rFonts w:ascii="Arial" w:hAnsi="Arial" w:cs="Arial"/>
                <w:noProof/>
                <w:webHidden/>
                <w:sz w:val="20"/>
                <w:szCs w:val="20"/>
              </w:rPr>
            </w:r>
            <w:r w:rsidR="00522682" w:rsidRPr="00522682">
              <w:rPr>
                <w:rFonts w:ascii="Arial" w:hAnsi="Arial" w:cs="Arial"/>
                <w:noProof/>
                <w:webHidden/>
                <w:sz w:val="20"/>
                <w:szCs w:val="20"/>
              </w:rPr>
              <w:fldChar w:fldCharType="separate"/>
            </w:r>
            <w:r w:rsidR="00FE0A05">
              <w:rPr>
                <w:rFonts w:ascii="Arial" w:hAnsi="Arial" w:cs="Arial"/>
                <w:noProof/>
                <w:webHidden/>
                <w:sz w:val="20"/>
                <w:szCs w:val="20"/>
              </w:rPr>
              <w:t>5</w:t>
            </w:r>
            <w:r w:rsidR="00522682" w:rsidRPr="00522682">
              <w:rPr>
                <w:rFonts w:ascii="Arial" w:hAnsi="Arial" w:cs="Arial"/>
                <w:noProof/>
                <w:webHidden/>
                <w:sz w:val="20"/>
                <w:szCs w:val="20"/>
              </w:rPr>
              <w:fldChar w:fldCharType="end"/>
            </w:r>
          </w:hyperlink>
        </w:p>
        <w:p w14:paraId="04CDF48F" w14:textId="104F93C7" w:rsidR="00522682" w:rsidRPr="00522682" w:rsidRDefault="00542147" w:rsidP="00522682">
          <w:pPr>
            <w:pStyle w:val="TOC1"/>
          </w:pPr>
          <w:hyperlink w:anchor="_Toc4408950" w:history="1">
            <w:r w:rsidR="00522682" w:rsidRPr="00522682">
              <w:rPr>
                <w:rStyle w:val="Hyperlink"/>
              </w:rPr>
              <w:t>Poticajne kamatne stope i propisi o potporama</w:t>
            </w:r>
            <w:r w:rsidR="00522682" w:rsidRPr="00522682">
              <w:rPr>
                <w:b w:val="0"/>
                <w:webHidden/>
              </w:rPr>
              <w:tab/>
            </w:r>
            <w:r w:rsidR="00522682" w:rsidRPr="00522682">
              <w:rPr>
                <w:b w:val="0"/>
                <w:webHidden/>
              </w:rPr>
              <w:fldChar w:fldCharType="begin"/>
            </w:r>
            <w:r w:rsidR="00522682" w:rsidRPr="00522682">
              <w:rPr>
                <w:b w:val="0"/>
                <w:webHidden/>
              </w:rPr>
              <w:instrText xml:space="preserve"> PAGEREF _Toc4408950 \h </w:instrText>
            </w:r>
            <w:r w:rsidR="00522682" w:rsidRPr="00522682">
              <w:rPr>
                <w:b w:val="0"/>
                <w:webHidden/>
              </w:rPr>
            </w:r>
            <w:r w:rsidR="00522682" w:rsidRPr="00522682">
              <w:rPr>
                <w:b w:val="0"/>
                <w:webHidden/>
              </w:rPr>
              <w:fldChar w:fldCharType="separate"/>
            </w:r>
            <w:r w:rsidR="00FE0A05">
              <w:rPr>
                <w:b w:val="0"/>
                <w:webHidden/>
              </w:rPr>
              <w:t>6</w:t>
            </w:r>
            <w:r w:rsidR="00522682" w:rsidRPr="00522682">
              <w:rPr>
                <w:b w:val="0"/>
                <w:webHidden/>
              </w:rPr>
              <w:fldChar w:fldCharType="end"/>
            </w:r>
          </w:hyperlink>
        </w:p>
        <w:p w14:paraId="646D2D59" w14:textId="0447F426" w:rsidR="00522682" w:rsidRPr="00522682" w:rsidRDefault="00542147">
          <w:pPr>
            <w:pStyle w:val="TOC2"/>
            <w:rPr>
              <w:rFonts w:ascii="Arial" w:hAnsi="Arial" w:cs="Arial"/>
              <w:noProof/>
              <w:sz w:val="20"/>
              <w:szCs w:val="20"/>
            </w:rPr>
          </w:pPr>
          <w:hyperlink w:anchor="_Toc4408952" w:history="1">
            <w:r w:rsidR="00522682" w:rsidRPr="00522682">
              <w:rPr>
                <w:rStyle w:val="Hyperlink"/>
                <w:rFonts w:ascii="Arial" w:hAnsi="Arial" w:cs="Arial"/>
                <w:noProof/>
                <w:sz w:val="20"/>
                <w:szCs w:val="20"/>
              </w:rPr>
              <w:t>Državne potpore i učinak poticaja</w:t>
            </w:r>
            <w:r w:rsidR="00522682" w:rsidRPr="00522682">
              <w:rPr>
                <w:rFonts w:ascii="Arial" w:hAnsi="Arial" w:cs="Arial"/>
                <w:noProof/>
                <w:webHidden/>
                <w:sz w:val="20"/>
                <w:szCs w:val="20"/>
              </w:rPr>
              <w:tab/>
            </w:r>
            <w:r w:rsidR="00522682" w:rsidRPr="00522682">
              <w:rPr>
                <w:rFonts w:ascii="Arial" w:hAnsi="Arial" w:cs="Arial"/>
                <w:noProof/>
                <w:webHidden/>
                <w:sz w:val="20"/>
                <w:szCs w:val="20"/>
              </w:rPr>
              <w:fldChar w:fldCharType="begin"/>
            </w:r>
            <w:r w:rsidR="00522682" w:rsidRPr="00522682">
              <w:rPr>
                <w:rFonts w:ascii="Arial" w:hAnsi="Arial" w:cs="Arial"/>
                <w:noProof/>
                <w:webHidden/>
                <w:sz w:val="20"/>
                <w:szCs w:val="20"/>
              </w:rPr>
              <w:instrText xml:space="preserve"> PAGEREF _Toc4408952 \h </w:instrText>
            </w:r>
            <w:r w:rsidR="00522682" w:rsidRPr="00522682">
              <w:rPr>
                <w:rFonts w:ascii="Arial" w:hAnsi="Arial" w:cs="Arial"/>
                <w:noProof/>
                <w:webHidden/>
                <w:sz w:val="20"/>
                <w:szCs w:val="20"/>
              </w:rPr>
            </w:r>
            <w:r w:rsidR="00522682" w:rsidRPr="00522682">
              <w:rPr>
                <w:rFonts w:ascii="Arial" w:hAnsi="Arial" w:cs="Arial"/>
                <w:noProof/>
                <w:webHidden/>
                <w:sz w:val="20"/>
                <w:szCs w:val="20"/>
              </w:rPr>
              <w:fldChar w:fldCharType="separate"/>
            </w:r>
            <w:r w:rsidR="00FE0A05">
              <w:rPr>
                <w:rFonts w:ascii="Arial" w:hAnsi="Arial" w:cs="Arial"/>
                <w:noProof/>
                <w:webHidden/>
                <w:sz w:val="20"/>
                <w:szCs w:val="20"/>
              </w:rPr>
              <w:t>7</w:t>
            </w:r>
            <w:r w:rsidR="00522682" w:rsidRPr="00522682">
              <w:rPr>
                <w:rFonts w:ascii="Arial" w:hAnsi="Arial" w:cs="Arial"/>
                <w:noProof/>
                <w:webHidden/>
                <w:sz w:val="20"/>
                <w:szCs w:val="20"/>
              </w:rPr>
              <w:fldChar w:fldCharType="end"/>
            </w:r>
          </w:hyperlink>
        </w:p>
        <w:p w14:paraId="4B719C5A" w14:textId="3379BA52" w:rsidR="00522682" w:rsidRPr="00522682" w:rsidRDefault="00542147">
          <w:pPr>
            <w:pStyle w:val="TOC2"/>
            <w:rPr>
              <w:rFonts w:ascii="Arial" w:hAnsi="Arial" w:cs="Arial"/>
              <w:noProof/>
              <w:sz w:val="20"/>
              <w:szCs w:val="20"/>
            </w:rPr>
          </w:pPr>
          <w:hyperlink w:anchor="_Toc4408953" w:history="1">
            <w:r w:rsidR="004869CD" w:rsidRPr="00522682">
              <w:rPr>
                <w:rStyle w:val="Hyperlink"/>
                <w:rFonts w:ascii="Arial" w:hAnsi="Arial" w:cs="Arial"/>
                <w:noProof/>
                <w:sz w:val="20"/>
                <w:szCs w:val="20"/>
              </w:rPr>
              <w:t>Posebni programi u smislu primjene pravila o potporama</w:t>
            </w:r>
            <w:r w:rsidR="004869CD" w:rsidRPr="00522682">
              <w:rPr>
                <w:rFonts w:ascii="Arial" w:hAnsi="Arial" w:cs="Arial"/>
                <w:noProof/>
                <w:webHidden/>
                <w:sz w:val="20"/>
                <w:szCs w:val="20"/>
              </w:rPr>
              <w:tab/>
            </w:r>
            <w:r w:rsidR="004869CD">
              <w:rPr>
                <w:rFonts w:ascii="Arial" w:hAnsi="Arial" w:cs="Arial"/>
                <w:noProof/>
                <w:webHidden/>
                <w:sz w:val="20"/>
                <w:szCs w:val="20"/>
              </w:rPr>
              <w:t>8</w:t>
            </w:r>
          </w:hyperlink>
        </w:p>
        <w:p w14:paraId="60880D8C" w14:textId="5FEDBDF2" w:rsidR="00522682" w:rsidRPr="00522682" w:rsidRDefault="00542147">
          <w:pPr>
            <w:pStyle w:val="TOC3"/>
            <w:tabs>
              <w:tab w:val="left" w:pos="2035"/>
            </w:tabs>
            <w:rPr>
              <w:rFonts w:ascii="Arial" w:hAnsi="Arial" w:cs="Arial"/>
              <w:noProof/>
              <w:sz w:val="20"/>
              <w:szCs w:val="20"/>
            </w:rPr>
          </w:pPr>
          <w:hyperlink w:anchor="_Toc4408954" w:history="1">
            <w:r w:rsidR="004869CD" w:rsidRPr="00522682">
              <w:rPr>
                <w:rStyle w:val="Hyperlink"/>
                <w:rFonts w:ascii="Arial" w:hAnsi="Arial" w:cs="Arial"/>
                <w:bCs/>
                <w:noProof/>
                <w:sz w:val="20"/>
                <w:szCs w:val="20"/>
              </w:rPr>
              <w:t>EU projekti</w:t>
            </w:r>
            <w:r w:rsidR="004869CD" w:rsidRPr="00522682">
              <w:rPr>
                <w:rFonts w:ascii="Arial" w:hAnsi="Arial" w:cs="Arial"/>
                <w:noProof/>
                <w:webHidden/>
                <w:sz w:val="20"/>
                <w:szCs w:val="20"/>
              </w:rPr>
              <w:tab/>
            </w:r>
            <w:r w:rsidR="004869CD">
              <w:rPr>
                <w:rFonts w:ascii="Arial" w:hAnsi="Arial" w:cs="Arial"/>
                <w:noProof/>
                <w:webHidden/>
                <w:sz w:val="20"/>
                <w:szCs w:val="20"/>
              </w:rPr>
              <w:t>8</w:t>
            </w:r>
          </w:hyperlink>
        </w:p>
        <w:p w14:paraId="5E7CA06E" w14:textId="16DAAA1B" w:rsidR="00522682" w:rsidRPr="00522682" w:rsidRDefault="00542147">
          <w:pPr>
            <w:pStyle w:val="TOC3"/>
            <w:tabs>
              <w:tab w:val="left" w:pos="1986"/>
            </w:tabs>
            <w:rPr>
              <w:rFonts w:ascii="Arial" w:hAnsi="Arial" w:cs="Arial"/>
              <w:noProof/>
              <w:sz w:val="20"/>
              <w:szCs w:val="20"/>
            </w:rPr>
          </w:pPr>
          <w:hyperlink w:anchor="_Toc4408955" w:history="1">
            <w:r w:rsidR="00522682" w:rsidRPr="00522682">
              <w:rPr>
                <w:rStyle w:val="Hyperlink"/>
                <w:rFonts w:ascii="Arial" w:hAnsi="Arial" w:cs="Arial"/>
                <w:bCs/>
                <w:noProof/>
                <w:sz w:val="20"/>
                <w:szCs w:val="20"/>
              </w:rPr>
              <w:t>Investicije javnog sektora</w:t>
            </w:r>
            <w:r w:rsidR="00522682" w:rsidRPr="00522682">
              <w:rPr>
                <w:rFonts w:ascii="Arial" w:hAnsi="Arial" w:cs="Arial"/>
                <w:noProof/>
                <w:webHidden/>
                <w:sz w:val="20"/>
                <w:szCs w:val="20"/>
              </w:rPr>
              <w:tab/>
            </w:r>
            <w:r w:rsidR="00522682" w:rsidRPr="00522682">
              <w:rPr>
                <w:rFonts w:ascii="Arial" w:hAnsi="Arial" w:cs="Arial"/>
                <w:noProof/>
                <w:webHidden/>
                <w:sz w:val="20"/>
                <w:szCs w:val="20"/>
              </w:rPr>
              <w:fldChar w:fldCharType="begin"/>
            </w:r>
            <w:r w:rsidR="00522682" w:rsidRPr="00522682">
              <w:rPr>
                <w:rFonts w:ascii="Arial" w:hAnsi="Arial" w:cs="Arial"/>
                <w:noProof/>
                <w:webHidden/>
                <w:sz w:val="20"/>
                <w:szCs w:val="20"/>
              </w:rPr>
              <w:instrText xml:space="preserve"> PAGEREF _Toc4408955 \h </w:instrText>
            </w:r>
            <w:r w:rsidR="00522682" w:rsidRPr="00522682">
              <w:rPr>
                <w:rFonts w:ascii="Arial" w:hAnsi="Arial" w:cs="Arial"/>
                <w:noProof/>
                <w:webHidden/>
                <w:sz w:val="20"/>
                <w:szCs w:val="20"/>
              </w:rPr>
            </w:r>
            <w:r w:rsidR="00522682" w:rsidRPr="00522682">
              <w:rPr>
                <w:rFonts w:ascii="Arial" w:hAnsi="Arial" w:cs="Arial"/>
                <w:noProof/>
                <w:webHidden/>
                <w:sz w:val="20"/>
                <w:szCs w:val="20"/>
              </w:rPr>
              <w:fldChar w:fldCharType="separate"/>
            </w:r>
            <w:r w:rsidR="00FE0A05">
              <w:rPr>
                <w:rFonts w:ascii="Arial" w:hAnsi="Arial" w:cs="Arial"/>
                <w:noProof/>
                <w:webHidden/>
                <w:sz w:val="20"/>
                <w:szCs w:val="20"/>
              </w:rPr>
              <w:t>8</w:t>
            </w:r>
            <w:r w:rsidR="00522682" w:rsidRPr="00522682">
              <w:rPr>
                <w:rFonts w:ascii="Arial" w:hAnsi="Arial" w:cs="Arial"/>
                <w:noProof/>
                <w:webHidden/>
                <w:sz w:val="20"/>
                <w:szCs w:val="20"/>
              </w:rPr>
              <w:fldChar w:fldCharType="end"/>
            </w:r>
          </w:hyperlink>
        </w:p>
        <w:p w14:paraId="6E237D5D" w14:textId="3E9CC4CE" w:rsidR="00522682" w:rsidRPr="00522682" w:rsidRDefault="00542147">
          <w:pPr>
            <w:pStyle w:val="TOC3"/>
            <w:tabs>
              <w:tab w:val="left" w:pos="1986"/>
            </w:tabs>
            <w:rPr>
              <w:rFonts w:ascii="Arial" w:hAnsi="Arial" w:cs="Arial"/>
              <w:noProof/>
              <w:sz w:val="20"/>
              <w:szCs w:val="20"/>
            </w:rPr>
          </w:pPr>
          <w:hyperlink w:anchor="_Toc4408956" w:history="1">
            <w:r w:rsidR="004869CD" w:rsidRPr="00522682">
              <w:rPr>
                <w:rStyle w:val="Hyperlink"/>
                <w:rFonts w:ascii="Arial" w:hAnsi="Arial" w:cs="Arial"/>
                <w:bCs/>
                <w:noProof/>
                <w:sz w:val="20"/>
                <w:szCs w:val="20"/>
              </w:rPr>
              <w:t>Financijsko restrukturiranje</w:t>
            </w:r>
            <w:r w:rsidR="004869CD" w:rsidRPr="00522682">
              <w:rPr>
                <w:rFonts w:ascii="Arial" w:hAnsi="Arial" w:cs="Arial"/>
                <w:noProof/>
                <w:webHidden/>
                <w:sz w:val="20"/>
                <w:szCs w:val="20"/>
              </w:rPr>
              <w:tab/>
            </w:r>
            <w:r w:rsidR="004869CD">
              <w:rPr>
                <w:rFonts w:ascii="Arial" w:hAnsi="Arial" w:cs="Arial"/>
                <w:noProof/>
                <w:webHidden/>
                <w:sz w:val="20"/>
                <w:szCs w:val="20"/>
              </w:rPr>
              <w:t>9</w:t>
            </w:r>
          </w:hyperlink>
        </w:p>
        <w:p w14:paraId="628D5E15" w14:textId="27AF518B" w:rsidR="00522682" w:rsidRPr="00522682" w:rsidRDefault="00542147">
          <w:pPr>
            <w:pStyle w:val="TOC2"/>
            <w:rPr>
              <w:rFonts w:ascii="Arial" w:hAnsi="Arial" w:cs="Arial"/>
              <w:noProof/>
              <w:sz w:val="20"/>
              <w:szCs w:val="20"/>
            </w:rPr>
          </w:pPr>
          <w:hyperlink w:anchor="_Toc4408957" w:history="1">
            <w:r w:rsidR="00522682" w:rsidRPr="00522682">
              <w:rPr>
                <w:rStyle w:val="Hyperlink"/>
                <w:rFonts w:ascii="Arial" w:hAnsi="Arial" w:cs="Arial"/>
                <w:noProof/>
                <w:sz w:val="20"/>
                <w:szCs w:val="20"/>
              </w:rPr>
              <w:t>Izuzeća</w:t>
            </w:r>
            <w:r w:rsidR="00522682" w:rsidRPr="00522682">
              <w:rPr>
                <w:rFonts w:ascii="Arial" w:hAnsi="Arial" w:cs="Arial"/>
                <w:noProof/>
                <w:webHidden/>
                <w:sz w:val="20"/>
                <w:szCs w:val="20"/>
              </w:rPr>
              <w:tab/>
            </w:r>
            <w:r w:rsidR="00522682" w:rsidRPr="00522682">
              <w:rPr>
                <w:rFonts w:ascii="Arial" w:hAnsi="Arial" w:cs="Arial"/>
                <w:noProof/>
                <w:webHidden/>
                <w:sz w:val="20"/>
                <w:szCs w:val="20"/>
              </w:rPr>
              <w:fldChar w:fldCharType="begin"/>
            </w:r>
            <w:r w:rsidR="00522682" w:rsidRPr="00522682">
              <w:rPr>
                <w:rFonts w:ascii="Arial" w:hAnsi="Arial" w:cs="Arial"/>
                <w:noProof/>
                <w:webHidden/>
                <w:sz w:val="20"/>
                <w:szCs w:val="20"/>
              </w:rPr>
              <w:instrText xml:space="preserve"> PAGEREF _Toc4408957 \h </w:instrText>
            </w:r>
            <w:r w:rsidR="00522682" w:rsidRPr="00522682">
              <w:rPr>
                <w:rFonts w:ascii="Arial" w:hAnsi="Arial" w:cs="Arial"/>
                <w:noProof/>
                <w:webHidden/>
                <w:sz w:val="20"/>
                <w:szCs w:val="20"/>
              </w:rPr>
            </w:r>
            <w:r w:rsidR="00522682" w:rsidRPr="00522682">
              <w:rPr>
                <w:rFonts w:ascii="Arial" w:hAnsi="Arial" w:cs="Arial"/>
                <w:noProof/>
                <w:webHidden/>
                <w:sz w:val="20"/>
                <w:szCs w:val="20"/>
              </w:rPr>
              <w:fldChar w:fldCharType="separate"/>
            </w:r>
            <w:r w:rsidR="00FE0A05">
              <w:rPr>
                <w:rFonts w:ascii="Arial" w:hAnsi="Arial" w:cs="Arial"/>
                <w:noProof/>
                <w:webHidden/>
                <w:sz w:val="20"/>
                <w:szCs w:val="20"/>
              </w:rPr>
              <w:t>9</w:t>
            </w:r>
            <w:r w:rsidR="00522682" w:rsidRPr="00522682">
              <w:rPr>
                <w:rFonts w:ascii="Arial" w:hAnsi="Arial" w:cs="Arial"/>
                <w:noProof/>
                <w:webHidden/>
                <w:sz w:val="20"/>
                <w:szCs w:val="20"/>
              </w:rPr>
              <w:fldChar w:fldCharType="end"/>
            </w:r>
          </w:hyperlink>
        </w:p>
        <w:p w14:paraId="645F2ADC" w14:textId="77426199" w:rsidR="00522682" w:rsidRDefault="00542147" w:rsidP="00522682">
          <w:pPr>
            <w:pStyle w:val="TOC1"/>
            <w:rPr>
              <w:rFonts w:asciiTheme="minorHAnsi" w:hAnsiTheme="minorHAnsi" w:cstheme="minorBidi"/>
              <w:sz w:val="22"/>
              <w:szCs w:val="22"/>
            </w:rPr>
          </w:pPr>
          <w:hyperlink w:anchor="_Toc4408958" w:history="1">
            <w:r w:rsidR="00522682" w:rsidRPr="00522682">
              <w:rPr>
                <w:rStyle w:val="Hyperlink"/>
              </w:rPr>
              <w:t>Ostalo</w:t>
            </w:r>
            <w:r w:rsidR="00522682" w:rsidRPr="00522682">
              <w:rPr>
                <w:b w:val="0"/>
                <w:webHidden/>
              </w:rPr>
              <w:tab/>
            </w:r>
            <w:r w:rsidR="00522682" w:rsidRPr="00522682">
              <w:rPr>
                <w:b w:val="0"/>
                <w:webHidden/>
              </w:rPr>
              <w:fldChar w:fldCharType="begin"/>
            </w:r>
            <w:r w:rsidR="00522682" w:rsidRPr="00522682">
              <w:rPr>
                <w:b w:val="0"/>
                <w:webHidden/>
              </w:rPr>
              <w:instrText xml:space="preserve"> PAGEREF _Toc4408958 \h </w:instrText>
            </w:r>
            <w:r w:rsidR="00522682" w:rsidRPr="00522682">
              <w:rPr>
                <w:b w:val="0"/>
                <w:webHidden/>
              </w:rPr>
            </w:r>
            <w:r w:rsidR="00522682" w:rsidRPr="00522682">
              <w:rPr>
                <w:b w:val="0"/>
                <w:webHidden/>
              </w:rPr>
              <w:fldChar w:fldCharType="separate"/>
            </w:r>
            <w:r w:rsidR="00FE0A05">
              <w:rPr>
                <w:b w:val="0"/>
                <w:webHidden/>
              </w:rPr>
              <w:t>9</w:t>
            </w:r>
            <w:r w:rsidR="00522682" w:rsidRPr="00522682">
              <w:rPr>
                <w:b w:val="0"/>
                <w:webHidden/>
              </w:rPr>
              <w:fldChar w:fldCharType="end"/>
            </w:r>
          </w:hyperlink>
        </w:p>
        <w:p w14:paraId="5C690E09" w14:textId="5D189065" w:rsidR="000B1F6C" w:rsidRPr="00781E9C" w:rsidRDefault="000B1F6C" w:rsidP="00522682">
          <w:pPr>
            <w:pStyle w:val="TOC1"/>
            <w:numPr>
              <w:ilvl w:val="0"/>
              <w:numId w:val="0"/>
            </w:numPr>
          </w:pPr>
          <w:r w:rsidRPr="00781E9C">
            <w:fldChar w:fldCharType="end"/>
          </w:r>
        </w:p>
      </w:sdtContent>
    </w:sdt>
    <w:p w14:paraId="454BDD6B" w14:textId="77777777" w:rsidR="00791D51" w:rsidRDefault="00791D51">
      <w:pPr>
        <w:rPr>
          <w:rFonts w:cs="Arial"/>
          <w:b/>
          <w:color w:val="2F5496" w:themeColor="accent1" w:themeShade="BF"/>
          <w:szCs w:val="20"/>
        </w:rPr>
      </w:pPr>
      <w:r>
        <w:rPr>
          <w:rFonts w:cs="Arial"/>
          <w:szCs w:val="20"/>
        </w:rPr>
        <w:br w:type="page"/>
      </w:r>
    </w:p>
    <w:p w14:paraId="02FE4C03" w14:textId="2562405C" w:rsidR="00A7487F" w:rsidRPr="00781E9C" w:rsidRDefault="00E451EA" w:rsidP="00781E9C">
      <w:pPr>
        <w:pStyle w:val="HeadingA"/>
        <w:numPr>
          <w:ilvl w:val="0"/>
          <w:numId w:val="11"/>
        </w:numPr>
        <w:pBdr>
          <w:bottom w:val="single" w:sz="4" w:space="1" w:color="auto"/>
        </w:pBdr>
        <w:spacing w:before="480"/>
        <w:ind w:left="357" w:hanging="357"/>
        <w:outlineLvl w:val="0"/>
        <w:rPr>
          <w:rFonts w:ascii="Arial" w:hAnsi="Arial" w:cs="Arial"/>
        </w:rPr>
      </w:pPr>
      <w:bookmarkStart w:id="7" w:name="_Toc4408940"/>
      <w:bookmarkStart w:id="8" w:name="_Toc534881541"/>
      <w:bookmarkStart w:id="9" w:name="_Hlk1478395"/>
      <w:r w:rsidRPr="00781E9C">
        <w:rPr>
          <w:rFonts w:ascii="Arial" w:hAnsi="Arial" w:cs="Arial"/>
        </w:rPr>
        <w:lastRenderedPageBreak/>
        <w:t>Korisnici kredita</w:t>
      </w:r>
      <w:bookmarkEnd w:id="7"/>
      <w:bookmarkEnd w:id="8"/>
    </w:p>
    <w:bookmarkEnd w:id="9"/>
    <w:p w14:paraId="0EB85DDC" w14:textId="5D608732" w:rsidR="00C23F1E" w:rsidRDefault="00EF0918" w:rsidP="000101CF">
      <w:pPr>
        <w:spacing w:line="276" w:lineRule="auto"/>
        <w:jc w:val="both"/>
        <w:rPr>
          <w:rFonts w:eastAsia="MS Mincho" w:cs="Arial"/>
          <w:bCs/>
          <w:noProof/>
          <w:szCs w:val="20"/>
          <w:lang w:eastAsia="ja-JP" w:bidi="hr-HR"/>
        </w:rPr>
      </w:pPr>
      <w:r w:rsidRPr="000101CF">
        <w:rPr>
          <w:rFonts w:eastAsia="MS Mincho" w:cs="Arial"/>
          <w:bCs/>
          <w:noProof/>
          <w:szCs w:val="20"/>
          <w:lang w:eastAsia="ja-JP" w:bidi="hr-HR"/>
        </w:rPr>
        <w:t>Ovisno o progra</w:t>
      </w:r>
      <w:r w:rsidR="00621757" w:rsidRPr="000101CF">
        <w:rPr>
          <w:rFonts w:eastAsia="MS Mincho" w:cs="Arial"/>
          <w:bCs/>
          <w:noProof/>
          <w:szCs w:val="20"/>
          <w:lang w:eastAsia="ja-JP" w:bidi="hr-HR"/>
        </w:rPr>
        <w:t xml:space="preserve">mu kreditiranja </w:t>
      </w:r>
      <w:r w:rsidR="00C23F1E">
        <w:rPr>
          <w:rFonts w:eastAsia="MS Mincho" w:cs="Arial"/>
          <w:bCs/>
          <w:noProof/>
          <w:szCs w:val="20"/>
          <w:lang w:eastAsia="ja-JP" w:bidi="hr-HR"/>
        </w:rPr>
        <w:t>financiraju se</w:t>
      </w:r>
      <w:r w:rsidR="00621757" w:rsidRPr="000101CF">
        <w:rPr>
          <w:rFonts w:eastAsia="MS Mincho" w:cs="Arial"/>
          <w:bCs/>
          <w:noProof/>
          <w:szCs w:val="20"/>
          <w:lang w:eastAsia="ja-JP" w:bidi="hr-HR"/>
        </w:rPr>
        <w:t xml:space="preserve"> </w:t>
      </w:r>
      <w:r w:rsidR="001B2D65" w:rsidRPr="000101CF">
        <w:rPr>
          <w:rFonts w:eastAsia="MS Mincho" w:cs="Arial"/>
          <w:b/>
          <w:bCs/>
          <w:noProof/>
          <w:szCs w:val="20"/>
          <w:lang w:eastAsia="ja-JP" w:bidi="hr-HR"/>
        </w:rPr>
        <w:t>subjekti privatnog sektora</w:t>
      </w:r>
      <w:r w:rsidRPr="000101CF">
        <w:rPr>
          <w:rFonts w:eastAsia="MS Mincho" w:cs="Arial"/>
          <w:bCs/>
          <w:noProof/>
          <w:szCs w:val="20"/>
          <w:lang w:eastAsia="ja-JP" w:bidi="hr-HR"/>
        </w:rPr>
        <w:t xml:space="preserve"> </w:t>
      </w:r>
      <w:r w:rsidR="00621757" w:rsidRPr="000101CF">
        <w:rPr>
          <w:rFonts w:eastAsia="MS Mincho" w:cs="Arial"/>
          <w:bCs/>
          <w:noProof/>
          <w:szCs w:val="20"/>
          <w:lang w:eastAsia="ja-JP" w:bidi="hr-HR"/>
        </w:rPr>
        <w:t>(obrti, trgovačka društva, obiteljsk</w:t>
      </w:r>
      <w:r w:rsidR="002A17FA">
        <w:rPr>
          <w:rFonts w:eastAsia="MS Mincho" w:cs="Arial"/>
          <w:bCs/>
          <w:noProof/>
          <w:szCs w:val="20"/>
          <w:lang w:eastAsia="ja-JP" w:bidi="hr-HR"/>
        </w:rPr>
        <w:t xml:space="preserve">a poljoprivredna gospodarstva, </w:t>
      </w:r>
      <w:r w:rsidR="00621757" w:rsidRPr="000101CF">
        <w:rPr>
          <w:rFonts w:eastAsia="MS Mincho" w:cs="Arial"/>
          <w:bCs/>
          <w:noProof/>
          <w:szCs w:val="20"/>
          <w:lang w:eastAsia="ja-JP" w:bidi="hr-HR"/>
        </w:rPr>
        <w:t>fizičke osobe koje obavljaju samostalnu djelatnost</w:t>
      </w:r>
      <w:r w:rsidR="002A17FA">
        <w:rPr>
          <w:rFonts w:eastAsia="MS Mincho" w:cs="Arial"/>
          <w:bCs/>
          <w:noProof/>
          <w:szCs w:val="20"/>
          <w:lang w:eastAsia="ja-JP" w:bidi="hr-HR"/>
        </w:rPr>
        <w:t>,</w:t>
      </w:r>
      <w:r w:rsidR="002A17FA" w:rsidRPr="002A17FA">
        <w:rPr>
          <w:rFonts w:eastAsia="MS Mincho" w:cs="Arial"/>
          <w:bCs/>
          <w:noProof/>
          <w:szCs w:val="20"/>
          <w:lang w:eastAsia="ja-JP" w:bidi="hr-HR"/>
        </w:rPr>
        <w:t xml:space="preserve"> </w:t>
      </w:r>
      <w:r w:rsidR="002A17FA">
        <w:rPr>
          <w:rFonts w:eastAsia="MS Mincho" w:cs="Arial"/>
          <w:bCs/>
          <w:noProof/>
          <w:szCs w:val="20"/>
          <w:lang w:eastAsia="ja-JP" w:bidi="hr-HR"/>
        </w:rPr>
        <w:t>zadruge i ustanove</w:t>
      </w:r>
      <w:r w:rsidR="001D2ABF">
        <w:rPr>
          <w:rFonts w:eastAsia="MS Mincho" w:cs="Arial"/>
          <w:bCs/>
          <w:noProof/>
          <w:szCs w:val="20"/>
          <w:lang w:eastAsia="ja-JP" w:bidi="hr-HR"/>
        </w:rPr>
        <w:t>, u privatnom vlasništvu ili u većinskom privatnom vlasništvu</w:t>
      </w:r>
      <w:r w:rsidR="003A544E" w:rsidRPr="000101CF">
        <w:rPr>
          <w:rFonts w:eastAsia="MS Mincho" w:cs="Arial"/>
          <w:bCs/>
          <w:noProof/>
          <w:szCs w:val="20"/>
          <w:lang w:eastAsia="ja-JP" w:bidi="hr-HR"/>
        </w:rPr>
        <w:t xml:space="preserve">) i </w:t>
      </w:r>
      <w:bookmarkStart w:id="10" w:name="_Hlk530735842"/>
      <w:r w:rsidR="003A544E" w:rsidRPr="000101CF">
        <w:rPr>
          <w:rFonts w:eastAsia="MS Mincho" w:cs="Arial"/>
          <w:b/>
          <w:bCs/>
          <w:noProof/>
          <w:szCs w:val="20"/>
          <w:lang w:eastAsia="ja-JP" w:bidi="hr-HR"/>
        </w:rPr>
        <w:t>subjekti javnog sektora</w:t>
      </w:r>
      <w:r w:rsidR="00CA41CD" w:rsidRPr="000101CF">
        <w:rPr>
          <w:rFonts w:eastAsia="MS Mincho" w:cs="Arial"/>
          <w:bCs/>
          <w:noProof/>
          <w:szCs w:val="20"/>
          <w:lang w:eastAsia="ja-JP" w:bidi="hr-HR"/>
        </w:rPr>
        <w:t xml:space="preserve"> (</w:t>
      </w:r>
      <w:r w:rsidR="0043127E">
        <w:rPr>
          <w:rFonts w:eastAsia="MS Mincho" w:cs="Arial"/>
          <w:bCs/>
          <w:noProof/>
          <w:szCs w:val="20"/>
          <w:lang w:eastAsia="ja-JP" w:bidi="hr-HR"/>
        </w:rPr>
        <w:t>jedinice lokalne i područne (regionalne) samouprave (općine, gradovi</w:t>
      </w:r>
      <w:r w:rsidR="0080442B">
        <w:rPr>
          <w:rFonts w:eastAsia="MS Mincho" w:cs="Arial"/>
          <w:bCs/>
          <w:noProof/>
          <w:szCs w:val="20"/>
          <w:lang w:eastAsia="ja-JP" w:bidi="hr-HR"/>
        </w:rPr>
        <w:t xml:space="preserve"> i županije) te društva</w:t>
      </w:r>
      <w:r w:rsidR="00270F8C">
        <w:rPr>
          <w:lang w:eastAsia="ja-JP"/>
        </w:rPr>
        <w:t xml:space="preserve">, </w:t>
      </w:r>
      <w:r w:rsidR="00270F8C" w:rsidRPr="0080442B">
        <w:rPr>
          <w:lang w:eastAsia="ja-JP"/>
        </w:rPr>
        <w:t xml:space="preserve">ustanove i agencije </w:t>
      </w:r>
      <w:r w:rsidR="0043127E" w:rsidRPr="0080442B">
        <w:rPr>
          <w:rFonts w:eastAsia="MS Mincho" w:cs="Arial"/>
          <w:bCs/>
          <w:noProof/>
          <w:szCs w:val="20"/>
          <w:lang w:eastAsia="ja-JP" w:bidi="hr-HR"/>
        </w:rPr>
        <w:t xml:space="preserve">u </w:t>
      </w:r>
      <w:r w:rsidR="0043127E">
        <w:rPr>
          <w:rFonts w:eastAsia="MS Mincho" w:cs="Arial"/>
          <w:bCs/>
          <w:noProof/>
          <w:szCs w:val="20"/>
          <w:lang w:eastAsia="ja-JP" w:bidi="hr-HR"/>
        </w:rPr>
        <w:t>njihovom</w:t>
      </w:r>
      <w:r w:rsidR="001D2ABF">
        <w:rPr>
          <w:rFonts w:eastAsia="MS Mincho" w:cs="Arial"/>
          <w:bCs/>
          <w:noProof/>
          <w:szCs w:val="20"/>
          <w:lang w:eastAsia="ja-JP" w:bidi="hr-HR"/>
        </w:rPr>
        <w:t xml:space="preserve"> vlasništvu ili</w:t>
      </w:r>
      <w:r w:rsidR="0043127E">
        <w:rPr>
          <w:rFonts w:eastAsia="MS Mincho" w:cs="Arial"/>
          <w:bCs/>
          <w:noProof/>
          <w:szCs w:val="20"/>
          <w:lang w:eastAsia="ja-JP" w:bidi="hr-HR"/>
        </w:rPr>
        <w:t xml:space="preserve"> većinskom vlasništvu </w:t>
      </w:r>
      <w:r w:rsidR="00AF3740">
        <w:rPr>
          <w:rFonts w:eastAsia="MS Mincho" w:cs="Arial"/>
          <w:bCs/>
          <w:noProof/>
          <w:szCs w:val="20"/>
          <w:lang w:eastAsia="ja-JP" w:bidi="hr-HR"/>
        </w:rPr>
        <w:t>i/</w:t>
      </w:r>
      <w:r w:rsidR="0043127E">
        <w:rPr>
          <w:rFonts w:eastAsia="MS Mincho" w:cs="Arial"/>
          <w:bCs/>
          <w:noProof/>
          <w:szCs w:val="20"/>
          <w:lang w:eastAsia="ja-JP" w:bidi="hr-HR"/>
        </w:rPr>
        <w:t xml:space="preserve">ili </w:t>
      </w:r>
      <w:r w:rsidR="001D2ABF">
        <w:rPr>
          <w:rFonts w:eastAsia="MS Mincho" w:cs="Arial"/>
          <w:bCs/>
          <w:noProof/>
          <w:szCs w:val="20"/>
          <w:lang w:eastAsia="ja-JP" w:bidi="hr-HR"/>
        </w:rPr>
        <w:t xml:space="preserve">vlasništvu ili </w:t>
      </w:r>
      <w:r w:rsidR="0043127E">
        <w:rPr>
          <w:rFonts w:eastAsia="MS Mincho" w:cs="Arial"/>
          <w:bCs/>
          <w:noProof/>
          <w:szCs w:val="20"/>
          <w:lang w:eastAsia="ja-JP" w:bidi="hr-HR"/>
        </w:rPr>
        <w:t>većinskom vlasništvu RH).</w:t>
      </w:r>
      <w:bookmarkEnd w:id="10"/>
    </w:p>
    <w:p w14:paraId="52C3E49A" w14:textId="77777777" w:rsidR="00C23F1E" w:rsidRDefault="00C23F1E" w:rsidP="000101CF">
      <w:pPr>
        <w:spacing w:line="276" w:lineRule="auto"/>
        <w:jc w:val="both"/>
        <w:rPr>
          <w:rFonts w:eastAsia="MS Mincho" w:cs="Arial"/>
          <w:bCs/>
          <w:noProof/>
          <w:szCs w:val="20"/>
          <w:lang w:eastAsia="ja-JP" w:bidi="hr-HR"/>
        </w:rPr>
      </w:pPr>
    </w:p>
    <w:p w14:paraId="7ABBE567" w14:textId="289970AF" w:rsidR="00C23F1E" w:rsidRDefault="00C23F1E" w:rsidP="000101CF">
      <w:pPr>
        <w:spacing w:line="276" w:lineRule="auto"/>
        <w:jc w:val="both"/>
        <w:rPr>
          <w:rFonts w:cs="Arial"/>
          <w:szCs w:val="20"/>
        </w:rPr>
      </w:pPr>
      <w:r>
        <w:rPr>
          <w:rFonts w:eastAsia="MS Mincho" w:cs="Arial"/>
          <w:bCs/>
          <w:noProof/>
          <w:szCs w:val="20"/>
          <w:lang w:eastAsia="ja-JP" w:bidi="hr-HR"/>
        </w:rPr>
        <w:t xml:space="preserve">Posebni oblici </w:t>
      </w:r>
      <w:r w:rsidR="00E451EA">
        <w:rPr>
          <w:rFonts w:eastAsia="MS Mincho" w:cs="Arial"/>
          <w:bCs/>
          <w:noProof/>
          <w:szCs w:val="20"/>
          <w:lang w:eastAsia="ja-JP" w:bidi="hr-HR"/>
        </w:rPr>
        <w:t>korisnika kredita</w:t>
      </w:r>
      <w:r>
        <w:rPr>
          <w:rFonts w:eastAsia="MS Mincho" w:cs="Arial"/>
          <w:bCs/>
          <w:noProof/>
          <w:szCs w:val="20"/>
          <w:lang w:eastAsia="ja-JP" w:bidi="hr-HR"/>
        </w:rPr>
        <w:t xml:space="preserve"> navedeni su u samim programima. </w:t>
      </w:r>
      <w:r w:rsidR="005129BC">
        <w:rPr>
          <w:rFonts w:cs="Arial"/>
          <w:szCs w:val="20"/>
        </w:rPr>
        <w:t>Kod utvrđivanja veličine poduzetnika uzimaju se u obzir odredbe</w:t>
      </w:r>
      <w:r w:rsidR="000A3360">
        <w:rPr>
          <w:rFonts w:cs="Arial"/>
          <w:szCs w:val="20"/>
        </w:rPr>
        <w:t xml:space="preserve"> Zakon</w:t>
      </w:r>
      <w:r w:rsidR="005129BC">
        <w:rPr>
          <w:rFonts w:cs="Arial"/>
          <w:szCs w:val="20"/>
        </w:rPr>
        <w:t>a</w:t>
      </w:r>
      <w:r w:rsidR="00616F08" w:rsidRPr="000101CF">
        <w:rPr>
          <w:rFonts w:cs="Arial"/>
          <w:szCs w:val="20"/>
        </w:rPr>
        <w:t xml:space="preserve"> o poticanju razvoja malog gospodarstva (NN 29/</w:t>
      </w:r>
      <w:r w:rsidR="00E53BE9">
        <w:rPr>
          <w:rFonts w:cs="Arial"/>
          <w:szCs w:val="20"/>
        </w:rPr>
        <w:t>20</w:t>
      </w:r>
      <w:r w:rsidR="00616F08" w:rsidRPr="000101CF">
        <w:rPr>
          <w:rFonts w:cs="Arial"/>
          <w:szCs w:val="20"/>
        </w:rPr>
        <w:t>02</w:t>
      </w:r>
      <w:r w:rsidR="00E53BE9">
        <w:rPr>
          <w:rFonts w:cs="Arial"/>
          <w:szCs w:val="20"/>
        </w:rPr>
        <w:t>, 63/2007, 53/2012, 56/2013, 121/2016</w:t>
      </w:r>
      <w:r w:rsidR="00616F08" w:rsidRPr="000101CF">
        <w:rPr>
          <w:rFonts w:cs="Arial"/>
          <w:szCs w:val="20"/>
        </w:rPr>
        <w:t>)</w:t>
      </w:r>
      <w:r w:rsidR="00E53BE9">
        <w:rPr>
          <w:rFonts w:cs="Arial"/>
          <w:szCs w:val="20"/>
        </w:rPr>
        <w:t>.</w:t>
      </w:r>
      <w:r w:rsidR="00616F08" w:rsidRPr="000101CF">
        <w:rPr>
          <w:rFonts w:cs="Arial"/>
          <w:szCs w:val="20"/>
        </w:rPr>
        <w:t xml:space="preserve"> </w:t>
      </w:r>
    </w:p>
    <w:p w14:paraId="1E625BE3" w14:textId="77777777" w:rsidR="00C23F1E" w:rsidRDefault="00C23F1E" w:rsidP="000101CF">
      <w:pPr>
        <w:spacing w:line="276" w:lineRule="auto"/>
        <w:jc w:val="both"/>
        <w:rPr>
          <w:rFonts w:cs="Arial"/>
          <w:szCs w:val="20"/>
        </w:rPr>
      </w:pPr>
    </w:p>
    <w:p w14:paraId="20B205C1" w14:textId="30F141C0" w:rsidR="000D6F9B" w:rsidRPr="00C23F1E" w:rsidRDefault="008D148E" w:rsidP="000D6F9B">
      <w:pPr>
        <w:spacing w:line="276" w:lineRule="auto"/>
        <w:jc w:val="both"/>
        <w:rPr>
          <w:rStyle w:val="Heading2Char"/>
          <w:rFonts w:ascii="Arial" w:eastAsia="MS Mincho" w:hAnsi="Arial" w:cs="Arial"/>
          <w:bCs/>
          <w:noProof/>
          <w:color w:val="auto"/>
          <w:sz w:val="20"/>
          <w:szCs w:val="20"/>
          <w:lang w:eastAsia="ja-JP" w:bidi="hr-HR"/>
        </w:rPr>
      </w:pPr>
      <w:r>
        <w:rPr>
          <w:rFonts w:eastAsia="MS Mincho" w:cs="Arial"/>
          <w:bCs/>
          <w:noProof/>
          <w:szCs w:val="20"/>
          <w:lang w:eastAsia="ja-JP" w:bidi="hr-HR"/>
        </w:rPr>
        <w:t>Kreditiranje</w:t>
      </w:r>
      <w:r w:rsidR="00C23F1E">
        <w:rPr>
          <w:rFonts w:eastAsia="MS Mincho" w:cs="Arial"/>
          <w:bCs/>
          <w:noProof/>
          <w:szCs w:val="20"/>
          <w:lang w:eastAsia="ja-JP" w:bidi="hr-HR"/>
        </w:rPr>
        <w:t xml:space="preserve"> korisnika </w:t>
      </w:r>
      <w:r w:rsidR="00235E06">
        <w:rPr>
          <w:rFonts w:eastAsia="MS Mincho" w:cs="Arial"/>
          <w:bCs/>
          <w:noProof/>
          <w:szCs w:val="20"/>
          <w:lang w:eastAsia="ja-JP" w:bidi="hr-HR"/>
        </w:rPr>
        <w:t xml:space="preserve">kredita </w:t>
      </w:r>
      <w:r w:rsidR="00C23F1E">
        <w:rPr>
          <w:rFonts w:eastAsia="MS Mincho" w:cs="Arial"/>
          <w:bCs/>
          <w:noProof/>
          <w:szCs w:val="20"/>
          <w:lang w:eastAsia="ja-JP" w:bidi="hr-HR"/>
        </w:rPr>
        <w:t>provodi se izravno ili u suradnji s poslovnim bankama</w:t>
      </w:r>
      <w:r w:rsidR="00AF55E3">
        <w:rPr>
          <w:rFonts w:eastAsia="MS Mincho" w:cs="Arial"/>
          <w:bCs/>
          <w:noProof/>
          <w:szCs w:val="20"/>
          <w:lang w:eastAsia="ja-JP" w:bidi="hr-HR"/>
        </w:rPr>
        <w:t>.</w:t>
      </w:r>
    </w:p>
    <w:p w14:paraId="5CA002E5" w14:textId="32C03A93" w:rsidR="008E2423" w:rsidRPr="00781E9C" w:rsidRDefault="00E2322A" w:rsidP="00781E9C">
      <w:pPr>
        <w:pStyle w:val="HeadingA"/>
        <w:numPr>
          <w:ilvl w:val="0"/>
          <w:numId w:val="11"/>
        </w:numPr>
        <w:pBdr>
          <w:bottom w:val="single" w:sz="4" w:space="1" w:color="auto"/>
        </w:pBdr>
        <w:spacing w:before="480"/>
        <w:ind w:left="357" w:hanging="357"/>
        <w:outlineLvl w:val="0"/>
        <w:rPr>
          <w:rFonts w:ascii="Arial" w:hAnsi="Arial" w:cs="Arial"/>
        </w:rPr>
      </w:pPr>
      <w:bookmarkStart w:id="11" w:name="_Toc4408941"/>
      <w:bookmarkStart w:id="12" w:name="_Hlk534881011"/>
      <w:bookmarkStart w:id="13" w:name="_Hlk536779873"/>
      <w:bookmarkStart w:id="14" w:name="_Hlk530744351"/>
      <w:r>
        <w:rPr>
          <w:rFonts w:ascii="Arial" w:hAnsi="Arial" w:cs="Arial"/>
        </w:rPr>
        <w:t>Kriteriji za definiranje posebnih korisnika, područja i djelatnosti ulaganja</w:t>
      </w:r>
      <w:bookmarkEnd w:id="11"/>
    </w:p>
    <w:p w14:paraId="700F4200" w14:textId="5EC9431C" w:rsidR="00E2322A" w:rsidRPr="00E2322A" w:rsidRDefault="00E2322A" w:rsidP="00371523">
      <w:pPr>
        <w:pStyle w:val="HeadingA"/>
        <w:numPr>
          <w:ilvl w:val="1"/>
          <w:numId w:val="11"/>
        </w:numPr>
        <w:spacing w:after="0" w:line="276" w:lineRule="auto"/>
        <w:ind w:left="567" w:hanging="567"/>
        <w:outlineLvl w:val="1"/>
        <w:rPr>
          <w:rFonts w:cs="Arial"/>
          <w:b w:val="0"/>
          <w:szCs w:val="20"/>
        </w:rPr>
      </w:pPr>
      <w:bookmarkStart w:id="15" w:name="_Toc4408942"/>
      <w:bookmarkEnd w:id="12"/>
      <w:r>
        <w:rPr>
          <w:rFonts w:ascii="Arial" w:hAnsi="Arial" w:cs="Arial"/>
          <w:sz w:val="20"/>
          <w:szCs w:val="20"/>
        </w:rPr>
        <w:t>Poduzetništvo</w:t>
      </w:r>
      <w:r w:rsidRPr="00AF3740">
        <w:rPr>
          <w:rFonts w:ascii="Arial" w:hAnsi="Arial"/>
          <w:sz w:val="20"/>
        </w:rPr>
        <w:t xml:space="preserve"> mladih, žena i početnika</w:t>
      </w:r>
      <w:bookmarkEnd w:id="15"/>
    </w:p>
    <w:p w14:paraId="2C177EDB" w14:textId="77777777" w:rsidR="00E2322A" w:rsidRPr="00AF3740" w:rsidRDefault="00E2322A" w:rsidP="00AF3740">
      <w:pPr>
        <w:pStyle w:val="HeadingA"/>
        <w:numPr>
          <w:ilvl w:val="0"/>
          <w:numId w:val="0"/>
        </w:numPr>
        <w:spacing w:before="0" w:after="0" w:line="276" w:lineRule="auto"/>
        <w:outlineLvl w:val="1"/>
        <w:rPr>
          <w:b w:val="0"/>
        </w:rPr>
      </w:pPr>
    </w:p>
    <w:p w14:paraId="2D73EF17" w14:textId="093C7989" w:rsidR="0069737D" w:rsidRPr="00941A73" w:rsidRDefault="0069737D" w:rsidP="00941A73">
      <w:pPr>
        <w:spacing w:line="276" w:lineRule="auto"/>
        <w:jc w:val="both"/>
        <w:rPr>
          <w:rFonts w:cs="Arial"/>
          <w:b/>
          <w:szCs w:val="20"/>
        </w:rPr>
      </w:pPr>
      <w:r w:rsidRPr="000101CF">
        <w:rPr>
          <w:rFonts w:cs="Arial"/>
          <w:b/>
          <w:szCs w:val="20"/>
        </w:rPr>
        <w:t>Mladi poduzetnici</w:t>
      </w:r>
      <w:r w:rsidR="00941A73">
        <w:rPr>
          <w:rFonts w:cs="Arial"/>
          <w:b/>
          <w:szCs w:val="20"/>
        </w:rPr>
        <w:t xml:space="preserve"> </w:t>
      </w:r>
      <w:r w:rsidR="00941A73" w:rsidRPr="00EB343A">
        <w:rPr>
          <w:rFonts w:cs="Arial"/>
          <w:szCs w:val="20"/>
        </w:rPr>
        <w:t>-</w:t>
      </w:r>
      <w:r w:rsidR="00941A73">
        <w:rPr>
          <w:rFonts w:cs="Arial"/>
          <w:b/>
          <w:szCs w:val="20"/>
        </w:rPr>
        <w:t xml:space="preserve"> </w:t>
      </w:r>
      <w:r w:rsidR="002C63D6" w:rsidRPr="00941A73">
        <w:rPr>
          <w:rFonts w:cs="Arial"/>
          <w:szCs w:val="20"/>
        </w:rPr>
        <w:t xml:space="preserve">poslovni subjekti </w:t>
      </w:r>
      <w:r w:rsidRPr="00941A73">
        <w:rPr>
          <w:rFonts w:cs="Arial"/>
          <w:szCs w:val="20"/>
        </w:rPr>
        <w:t>u kojima</w:t>
      </w:r>
      <w:r w:rsidR="001953B2" w:rsidRPr="00941A73">
        <w:rPr>
          <w:rFonts w:cs="Arial"/>
          <w:szCs w:val="20"/>
        </w:rPr>
        <w:t xml:space="preserve"> najmanje</w:t>
      </w:r>
      <w:r w:rsidRPr="00941A73">
        <w:rPr>
          <w:rFonts w:cs="Arial"/>
          <w:szCs w:val="20"/>
        </w:rPr>
        <w:t xml:space="preserve"> jedna </w:t>
      </w:r>
      <w:r w:rsidR="00482F11" w:rsidRPr="00941A73">
        <w:rPr>
          <w:rFonts w:cs="Arial"/>
          <w:szCs w:val="20"/>
        </w:rPr>
        <w:t xml:space="preserve">ili više </w:t>
      </w:r>
      <w:r w:rsidR="008C4F1B" w:rsidRPr="00941A73">
        <w:rPr>
          <w:rFonts w:cs="Arial"/>
          <w:szCs w:val="20"/>
        </w:rPr>
        <w:t>mlad</w:t>
      </w:r>
      <w:r w:rsidR="00482F11" w:rsidRPr="00941A73">
        <w:rPr>
          <w:rFonts w:cs="Arial"/>
          <w:szCs w:val="20"/>
        </w:rPr>
        <w:t>ih</w:t>
      </w:r>
      <w:r w:rsidR="008C4F1B" w:rsidRPr="00941A73">
        <w:rPr>
          <w:rFonts w:cs="Arial"/>
          <w:szCs w:val="20"/>
        </w:rPr>
        <w:t xml:space="preserve"> </w:t>
      </w:r>
      <w:r w:rsidRPr="00941A73">
        <w:rPr>
          <w:rFonts w:cs="Arial"/>
          <w:szCs w:val="20"/>
        </w:rPr>
        <w:t>osoba</w:t>
      </w:r>
      <w:r w:rsidR="008C4F1B" w:rsidRPr="00941A73">
        <w:rPr>
          <w:rFonts w:cs="Arial"/>
          <w:szCs w:val="20"/>
        </w:rPr>
        <w:t xml:space="preserve"> (</w:t>
      </w:r>
      <w:r w:rsidR="00AC6FF2" w:rsidRPr="00941A73">
        <w:rPr>
          <w:rFonts w:cs="Arial"/>
          <w:szCs w:val="20"/>
        </w:rPr>
        <w:t xml:space="preserve">u dobnoj skupini do </w:t>
      </w:r>
      <w:r w:rsidR="00482F11" w:rsidRPr="00941A73">
        <w:rPr>
          <w:rFonts w:cs="Arial"/>
          <w:szCs w:val="20"/>
        </w:rPr>
        <w:t xml:space="preserve">navršenih </w:t>
      </w:r>
      <w:r w:rsidR="00816C07">
        <w:rPr>
          <w:rFonts w:cs="Arial"/>
          <w:szCs w:val="20"/>
        </w:rPr>
        <w:t>40</w:t>
      </w:r>
      <w:r w:rsidR="00AC6FF2" w:rsidRPr="00941A73">
        <w:rPr>
          <w:rFonts w:cs="Arial"/>
          <w:szCs w:val="20"/>
        </w:rPr>
        <w:t xml:space="preserve"> godina života</w:t>
      </w:r>
      <w:r w:rsidR="008C4F1B" w:rsidRPr="00941A73">
        <w:rPr>
          <w:rFonts w:cs="Arial"/>
          <w:szCs w:val="20"/>
        </w:rPr>
        <w:t xml:space="preserve"> u trenutku podnošenja zahtjeva za kredit)</w:t>
      </w:r>
      <w:r w:rsidR="00AC6FF2" w:rsidRPr="00941A73">
        <w:rPr>
          <w:rFonts w:cs="Arial"/>
          <w:szCs w:val="20"/>
        </w:rPr>
        <w:t xml:space="preserve"> </w:t>
      </w:r>
      <w:r w:rsidR="00482F11" w:rsidRPr="00941A73">
        <w:rPr>
          <w:rFonts w:cs="Arial"/>
          <w:szCs w:val="20"/>
        </w:rPr>
        <w:t xml:space="preserve">zajedno </w:t>
      </w:r>
      <w:r w:rsidRPr="00941A73">
        <w:rPr>
          <w:rFonts w:cs="Arial"/>
          <w:szCs w:val="20"/>
        </w:rPr>
        <w:t>posjeduj</w:t>
      </w:r>
      <w:r w:rsidR="00482F11" w:rsidRPr="00941A73">
        <w:rPr>
          <w:rFonts w:cs="Arial"/>
          <w:szCs w:val="20"/>
        </w:rPr>
        <w:t>u</w:t>
      </w:r>
      <w:r w:rsidR="008C4F1B" w:rsidRPr="00941A73">
        <w:rPr>
          <w:rFonts w:cs="Arial"/>
          <w:szCs w:val="20"/>
        </w:rPr>
        <w:t xml:space="preserve"> </w:t>
      </w:r>
      <w:r w:rsidR="00F519B5" w:rsidRPr="00941A73">
        <w:rPr>
          <w:rFonts w:cs="Arial"/>
          <w:szCs w:val="20"/>
        </w:rPr>
        <w:t>više od 50%</w:t>
      </w:r>
      <w:r w:rsidRPr="00941A73">
        <w:rPr>
          <w:rFonts w:cs="Arial"/>
          <w:szCs w:val="20"/>
        </w:rPr>
        <w:t xml:space="preserve"> </w:t>
      </w:r>
      <w:r w:rsidR="00284C12" w:rsidRPr="00941A73">
        <w:rPr>
          <w:rFonts w:cs="Arial"/>
          <w:szCs w:val="20"/>
        </w:rPr>
        <w:t>vlasništv</w:t>
      </w:r>
      <w:r w:rsidR="008C4F1B" w:rsidRPr="00941A73">
        <w:rPr>
          <w:rFonts w:cs="Arial"/>
          <w:szCs w:val="20"/>
        </w:rPr>
        <w:t>a</w:t>
      </w:r>
      <w:r w:rsidR="00941A73" w:rsidRPr="00941A73">
        <w:rPr>
          <w:rFonts w:cs="Arial"/>
          <w:szCs w:val="20"/>
        </w:rPr>
        <w:t>.</w:t>
      </w:r>
    </w:p>
    <w:p w14:paraId="7445CCE2" w14:textId="77777777" w:rsidR="0069737D" w:rsidRDefault="0069737D" w:rsidP="000101CF">
      <w:pPr>
        <w:spacing w:line="276" w:lineRule="auto"/>
        <w:jc w:val="both"/>
        <w:rPr>
          <w:rFonts w:eastAsia="MS Mincho" w:cs="Arial"/>
          <w:b/>
          <w:bCs/>
          <w:noProof/>
          <w:szCs w:val="20"/>
          <w:lang w:eastAsia="ja-JP" w:bidi="hr-HR"/>
        </w:rPr>
      </w:pPr>
    </w:p>
    <w:p w14:paraId="3F9C465B" w14:textId="6943F370" w:rsidR="00944E75" w:rsidRPr="00944E75" w:rsidRDefault="0069737D" w:rsidP="00944E75">
      <w:pPr>
        <w:spacing w:line="276" w:lineRule="auto"/>
        <w:jc w:val="both"/>
        <w:rPr>
          <w:rFonts w:cs="Arial"/>
          <w:szCs w:val="20"/>
        </w:rPr>
      </w:pPr>
      <w:bookmarkStart w:id="16" w:name="_Hlk1725227"/>
      <w:r w:rsidRPr="000101CF">
        <w:rPr>
          <w:rFonts w:cs="Arial"/>
          <w:b/>
          <w:szCs w:val="20"/>
        </w:rPr>
        <w:t>Žene poduzetnice</w:t>
      </w:r>
      <w:r w:rsidR="00941A73">
        <w:rPr>
          <w:rFonts w:cs="Arial"/>
          <w:b/>
          <w:szCs w:val="20"/>
        </w:rPr>
        <w:t xml:space="preserve"> </w:t>
      </w:r>
      <w:r w:rsidR="00D61B27" w:rsidRPr="00EB343A">
        <w:rPr>
          <w:rFonts w:cs="Arial"/>
          <w:szCs w:val="20"/>
        </w:rPr>
        <w:t>-</w:t>
      </w:r>
      <w:r w:rsidR="00941A73">
        <w:rPr>
          <w:rFonts w:cs="Arial"/>
          <w:b/>
          <w:szCs w:val="20"/>
        </w:rPr>
        <w:t xml:space="preserve"> </w:t>
      </w:r>
      <w:r w:rsidR="002C63D6" w:rsidRPr="00941A73">
        <w:rPr>
          <w:rFonts w:cs="Arial"/>
          <w:szCs w:val="20"/>
        </w:rPr>
        <w:t xml:space="preserve">poslovni subjekti </w:t>
      </w:r>
      <w:r w:rsidRPr="00941A73">
        <w:rPr>
          <w:rFonts w:cs="Arial"/>
          <w:szCs w:val="20"/>
        </w:rPr>
        <w:t>u kojima</w:t>
      </w:r>
      <w:r w:rsidR="001953B2" w:rsidRPr="00941A73">
        <w:rPr>
          <w:rFonts w:cs="Arial"/>
          <w:szCs w:val="20"/>
        </w:rPr>
        <w:t xml:space="preserve"> najmanje</w:t>
      </w:r>
      <w:r w:rsidRPr="00941A73">
        <w:rPr>
          <w:rFonts w:cs="Arial"/>
          <w:szCs w:val="20"/>
        </w:rPr>
        <w:t xml:space="preserve"> jedna </w:t>
      </w:r>
      <w:r w:rsidR="00482F11" w:rsidRPr="00941A73">
        <w:rPr>
          <w:rFonts w:cs="Arial"/>
          <w:szCs w:val="20"/>
        </w:rPr>
        <w:t xml:space="preserve">ili više </w:t>
      </w:r>
      <w:r w:rsidR="001953B2" w:rsidRPr="00941A73">
        <w:rPr>
          <w:rFonts w:cs="Arial"/>
          <w:szCs w:val="20"/>
        </w:rPr>
        <w:t xml:space="preserve">žena </w:t>
      </w:r>
      <w:r w:rsidR="00482F11" w:rsidRPr="00941A73">
        <w:rPr>
          <w:rFonts w:cs="Arial"/>
          <w:szCs w:val="20"/>
        </w:rPr>
        <w:t xml:space="preserve">zajedno </w:t>
      </w:r>
      <w:r w:rsidRPr="00941A73">
        <w:rPr>
          <w:rFonts w:cs="Arial"/>
          <w:szCs w:val="20"/>
        </w:rPr>
        <w:t>posjeduj</w:t>
      </w:r>
      <w:r w:rsidR="00482F11" w:rsidRPr="00941A73">
        <w:rPr>
          <w:rFonts w:cs="Arial"/>
          <w:szCs w:val="20"/>
        </w:rPr>
        <w:t>u</w:t>
      </w:r>
      <w:r w:rsidRPr="00941A73">
        <w:rPr>
          <w:rFonts w:cs="Arial"/>
          <w:szCs w:val="20"/>
        </w:rPr>
        <w:t xml:space="preserve"> </w:t>
      </w:r>
      <w:r w:rsidR="00F519B5" w:rsidRPr="00941A73">
        <w:rPr>
          <w:rFonts w:cs="Arial"/>
          <w:szCs w:val="20"/>
        </w:rPr>
        <w:t>više od 50%</w:t>
      </w:r>
      <w:r w:rsidRPr="00941A73">
        <w:rPr>
          <w:rFonts w:cs="Arial"/>
          <w:szCs w:val="20"/>
        </w:rPr>
        <w:t xml:space="preserve"> </w:t>
      </w:r>
      <w:r w:rsidR="00284C12" w:rsidRPr="00941A73">
        <w:rPr>
          <w:rFonts w:cs="Arial"/>
          <w:szCs w:val="20"/>
        </w:rPr>
        <w:t>vlasništva</w:t>
      </w:r>
      <w:r w:rsidR="000C77EA">
        <w:rPr>
          <w:rFonts w:cs="Arial"/>
          <w:szCs w:val="20"/>
        </w:rPr>
        <w:t xml:space="preserve"> i kojima ujedno upravlja žena</w:t>
      </w:r>
      <w:r w:rsidR="003C0998">
        <w:rPr>
          <w:rFonts w:cs="Arial"/>
          <w:szCs w:val="20"/>
        </w:rPr>
        <w:t>.</w:t>
      </w:r>
      <w:r w:rsidR="00944E75" w:rsidRPr="00944E75">
        <w:rPr>
          <w:rFonts w:ascii="Calibri" w:eastAsiaTheme="minorHAnsi" w:hAnsi="Calibri" w:cs="Calibri"/>
          <w:color w:val="4472C4"/>
          <w:sz w:val="22"/>
        </w:rPr>
        <w:t xml:space="preserve"> </w:t>
      </w:r>
      <w:r w:rsidR="00944E75" w:rsidRPr="00944E75">
        <w:rPr>
          <w:rFonts w:cs="Arial"/>
          <w:szCs w:val="20"/>
        </w:rPr>
        <w:t>U slučaju poduzeća koje nije mikro ili malo, žena ili žene zajedno mogu imati i manje od 50% vlasništva uz uvjet da je najmanje jedna žena na nekoj od ključnih upravljačkih pozicija vezanoj za financije i/ili operativne poslove i/ili strategiju.</w:t>
      </w:r>
    </w:p>
    <w:bookmarkEnd w:id="16"/>
    <w:p w14:paraId="1CEE0A64" w14:textId="77777777" w:rsidR="000C77EA" w:rsidRPr="00941A73" w:rsidRDefault="000C77EA" w:rsidP="00941A73">
      <w:pPr>
        <w:spacing w:line="276" w:lineRule="auto"/>
        <w:jc w:val="both"/>
        <w:rPr>
          <w:rFonts w:cs="Arial"/>
          <w:b/>
          <w:szCs w:val="20"/>
        </w:rPr>
      </w:pPr>
    </w:p>
    <w:p w14:paraId="6352440A" w14:textId="41C7C1C3" w:rsidR="00284C12" w:rsidRPr="00AF3740" w:rsidRDefault="001B2D65" w:rsidP="00941A73">
      <w:pPr>
        <w:spacing w:line="276" w:lineRule="auto"/>
        <w:jc w:val="both"/>
      </w:pPr>
      <w:r w:rsidRPr="000101CF">
        <w:rPr>
          <w:rFonts w:eastAsia="MS Mincho" w:cs="Arial"/>
          <w:b/>
          <w:bCs/>
          <w:noProof/>
          <w:szCs w:val="20"/>
          <w:lang w:eastAsia="ja-JP" w:bidi="hr-HR"/>
        </w:rPr>
        <w:t>Poduzetnici</w:t>
      </w:r>
      <w:r w:rsidRPr="000101CF">
        <w:rPr>
          <w:rFonts w:cs="Arial"/>
          <w:b/>
          <w:szCs w:val="20"/>
        </w:rPr>
        <w:t xml:space="preserve"> početnici</w:t>
      </w:r>
      <w:r w:rsidR="00941A73">
        <w:rPr>
          <w:rFonts w:cs="Arial"/>
          <w:b/>
          <w:szCs w:val="20"/>
        </w:rPr>
        <w:t xml:space="preserve"> </w:t>
      </w:r>
      <w:r w:rsidR="00941A73" w:rsidRPr="00EB343A">
        <w:rPr>
          <w:rFonts w:cs="Arial"/>
          <w:szCs w:val="20"/>
        </w:rPr>
        <w:t>-</w:t>
      </w:r>
      <w:r w:rsidR="00941A73">
        <w:rPr>
          <w:rFonts w:cs="Arial"/>
          <w:b/>
          <w:szCs w:val="20"/>
        </w:rPr>
        <w:t xml:space="preserve"> </w:t>
      </w:r>
      <w:r w:rsidR="00176EFD" w:rsidRPr="00941A73">
        <w:rPr>
          <w:rFonts w:cs="Arial"/>
          <w:szCs w:val="20"/>
        </w:rPr>
        <w:t>p</w:t>
      </w:r>
      <w:r w:rsidR="00390FC8" w:rsidRPr="00941A73">
        <w:rPr>
          <w:rFonts w:cs="Arial"/>
          <w:szCs w:val="20"/>
        </w:rPr>
        <w:t xml:space="preserve">oduzetnici </w:t>
      </w:r>
      <w:r w:rsidR="005C7052" w:rsidRPr="00941A73">
        <w:rPr>
          <w:rFonts w:cs="Arial"/>
          <w:szCs w:val="20"/>
        </w:rPr>
        <w:t>koji po prvi put osnivaju poslovni subjekt</w:t>
      </w:r>
      <w:r w:rsidR="00941A73">
        <w:rPr>
          <w:rFonts w:cs="Arial"/>
          <w:b/>
          <w:szCs w:val="20"/>
        </w:rPr>
        <w:t xml:space="preserve"> </w:t>
      </w:r>
      <w:r w:rsidR="004947DF" w:rsidRPr="00941A73">
        <w:rPr>
          <w:rFonts w:cs="Arial"/>
          <w:szCs w:val="20"/>
        </w:rPr>
        <w:t>ili</w:t>
      </w:r>
      <w:r w:rsidR="00941A73">
        <w:rPr>
          <w:rFonts w:cs="Arial"/>
          <w:b/>
          <w:szCs w:val="20"/>
        </w:rPr>
        <w:t xml:space="preserve"> </w:t>
      </w:r>
      <w:r w:rsidR="004947DF" w:rsidRPr="00941A73">
        <w:rPr>
          <w:rFonts w:cs="Arial"/>
          <w:szCs w:val="20"/>
        </w:rPr>
        <w:t>poslovni subjekti</w:t>
      </w:r>
      <w:r w:rsidR="00616F08" w:rsidRPr="00941A73">
        <w:rPr>
          <w:rFonts w:cs="Arial"/>
          <w:szCs w:val="20"/>
        </w:rPr>
        <w:t xml:space="preserve"> </w:t>
      </w:r>
      <w:r w:rsidR="00601E82">
        <w:rPr>
          <w:rFonts w:cs="Arial"/>
          <w:szCs w:val="20"/>
        </w:rPr>
        <w:t xml:space="preserve">mikro, malog i srednjeg poduzetništva </w:t>
      </w:r>
      <w:r w:rsidR="004B13B0" w:rsidRPr="00941A73">
        <w:rPr>
          <w:rFonts w:cs="Arial"/>
          <w:szCs w:val="20"/>
        </w:rPr>
        <w:t>koji posluju kra</w:t>
      </w:r>
      <w:r w:rsidR="00390FC8" w:rsidRPr="00941A73">
        <w:rPr>
          <w:rFonts w:cs="Arial"/>
          <w:szCs w:val="20"/>
        </w:rPr>
        <w:t xml:space="preserve">će od </w:t>
      </w:r>
      <w:r w:rsidR="00FF678C" w:rsidRPr="00941A73">
        <w:rPr>
          <w:rFonts w:cs="Arial"/>
          <w:szCs w:val="20"/>
        </w:rPr>
        <w:t>2 (dvije) godine</w:t>
      </w:r>
      <w:r w:rsidR="008C4F1B" w:rsidRPr="00941A73">
        <w:rPr>
          <w:rFonts w:cs="Arial"/>
          <w:szCs w:val="20"/>
        </w:rPr>
        <w:t xml:space="preserve"> u trenutku podnošenja zahtjeva za kredit</w:t>
      </w:r>
      <w:r w:rsidR="00941A73" w:rsidRPr="00941A73">
        <w:rPr>
          <w:rFonts w:cs="Arial"/>
          <w:szCs w:val="20"/>
        </w:rPr>
        <w:t>.</w:t>
      </w:r>
      <w:r w:rsidR="00350C51" w:rsidRPr="00941A73">
        <w:rPr>
          <w:rFonts w:cs="Arial"/>
          <w:szCs w:val="20"/>
        </w:rPr>
        <w:t xml:space="preserve"> </w:t>
      </w:r>
      <w:r w:rsidR="00941A73">
        <w:rPr>
          <w:rFonts w:cs="Arial"/>
          <w:szCs w:val="20"/>
        </w:rPr>
        <w:t xml:space="preserve">Poduzetnici početnici </w:t>
      </w:r>
      <w:r w:rsidR="005C7052" w:rsidRPr="00941A73">
        <w:rPr>
          <w:rFonts w:cs="Arial"/>
          <w:szCs w:val="20"/>
        </w:rPr>
        <w:t xml:space="preserve">nisu </w:t>
      </w:r>
      <w:r w:rsidR="002C63D6" w:rsidRPr="00941A73">
        <w:rPr>
          <w:rFonts w:cs="Arial"/>
          <w:szCs w:val="20"/>
        </w:rPr>
        <w:t xml:space="preserve">ranije bili niti su trenutno </w:t>
      </w:r>
      <w:r w:rsidR="00284C12" w:rsidRPr="00941A73">
        <w:rPr>
          <w:rFonts w:cs="Arial"/>
          <w:szCs w:val="20"/>
        </w:rPr>
        <w:t xml:space="preserve">vlasnici </w:t>
      </w:r>
      <w:r w:rsidR="002C63D6" w:rsidRPr="00941A73">
        <w:rPr>
          <w:rFonts w:cs="Arial"/>
          <w:szCs w:val="20"/>
        </w:rPr>
        <w:t xml:space="preserve">ili </w:t>
      </w:r>
      <w:r w:rsidR="00284C12" w:rsidRPr="00941A73">
        <w:rPr>
          <w:rFonts w:cs="Arial"/>
          <w:szCs w:val="20"/>
        </w:rPr>
        <w:t>suvlasnici drugog poslovnog subjekta s udjelom većim od 30%</w:t>
      </w:r>
      <w:r w:rsidR="00941A73">
        <w:rPr>
          <w:rFonts w:cs="Arial"/>
          <w:szCs w:val="20"/>
        </w:rPr>
        <w:t>.</w:t>
      </w:r>
    </w:p>
    <w:p w14:paraId="4F92BA9A" w14:textId="2D36E409" w:rsidR="00201364" w:rsidRDefault="00E2322A" w:rsidP="00371523">
      <w:pPr>
        <w:pStyle w:val="HeadingA"/>
        <w:numPr>
          <w:ilvl w:val="1"/>
          <w:numId w:val="11"/>
        </w:numPr>
        <w:spacing w:after="0" w:line="276" w:lineRule="auto"/>
        <w:ind w:left="567" w:hanging="567"/>
        <w:outlineLvl w:val="1"/>
        <w:rPr>
          <w:rFonts w:ascii="Arial" w:hAnsi="Arial" w:cs="Arial"/>
          <w:sz w:val="20"/>
          <w:szCs w:val="20"/>
        </w:rPr>
      </w:pPr>
      <w:bookmarkStart w:id="17" w:name="_Toc4408943"/>
      <w:bookmarkEnd w:id="13"/>
      <w:r>
        <w:rPr>
          <w:rFonts w:ascii="Arial" w:hAnsi="Arial" w:cs="Arial"/>
          <w:sz w:val="20"/>
          <w:szCs w:val="20"/>
        </w:rPr>
        <w:t>T</w:t>
      </w:r>
      <w:r w:rsidR="00201364" w:rsidRPr="00E2322A">
        <w:rPr>
          <w:rFonts w:ascii="Arial" w:hAnsi="Arial" w:cs="Arial"/>
          <w:sz w:val="20"/>
          <w:szCs w:val="20"/>
        </w:rPr>
        <w:t xml:space="preserve">ržišno konkurentni </w:t>
      </w:r>
      <w:r>
        <w:rPr>
          <w:rFonts w:ascii="Arial" w:hAnsi="Arial" w:cs="Arial"/>
          <w:sz w:val="20"/>
          <w:szCs w:val="20"/>
        </w:rPr>
        <w:t>subjekti</w:t>
      </w:r>
      <w:bookmarkEnd w:id="17"/>
    </w:p>
    <w:p w14:paraId="1C83BEAF" w14:textId="77777777" w:rsidR="00E2322A" w:rsidRPr="00AF3740" w:rsidRDefault="00E2322A" w:rsidP="00AF3740">
      <w:pPr>
        <w:pStyle w:val="HeadingA"/>
        <w:numPr>
          <w:ilvl w:val="0"/>
          <w:numId w:val="0"/>
        </w:numPr>
        <w:spacing w:before="0" w:after="0" w:line="276" w:lineRule="auto"/>
        <w:outlineLvl w:val="1"/>
        <w:rPr>
          <w:rFonts w:ascii="Arial" w:hAnsi="Arial"/>
          <w:sz w:val="20"/>
        </w:rPr>
      </w:pPr>
    </w:p>
    <w:bookmarkEnd w:id="14"/>
    <w:p w14:paraId="3A559BF4" w14:textId="2790865C" w:rsidR="008207EB" w:rsidRPr="008207EB" w:rsidRDefault="008207EB" w:rsidP="008207EB">
      <w:pPr>
        <w:pStyle w:val="BodyText"/>
        <w:spacing w:line="276" w:lineRule="auto"/>
        <w:jc w:val="both"/>
        <w:rPr>
          <w:rFonts w:ascii="Arial" w:hAnsi="Arial" w:cs="Arial"/>
          <w:sz w:val="20"/>
          <w:lang w:val="hr-HR"/>
        </w:rPr>
      </w:pPr>
      <w:r>
        <w:rPr>
          <w:rFonts w:ascii="Arial" w:hAnsi="Arial" w:cs="Arial"/>
          <w:sz w:val="20"/>
          <w:lang w:val="hr-HR"/>
        </w:rPr>
        <w:t>T</w:t>
      </w:r>
      <w:r w:rsidRPr="008207EB">
        <w:rPr>
          <w:rFonts w:ascii="Arial" w:hAnsi="Arial" w:cs="Arial"/>
          <w:sz w:val="20"/>
          <w:lang w:val="hr-HR"/>
        </w:rPr>
        <w:t xml:space="preserve">ržišna konkurentnost ocjenjuje </w:t>
      </w:r>
      <w:r>
        <w:rPr>
          <w:rFonts w:ascii="Arial" w:hAnsi="Arial" w:cs="Arial"/>
          <w:sz w:val="20"/>
          <w:lang w:val="hr-HR"/>
        </w:rPr>
        <w:t xml:space="preserve">se </w:t>
      </w:r>
      <w:r w:rsidRPr="008207EB">
        <w:rPr>
          <w:rFonts w:ascii="Arial" w:hAnsi="Arial" w:cs="Arial"/>
          <w:sz w:val="20"/>
          <w:lang w:val="hr-HR"/>
        </w:rPr>
        <w:t xml:space="preserve">primjenom i ispunjenjem </w:t>
      </w:r>
      <w:r w:rsidR="0051405D">
        <w:rPr>
          <w:rFonts w:ascii="Arial" w:hAnsi="Arial" w:cs="Arial"/>
          <w:sz w:val="20"/>
          <w:lang w:val="hr-HR"/>
        </w:rPr>
        <w:t xml:space="preserve">svih </w:t>
      </w:r>
      <w:r w:rsidRPr="008207EB">
        <w:rPr>
          <w:rFonts w:ascii="Arial" w:hAnsi="Arial" w:cs="Arial"/>
          <w:sz w:val="20"/>
          <w:lang w:val="hr-HR"/>
        </w:rPr>
        <w:t>sljedećih kriterija:</w:t>
      </w:r>
    </w:p>
    <w:p w14:paraId="2B6EBDD3" w14:textId="77777777" w:rsidR="0051405D" w:rsidRPr="0051405D" w:rsidRDefault="0051405D" w:rsidP="0051405D">
      <w:pPr>
        <w:pStyle w:val="Heading1"/>
        <w:keepLines w:val="0"/>
        <w:numPr>
          <w:ilvl w:val="0"/>
          <w:numId w:val="29"/>
        </w:numPr>
        <w:spacing w:before="0" w:line="276" w:lineRule="auto"/>
        <w:jc w:val="both"/>
        <w:rPr>
          <w:rFonts w:ascii="Arial" w:hAnsi="Arial" w:cs="Arial"/>
          <w:bCs/>
          <w:color w:val="auto"/>
          <w:sz w:val="20"/>
        </w:rPr>
      </w:pPr>
      <w:r w:rsidRPr="0051405D">
        <w:rPr>
          <w:rFonts w:ascii="Arial" w:hAnsi="Arial" w:cs="Arial"/>
          <w:color w:val="auto"/>
          <w:sz w:val="20"/>
        </w:rPr>
        <w:t>poslovni prihodi/primitci veći od poslovnih rashoda/izdataka u prethodnoj godini,</w:t>
      </w:r>
    </w:p>
    <w:p w14:paraId="75D0C83C" w14:textId="5A2C0A4E" w:rsidR="008207EB" w:rsidRPr="008207EB" w:rsidRDefault="008207EB" w:rsidP="008207EB">
      <w:pPr>
        <w:pStyle w:val="ListParagraph"/>
        <w:numPr>
          <w:ilvl w:val="0"/>
          <w:numId w:val="29"/>
        </w:numPr>
        <w:spacing w:line="276" w:lineRule="auto"/>
        <w:contextualSpacing w:val="0"/>
        <w:jc w:val="both"/>
        <w:rPr>
          <w:rFonts w:cs="Arial"/>
          <w:szCs w:val="20"/>
        </w:rPr>
      </w:pPr>
      <w:r w:rsidRPr="008207EB">
        <w:rPr>
          <w:rFonts w:cs="Arial"/>
          <w:szCs w:val="20"/>
        </w:rPr>
        <w:t>tekuća likvidnost veća od 0,</w:t>
      </w:r>
      <w:r w:rsidR="0051405D">
        <w:rPr>
          <w:rFonts w:cs="Arial"/>
          <w:szCs w:val="20"/>
        </w:rPr>
        <w:t>6</w:t>
      </w:r>
      <w:r w:rsidRPr="008207EB">
        <w:rPr>
          <w:rFonts w:cs="Arial"/>
          <w:szCs w:val="20"/>
        </w:rPr>
        <w:t xml:space="preserve"> (kratkotrajna imovina/kratkoročne obveze),</w:t>
      </w:r>
    </w:p>
    <w:p w14:paraId="659E9969" w14:textId="77777777" w:rsidR="008207EB" w:rsidRPr="008207EB" w:rsidRDefault="008207EB" w:rsidP="008207EB">
      <w:pPr>
        <w:pStyle w:val="ListParagraph"/>
        <w:numPr>
          <w:ilvl w:val="0"/>
          <w:numId w:val="29"/>
        </w:numPr>
        <w:spacing w:line="276" w:lineRule="auto"/>
        <w:contextualSpacing w:val="0"/>
        <w:jc w:val="both"/>
        <w:rPr>
          <w:rFonts w:cs="Arial"/>
          <w:szCs w:val="20"/>
        </w:rPr>
      </w:pPr>
      <w:r w:rsidRPr="008207EB">
        <w:rPr>
          <w:rFonts w:cs="Arial"/>
          <w:szCs w:val="20"/>
        </w:rPr>
        <w:t>koeficijent dugoročne financijske stabilnosti manji od 1,2 (dugotrajna imovina u odnosu na kapital, rezerve i dugoročne obveze),</w:t>
      </w:r>
    </w:p>
    <w:p w14:paraId="7F49A040" w14:textId="77777777" w:rsidR="0051405D" w:rsidRPr="0051405D" w:rsidRDefault="0051405D" w:rsidP="0051405D">
      <w:pPr>
        <w:pStyle w:val="Heading1"/>
        <w:keepLines w:val="0"/>
        <w:numPr>
          <w:ilvl w:val="0"/>
          <w:numId w:val="29"/>
        </w:numPr>
        <w:spacing w:before="0" w:line="276" w:lineRule="auto"/>
        <w:jc w:val="both"/>
        <w:rPr>
          <w:rFonts w:ascii="Arial" w:hAnsi="Arial" w:cs="Arial"/>
          <w:color w:val="auto"/>
          <w:sz w:val="20"/>
        </w:rPr>
      </w:pPr>
      <w:r w:rsidRPr="0051405D">
        <w:rPr>
          <w:rFonts w:ascii="Arial" w:hAnsi="Arial" w:cs="Arial"/>
          <w:color w:val="auto"/>
          <w:sz w:val="20"/>
        </w:rPr>
        <w:t>umanjeni valutno inducirani kreditni rizik (najmanje 5% poslovnih prihoda/primitaka na stranim ili međunarodnim tržištima, odnosno ostvarenjem najmanje 5% noćenja inozemnih gostiju od ukupno ostvarenih noćenja u prethodnoj poslovnoj godini).</w:t>
      </w:r>
    </w:p>
    <w:p w14:paraId="32A3AE4B" w14:textId="77777777" w:rsidR="0051405D" w:rsidRDefault="0051405D" w:rsidP="0051405D">
      <w:pPr>
        <w:spacing w:line="276" w:lineRule="auto"/>
        <w:jc w:val="both"/>
        <w:rPr>
          <w:rFonts w:cs="Arial"/>
          <w:szCs w:val="20"/>
        </w:rPr>
      </w:pPr>
    </w:p>
    <w:p w14:paraId="36E015B9" w14:textId="1F4B9BC6" w:rsidR="0051405D" w:rsidRPr="0051405D" w:rsidRDefault="0051405D" w:rsidP="0051405D">
      <w:pPr>
        <w:spacing w:line="276" w:lineRule="auto"/>
        <w:jc w:val="both"/>
        <w:rPr>
          <w:rFonts w:cs="Arial"/>
          <w:szCs w:val="20"/>
        </w:rPr>
      </w:pPr>
      <w:r w:rsidRPr="0051405D">
        <w:rPr>
          <w:rFonts w:cs="Arial"/>
          <w:szCs w:val="20"/>
        </w:rPr>
        <w:t>Iznimno za korisnike kredita koji se bave iznajmljivanjem ležaja odnosno pružanjem usluga smještaja gostiju, umjesto kriterija iz alineje 2. i 3. ovoga stavka može se alternativno uzeti kriterij minimalnog učešća kapitala, rezervi i zadržane dobiti u pasivi bilance u visini od 30%.</w:t>
      </w:r>
    </w:p>
    <w:p w14:paraId="538CB9AE" w14:textId="77777777" w:rsidR="0051405D" w:rsidRDefault="0051405D" w:rsidP="0051405D">
      <w:pPr>
        <w:spacing w:line="276" w:lineRule="auto"/>
        <w:jc w:val="both"/>
        <w:rPr>
          <w:rFonts w:eastAsia="Times New Roman" w:cs="Arial"/>
          <w:szCs w:val="20"/>
          <w:lang w:eastAsia="hr-HR"/>
        </w:rPr>
      </w:pPr>
    </w:p>
    <w:p w14:paraId="0A2ED69E" w14:textId="58BC2AAA" w:rsidR="0051405D" w:rsidRDefault="0051405D" w:rsidP="0051405D">
      <w:pPr>
        <w:spacing w:line="276" w:lineRule="auto"/>
        <w:jc w:val="both"/>
        <w:rPr>
          <w:rFonts w:eastAsia="Times New Roman" w:cs="Arial"/>
          <w:szCs w:val="20"/>
          <w:lang w:eastAsia="hr-HR"/>
        </w:rPr>
      </w:pPr>
      <w:r w:rsidRPr="0051405D">
        <w:rPr>
          <w:rFonts w:eastAsia="Times New Roman" w:cs="Arial"/>
          <w:szCs w:val="20"/>
          <w:lang w:eastAsia="hr-HR"/>
        </w:rPr>
        <w:lastRenderedPageBreak/>
        <w:t>U slučaju da korisnik kredita ostvaruje prihode/primitke u visini manjoj od 5% poslovnih prihoda/primitaka na stranim ili međunarodnim tržištima, a član je grupe koja ostvaruje preko 5% poslovnih prihoda/primitaka na stranim ili međunarodnim tržištima, što je dokumentirano u konsolidiranim financijskim izvješćima grupe, smatrat će se kako je ispunjen kriterij umanjenog valutno induciranog kreditnog rizika.</w:t>
      </w:r>
    </w:p>
    <w:p w14:paraId="45BDAF86" w14:textId="19037383" w:rsidR="0051405D" w:rsidRDefault="0051405D" w:rsidP="0051405D">
      <w:pPr>
        <w:spacing w:line="276" w:lineRule="auto"/>
        <w:jc w:val="both"/>
        <w:rPr>
          <w:rFonts w:eastAsia="Times New Roman" w:cs="Arial"/>
          <w:szCs w:val="20"/>
          <w:lang w:eastAsia="hr-HR"/>
        </w:rPr>
      </w:pPr>
    </w:p>
    <w:p w14:paraId="08F03D48" w14:textId="5C17AD0C" w:rsidR="0051405D" w:rsidRPr="0051405D" w:rsidRDefault="0051405D" w:rsidP="00507305">
      <w:pPr>
        <w:spacing w:line="276" w:lineRule="auto"/>
        <w:jc w:val="both"/>
        <w:rPr>
          <w:rFonts w:eastAsia="Times New Roman" w:cs="Arial"/>
          <w:szCs w:val="20"/>
          <w:lang w:eastAsia="hr-HR"/>
        </w:rPr>
      </w:pPr>
      <w:r w:rsidRPr="0051405D">
        <w:rPr>
          <w:rFonts w:eastAsia="Times New Roman" w:cs="Arial"/>
          <w:szCs w:val="20"/>
          <w:lang w:eastAsia="hr-HR"/>
        </w:rPr>
        <w:t xml:space="preserve">Dokumentacija za utvrđivanje </w:t>
      </w:r>
      <w:r w:rsidR="00507305">
        <w:rPr>
          <w:rFonts w:eastAsia="Times New Roman" w:cs="Arial"/>
          <w:szCs w:val="20"/>
          <w:lang w:eastAsia="hr-HR"/>
        </w:rPr>
        <w:t xml:space="preserve">navedenih kriterija </w:t>
      </w:r>
      <w:r w:rsidRPr="0051405D">
        <w:rPr>
          <w:rFonts w:eastAsia="Times New Roman" w:cs="Arial"/>
          <w:szCs w:val="20"/>
          <w:lang w:eastAsia="hr-HR"/>
        </w:rPr>
        <w:t xml:space="preserve">su financijska izvješća poduzetnika za prethodnu poslovnu godinu (bilanca i račun dobiti i gubitka te za obrtnike prijava poreza na dohodak, ovjereni od nadležnih osoba) te za korisnike kredita iz turističke djelatnosti i </w:t>
      </w:r>
      <w:r w:rsidR="00507305">
        <w:rPr>
          <w:rFonts w:eastAsia="Times New Roman" w:cs="Arial"/>
          <w:szCs w:val="20"/>
          <w:lang w:eastAsia="hr-HR"/>
        </w:rPr>
        <w:t>s</w:t>
      </w:r>
      <w:r w:rsidRPr="0051405D">
        <w:rPr>
          <w:rFonts w:eastAsia="Times New Roman" w:cs="Arial"/>
          <w:szCs w:val="20"/>
          <w:lang w:eastAsia="hr-HR"/>
        </w:rPr>
        <w:t>tatistika o dolascima i noćenjima turista za prethodnu godinu.</w:t>
      </w:r>
    </w:p>
    <w:p w14:paraId="1F7E0FDB" w14:textId="77777777" w:rsidR="0051405D" w:rsidRDefault="0051405D" w:rsidP="00507305">
      <w:pPr>
        <w:pStyle w:val="BodyText"/>
        <w:spacing w:line="276" w:lineRule="auto"/>
        <w:jc w:val="both"/>
        <w:rPr>
          <w:rFonts w:ascii="Arial" w:hAnsi="Arial" w:cs="Arial"/>
          <w:sz w:val="20"/>
          <w:lang w:val="hr-HR"/>
        </w:rPr>
      </w:pPr>
    </w:p>
    <w:p w14:paraId="678665EE" w14:textId="2BD58523" w:rsidR="0051405D" w:rsidRPr="0051405D" w:rsidRDefault="0051405D" w:rsidP="00507305">
      <w:pPr>
        <w:spacing w:line="276" w:lineRule="auto"/>
        <w:jc w:val="both"/>
        <w:rPr>
          <w:rFonts w:eastAsia="Times New Roman" w:cs="Arial"/>
          <w:szCs w:val="20"/>
          <w:lang w:eastAsia="hr-HR"/>
        </w:rPr>
      </w:pPr>
      <w:bookmarkStart w:id="18" w:name="_Hlk18669694"/>
      <w:bookmarkStart w:id="19" w:name="_Toc4408944"/>
      <w:bookmarkStart w:id="20" w:name="_Toc534881544"/>
      <w:r w:rsidRPr="0051405D">
        <w:rPr>
          <w:rFonts w:eastAsia="Times New Roman" w:cs="Arial"/>
          <w:szCs w:val="20"/>
          <w:lang w:eastAsia="hr-HR"/>
        </w:rPr>
        <w:t>Iznimno, za korisnike kredita koji u svojim financijskim izvješćima ne udovoljavaju kriteriju iz alineje 4. ovog stavka (umanjeni valutno inducirani kreditni rizik), ukoliko korisnik kredita može dokazati indirektne prihode/primitke u visini od najmanje 5% poslovnih prihoda/primitaka na stranim ili međunarodnim tržištima ostvarenim preko posrednika, predočenjem računa o isporučenoj robi i izjavom posrednika ovjerenom kod javnog bilježnika pod materijalnom i krivičnom odgovornošću je je gotovu robu od strane korisnika kredita isporučio na strano ili međunarodno tržište u nepromijenjenom obliku, smatra se kako isti ispunjavaju kriterij umanjenog valutno induciranog kreditnog rizika.</w:t>
      </w:r>
    </w:p>
    <w:bookmarkEnd w:id="18"/>
    <w:p w14:paraId="2EFA9224" w14:textId="6095723F" w:rsidR="00E9056A" w:rsidRPr="00E2322A" w:rsidRDefault="00E2322A" w:rsidP="00371523">
      <w:pPr>
        <w:pStyle w:val="HeadingA"/>
        <w:numPr>
          <w:ilvl w:val="1"/>
          <w:numId w:val="11"/>
        </w:numPr>
        <w:spacing w:after="0" w:line="276" w:lineRule="auto"/>
        <w:ind w:left="567" w:hanging="567"/>
        <w:outlineLvl w:val="1"/>
        <w:rPr>
          <w:rFonts w:ascii="Arial" w:hAnsi="Arial" w:cs="Arial"/>
          <w:sz w:val="20"/>
          <w:szCs w:val="20"/>
        </w:rPr>
      </w:pPr>
      <w:r>
        <w:rPr>
          <w:rFonts w:ascii="Arial" w:hAnsi="Arial" w:cs="Arial"/>
          <w:sz w:val="20"/>
          <w:szCs w:val="20"/>
        </w:rPr>
        <w:t>P</w:t>
      </w:r>
      <w:r w:rsidR="00201364" w:rsidRPr="00E2322A">
        <w:rPr>
          <w:rFonts w:ascii="Arial" w:hAnsi="Arial" w:cs="Arial"/>
          <w:sz w:val="20"/>
          <w:szCs w:val="20"/>
        </w:rPr>
        <w:t>osebn</w:t>
      </w:r>
      <w:r>
        <w:rPr>
          <w:rFonts w:ascii="Arial" w:hAnsi="Arial" w:cs="Arial"/>
          <w:sz w:val="20"/>
          <w:szCs w:val="20"/>
        </w:rPr>
        <w:t>a</w:t>
      </w:r>
      <w:r w:rsidR="00201364" w:rsidRPr="00AF3740">
        <w:rPr>
          <w:rFonts w:ascii="Arial" w:hAnsi="Arial"/>
          <w:sz w:val="20"/>
        </w:rPr>
        <w:t xml:space="preserve"> p</w:t>
      </w:r>
      <w:r w:rsidR="00E9056A" w:rsidRPr="00AF3740">
        <w:rPr>
          <w:rFonts w:ascii="Arial" w:hAnsi="Arial"/>
          <w:sz w:val="20"/>
        </w:rPr>
        <w:t>odručja</w:t>
      </w:r>
      <w:r w:rsidR="00235E06" w:rsidRPr="00AF3740">
        <w:rPr>
          <w:rFonts w:ascii="Arial" w:hAnsi="Arial"/>
          <w:sz w:val="20"/>
        </w:rPr>
        <w:t xml:space="preserve"> RH</w:t>
      </w:r>
      <w:bookmarkEnd w:id="19"/>
      <w:bookmarkEnd w:id="20"/>
    </w:p>
    <w:p w14:paraId="73FA39A1" w14:textId="77777777" w:rsidR="00E2322A" w:rsidRPr="00AF3740" w:rsidRDefault="00E2322A" w:rsidP="00AF3740">
      <w:pPr>
        <w:spacing w:line="276" w:lineRule="auto"/>
        <w:jc w:val="both"/>
      </w:pPr>
    </w:p>
    <w:p w14:paraId="5DC52A32" w14:textId="5C16DBC7" w:rsidR="00E9056A" w:rsidRPr="000101CF" w:rsidRDefault="00E9056A" w:rsidP="000101CF">
      <w:pPr>
        <w:spacing w:line="276" w:lineRule="auto"/>
        <w:jc w:val="both"/>
        <w:rPr>
          <w:rFonts w:cs="Arial"/>
          <w:szCs w:val="20"/>
        </w:rPr>
      </w:pPr>
      <w:r w:rsidRPr="000101CF">
        <w:rPr>
          <w:rFonts w:cs="Arial"/>
          <w:b/>
          <w:szCs w:val="20"/>
        </w:rPr>
        <w:t>Područja posebne državne skrbi</w:t>
      </w:r>
      <w:r w:rsidRPr="000101CF">
        <w:rPr>
          <w:rFonts w:cs="Arial"/>
          <w:szCs w:val="20"/>
        </w:rPr>
        <w:t xml:space="preserve"> - sukladno Zakonu o područjima posebne državne skrbi (NN 86/</w:t>
      </w:r>
      <w:r w:rsidR="00E53BE9">
        <w:rPr>
          <w:rFonts w:cs="Arial"/>
          <w:szCs w:val="20"/>
        </w:rPr>
        <w:t>20</w:t>
      </w:r>
      <w:r w:rsidRPr="000101CF">
        <w:rPr>
          <w:rFonts w:cs="Arial"/>
          <w:szCs w:val="20"/>
        </w:rPr>
        <w:t>08</w:t>
      </w:r>
      <w:r w:rsidR="00E53BE9">
        <w:rPr>
          <w:rFonts w:cs="Arial"/>
          <w:szCs w:val="20"/>
        </w:rPr>
        <w:t>, 57/2011, 51/2013, 148/2013, 76/2014, 147/2014, 18/2015</w:t>
      </w:r>
      <w:r w:rsidRPr="000101CF">
        <w:rPr>
          <w:rFonts w:cs="Arial"/>
          <w:szCs w:val="20"/>
        </w:rPr>
        <w:t>)</w:t>
      </w:r>
      <w:r w:rsidR="00E53BE9">
        <w:rPr>
          <w:rFonts w:cs="Arial"/>
          <w:szCs w:val="20"/>
        </w:rPr>
        <w:t>.</w:t>
      </w:r>
    </w:p>
    <w:p w14:paraId="252A5C02" w14:textId="77777777" w:rsidR="00FF1E16" w:rsidRDefault="00FF1E16" w:rsidP="000101CF">
      <w:pPr>
        <w:spacing w:line="276" w:lineRule="auto"/>
        <w:jc w:val="both"/>
        <w:rPr>
          <w:rFonts w:cs="Arial"/>
          <w:b/>
          <w:szCs w:val="20"/>
        </w:rPr>
      </w:pPr>
    </w:p>
    <w:p w14:paraId="6FF0A610" w14:textId="40349441" w:rsidR="00E9056A" w:rsidRPr="000101CF" w:rsidRDefault="00E9056A" w:rsidP="000101CF">
      <w:pPr>
        <w:spacing w:line="276" w:lineRule="auto"/>
        <w:jc w:val="both"/>
        <w:rPr>
          <w:rFonts w:cs="Arial"/>
          <w:szCs w:val="20"/>
        </w:rPr>
      </w:pPr>
      <w:r w:rsidRPr="000101CF">
        <w:rPr>
          <w:rFonts w:cs="Arial"/>
          <w:b/>
          <w:szCs w:val="20"/>
        </w:rPr>
        <w:t>Potpomognuta područja</w:t>
      </w:r>
      <w:r w:rsidRPr="000101CF">
        <w:rPr>
          <w:rFonts w:cs="Arial"/>
          <w:szCs w:val="20"/>
        </w:rPr>
        <w:t xml:space="preserve"> - jedinice lokalne samouprave razvrstane u I., II</w:t>
      </w:r>
      <w:r w:rsidR="00BB0211">
        <w:rPr>
          <w:rFonts w:cs="Arial"/>
          <w:szCs w:val="20"/>
        </w:rPr>
        <w:t>.</w:t>
      </w:r>
      <w:r w:rsidRPr="000101CF">
        <w:rPr>
          <w:rFonts w:cs="Arial"/>
          <w:szCs w:val="20"/>
        </w:rPr>
        <w:t>, III</w:t>
      </w:r>
      <w:r w:rsidR="00BB0211">
        <w:rPr>
          <w:rFonts w:cs="Arial"/>
          <w:szCs w:val="20"/>
        </w:rPr>
        <w:t>.</w:t>
      </w:r>
      <w:r w:rsidRPr="000101CF">
        <w:rPr>
          <w:rFonts w:cs="Arial"/>
          <w:szCs w:val="20"/>
        </w:rPr>
        <w:t xml:space="preserve"> i IV. skupinu sukladno Zakonu o regionalnom razvoju Republike Hrvatske (NN 147/</w:t>
      </w:r>
      <w:r w:rsidR="00E53BE9">
        <w:rPr>
          <w:rFonts w:cs="Arial"/>
          <w:szCs w:val="20"/>
        </w:rPr>
        <w:t>20</w:t>
      </w:r>
      <w:r w:rsidRPr="000101CF">
        <w:rPr>
          <w:rFonts w:cs="Arial"/>
          <w:szCs w:val="20"/>
        </w:rPr>
        <w:t>14</w:t>
      </w:r>
      <w:r w:rsidR="00E53BE9">
        <w:rPr>
          <w:rFonts w:cs="Arial"/>
          <w:szCs w:val="20"/>
        </w:rPr>
        <w:t>, 123/2017</w:t>
      </w:r>
      <w:r w:rsidRPr="000101CF">
        <w:rPr>
          <w:rFonts w:cs="Arial"/>
          <w:szCs w:val="20"/>
        </w:rPr>
        <w:t>) i Odluci o razvrstavanju jedinica lokalne i područne (regionalne) samouprave prema stupnju razvijenosti (NN 132/2017)</w:t>
      </w:r>
      <w:r w:rsidR="00E53BE9">
        <w:rPr>
          <w:rFonts w:cs="Arial"/>
          <w:szCs w:val="20"/>
        </w:rPr>
        <w:t>.</w:t>
      </w:r>
    </w:p>
    <w:p w14:paraId="772F3F36" w14:textId="77777777" w:rsidR="00FF1E16" w:rsidRDefault="00FF1E16" w:rsidP="000101CF">
      <w:pPr>
        <w:spacing w:line="276" w:lineRule="auto"/>
        <w:jc w:val="both"/>
        <w:rPr>
          <w:rFonts w:cs="Arial"/>
          <w:b/>
          <w:szCs w:val="20"/>
        </w:rPr>
      </w:pPr>
    </w:p>
    <w:p w14:paraId="7E1FB536" w14:textId="379FAAE0" w:rsidR="00665DBC" w:rsidRPr="000101CF" w:rsidRDefault="00665DBC" w:rsidP="000101CF">
      <w:pPr>
        <w:spacing w:line="276" w:lineRule="auto"/>
        <w:jc w:val="both"/>
        <w:rPr>
          <w:rFonts w:cs="Arial"/>
          <w:szCs w:val="20"/>
        </w:rPr>
      </w:pPr>
      <w:r w:rsidRPr="000101CF">
        <w:rPr>
          <w:rFonts w:cs="Arial"/>
          <w:b/>
          <w:szCs w:val="20"/>
        </w:rPr>
        <w:t>Brdsko-planinska područja</w:t>
      </w:r>
      <w:r w:rsidRPr="000101CF">
        <w:rPr>
          <w:rFonts w:cs="Arial"/>
          <w:szCs w:val="20"/>
        </w:rPr>
        <w:t xml:space="preserve"> - sukladno Zakonu o brdsko-planinskim područjima (NN 12/</w:t>
      </w:r>
      <w:r w:rsidR="00E53BE9">
        <w:rPr>
          <w:rFonts w:cs="Arial"/>
          <w:szCs w:val="20"/>
        </w:rPr>
        <w:t>20</w:t>
      </w:r>
      <w:r w:rsidRPr="000101CF">
        <w:rPr>
          <w:rFonts w:cs="Arial"/>
          <w:szCs w:val="20"/>
        </w:rPr>
        <w:t>02</w:t>
      </w:r>
      <w:r w:rsidR="00E53BE9">
        <w:rPr>
          <w:rFonts w:cs="Arial"/>
          <w:szCs w:val="20"/>
        </w:rPr>
        <w:t>, 32/2002, 117/2003, 42/2005, 90/2005, 80/2008, 148/2013, 147/2014</w:t>
      </w:r>
      <w:r w:rsidR="00E1788E">
        <w:rPr>
          <w:rFonts w:cs="Arial"/>
          <w:szCs w:val="20"/>
        </w:rPr>
        <w:t xml:space="preserve">) i </w:t>
      </w:r>
      <w:bookmarkStart w:id="21" w:name="_Hlk11074008"/>
      <w:r w:rsidR="00E1788E" w:rsidRPr="00E1788E">
        <w:rPr>
          <w:rFonts w:cs="Arial"/>
          <w:szCs w:val="20"/>
        </w:rPr>
        <w:t>Odlu</w:t>
      </w:r>
      <w:r w:rsidR="00925271">
        <w:rPr>
          <w:rFonts w:cs="Arial"/>
          <w:szCs w:val="20"/>
        </w:rPr>
        <w:t>ci</w:t>
      </w:r>
      <w:r w:rsidR="00E1788E" w:rsidRPr="00E1788E">
        <w:rPr>
          <w:rFonts w:cs="Arial"/>
          <w:szCs w:val="20"/>
        </w:rPr>
        <w:t xml:space="preserve"> o obuhvatu i razvrstavanju jedinica lokalne samouprave koje stječu status brdsko-planinskog područja</w:t>
      </w:r>
      <w:r w:rsidR="00E1788E">
        <w:rPr>
          <w:rFonts w:cs="Arial"/>
          <w:szCs w:val="20"/>
        </w:rPr>
        <w:t xml:space="preserve"> (NN </w:t>
      </w:r>
      <w:r w:rsidR="006E5513">
        <w:rPr>
          <w:rFonts w:cs="Arial"/>
          <w:szCs w:val="20"/>
        </w:rPr>
        <w:t>24</w:t>
      </w:r>
      <w:r w:rsidR="00E1788E">
        <w:rPr>
          <w:rFonts w:cs="Arial"/>
          <w:szCs w:val="20"/>
        </w:rPr>
        <w:t>/</w:t>
      </w:r>
      <w:r w:rsidR="006E5513">
        <w:rPr>
          <w:rFonts w:cs="Arial"/>
          <w:szCs w:val="20"/>
        </w:rPr>
        <w:t>2019</w:t>
      </w:r>
      <w:r w:rsidR="00E1788E">
        <w:rPr>
          <w:rFonts w:cs="Arial"/>
          <w:szCs w:val="20"/>
        </w:rPr>
        <w:t>)</w:t>
      </w:r>
      <w:r w:rsidR="00E53BE9">
        <w:rPr>
          <w:rFonts w:cs="Arial"/>
          <w:szCs w:val="20"/>
        </w:rPr>
        <w:t>.</w:t>
      </w:r>
    </w:p>
    <w:bookmarkEnd w:id="21"/>
    <w:p w14:paraId="09796070" w14:textId="77777777" w:rsidR="00FF1E16" w:rsidRDefault="00FF1E16" w:rsidP="000101CF">
      <w:pPr>
        <w:spacing w:line="276" w:lineRule="auto"/>
        <w:jc w:val="both"/>
        <w:rPr>
          <w:rFonts w:cs="Arial"/>
          <w:b/>
          <w:szCs w:val="20"/>
        </w:rPr>
      </w:pPr>
    </w:p>
    <w:p w14:paraId="2177CD22" w14:textId="22634881" w:rsidR="0051405D" w:rsidRDefault="00665DBC" w:rsidP="000101CF">
      <w:pPr>
        <w:spacing w:line="276" w:lineRule="auto"/>
        <w:jc w:val="both"/>
        <w:rPr>
          <w:rFonts w:cs="Arial"/>
          <w:szCs w:val="20"/>
        </w:rPr>
      </w:pPr>
      <w:r w:rsidRPr="000101CF">
        <w:rPr>
          <w:rFonts w:cs="Arial"/>
          <w:b/>
          <w:szCs w:val="20"/>
        </w:rPr>
        <w:t>Otoci</w:t>
      </w:r>
      <w:r w:rsidRPr="000101CF">
        <w:rPr>
          <w:rFonts w:cs="Arial"/>
          <w:szCs w:val="20"/>
        </w:rPr>
        <w:t xml:space="preserve"> - sukladno Zakonu o otocima (NN </w:t>
      </w:r>
      <w:r w:rsidR="003C74C8">
        <w:rPr>
          <w:rFonts w:cs="Arial"/>
          <w:szCs w:val="20"/>
        </w:rPr>
        <w:t>116/2018</w:t>
      </w:r>
      <w:r w:rsidRPr="000101CF">
        <w:rPr>
          <w:rFonts w:cs="Arial"/>
          <w:szCs w:val="20"/>
        </w:rPr>
        <w:t>)</w:t>
      </w:r>
      <w:r w:rsidR="00E53BE9">
        <w:rPr>
          <w:rFonts w:cs="Arial"/>
          <w:szCs w:val="20"/>
        </w:rPr>
        <w:t>.</w:t>
      </w:r>
    </w:p>
    <w:p w14:paraId="55E149F7" w14:textId="77777777" w:rsidR="0051405D" w:rsidRDefault="0051405D">
      <w:pPr>
        <w:rPr>
          <w:rFonts w:cs="Arial"/>
          <w:szCs w:val="20"/>
        </w:rPr>
      </w:pPr>
      <w:r>
        <w:rPr>
          <w:rFonts w:cs="Arial"/>
          <w:szCs w:val="20"/>
        </w:rPr>
        <w:br w:type="page"/>
      </w:r>
    </w:p>
    <w:p w14:paraId="2B586EF4" w14:textId="58BF7062" w:rsidR="00E2322A" w:rsidRDefault="00E2322A" w:rsidP="00371523">
      <w:pPr>
        <w:pStyle w:val="HeadingA"/>
        <w:numPr>
          <w:ilvl w:val="1"/>
          <w:numId w:val="11"/>
        </w:numPr>
        <w:spacing w:after="0" w:line="276" w:lineRule="auto"/>
        <w:ind w:left="567" w:hanging="567"/>
        <w:outlineLvl w:val="1"/>
        <w:rPr>
          <w:rFonts w:ascii="Arial" w:hAnsi="Arial" w:cs="Arial"/>
          <w:sz w:val="20"/>
          <w:szCs w:val="20"/>
        </w:rPr>
      </w:pPr>
      <w:bookmarkStart w:id="22" w:name="_Toc4408945"/>
      <w:r>
        <w:rPr>
          <w:rFonts w:ascii="Arial" w:hAnsi="Arial" w:cs="Arial"/>
          <w:sz w:val="20"/>
          <w:szCs w:val="20"/>
        </w:rPr>
        <w:lastRenderedPageBreak/>
        <w:t>Djelatnosti od posebnog interesa</w:t>
      </w:r>
      <w:bookmarkEnd w:id="22"/>
    </w:p>
    <w:p w14:paraId="3E567FC5" w14:textId="21862CF6" w:rsidR="008542FF" w:rsidRPr="00522682" w:rsidRDefault="008542FF" w:rsidP="00522682">
      <w:pPr>
        <w:spacing w:line="276" w:lineRule="auto"/>
        <w:jc w:val="both"/>
        <w:rPr>
          <w:rFonts w:cs="Arial"/>
          <w:b/>
          <w:szCs w:val="20"/>
        </w:rPr>
      </w:pPr>
    </w:p>
    <w:p w14:paraId="337792EA" w14:textId="2EA03D81" w:rsidR="008542FF" w:rsidRPr="008542FF" w:rsidRDefault="008542FF" w:rsidP="009C4642">
      <w:pPr>
        <w:pStyle w:val="HeadingA"/>
        <w:numPr>
          <w:ilvl w:val="0"/>
          <w:numId w:val="0"/>
        </w:numPr>
        <w:spacing w:before="0" w:after="0" w:line="276" w:lineRule="auto"/>
        <w:jc w:val="both"/>
        <w:outlineLvl w:val="1"/>
        <w:rPr>
          <w:rFonts w:ascii="Arial" w:hAnsi="Arial" w:cs="Arial"/>
          <w:b w:val="0"/>
          <w:color w:val="auto"/>
          <w:sz w:val="20"/>
          <w:szCs w:val="20"/>
        </w:rPr>
      </w:pPr>
      <w:bookmarkStart w:id="23" w:name="_Toc4408946"/>
      <w:r w:rsidRPr="008542FF">
        <w:rPr>
          <w:rFonts w:ascii="Arial" w:hAnsi="Arial" w:cs="Arial"/>
          <w:b w:val="0"/>
          <w:color w:val="auto"/>
          <w:sz w:val="20"/>
          <w:szCs w:val="20"/>
        </w:rPr>
        <w:t>Djelatnosti od posebnog interesa</w:t>
      </w:r>
      <w:r>
        <w:rPr>
          <w:rFonts w:ascii="Arial" w:hAnsi="Arial" w:cs="Arial"/>
          <w:b w:val="0"/>
          <w:color w:val="auto"/>
          <w:sz w:val="20"/>
          <w:szCs w:val="20"/>
        </w:rPr>
        <w:t xml:space="preserve"> odnose se na ulaganje (investiciju), </w:t>
      </w:r>
      <w:r w:rsidR="009C4642">
        <w:rPr>
          <w:rFonts w:ascii="Arial" w:hAnsi="Arial" w:cs="Arial"/>
          <w:b w:val="0"/>
          <w:color w:val="auto"/>
          <w:sz w:val="20"/>
          <w:szCs w:val="20"/>
        </w:rPr>
        <w:t>a navedene su u tablici prema područjima Nacionalne klasifikacije djelatnosti. Unutar navedenih područja postoje djelatnosti koje nisu djelatnosti od posebnog interesa</w:t>
      </w:r>
      <w:r w:rsidR="00522682">
        <w:rPr>
          <w:rFonts w:ascii="Arial" w:hAnsi="Arial" w:cs="Arial"/>
          <w:b w:val="0"/>
          <w:color w:val="auto"/>
          <w:sz w:val="20"/>
          <w:szCs w:val="20"/>
        </w:rPr>
        <w:t xml:space="preserve"> i/ili se radi o djelatnostima i namjenama koje nisu prihvatljive za financiranje</w:t>
      </w:r>
      <w:bookmarkEnd w:id="23"/>
      <w:r w:rsidR="00522682">
        <w:rPr>
          <w:rFonts w:ascii="Arial" w:hAnsi="Arial" w:cs="Arial"/>
          <w:b w:val="0"/>
          <w:color w:val="auto"/>
          <w:sz w:val="20"/>
          <w:szCs w:val="20"/>
        </w:rPr>
        <w:t xml:space="preserve">. Ove djelatnosti navedene su u </w:t>
      </w:r>
      <w:r w:rsidR="0051405D">
        <w:rPr>
          <w:rFonts w:ascii="Arial" w:hAnsi="Arial" w:cs="Arial"/>
          <w:b w:val="0"/>
          <w:color w:val="auto"/>
          <w:sz w:val="20"/>
          <w:szCs w:val="20"/>
        </w:rPr>
        <w:t xml:space="preserve">sljedećoj </w:t>
      </w:r>
      <w:r w:rsidR="00522682">
        <w:rPr>
          <w:rFonts w:ascii="Arial" w:hAnsi="Arial" w:cs="Arial"/>
          <w:b w:val="0"/>
          <w:color w:val="auto"/>
          <w:sz w:val="20"/>
          <w:szCs w:val="20"/>
        </w:rPr>
        <w:t>tablici pod Izuzeća.</w:t>
      </w:r>
      <w:r w:rsidR="009C4642">
        <w:rPr>
          <w:rFonts w:ascii="Arial" w:hAnsi="Arial" w:cs="Arial"/>
          <w:b w:val="0"/>
          <w:color w:val="auto"/>
          <w:sz w:val="20"/>
          <w:szCs w:val="20"/>
        </w:rPr>
        <w:t xml:space="preserve"> </w:t>
      </w:r>
    </w:p>
    <w:p w14:paraId="40AB62B9" w14:textId="40CB59D3" w:rsidR="00582B35" w:rsidRPr="004B491D" w:rsidRDefault="00582B35" w:rsidP="004B491D">
      <w:pPr>
        <w:pStyle w:val="HeadingA"/>
        <w:numPr>
          <w:ilvl w:val="0"/>
          <w:numId w:val="0"/>
        </w:numPr>
        <w:spacing w:before="0" w:after="0" w:line="276" w:lineRule="auto"/>
        <w:ind w:left="720" w:hanging="720"/>
        <w:outlineLvl w:val="1"/>
        <w:rPr>
          <w:rFonts w:ascii="Arial" w:hAnsi="Arial" w:cs="Arial"/>
          <w:color w:val="auto"/>
          <w:sz w:val="20"/>
          <w:szCs w:val="20"/>
        </w:rPr>
      </w:pPr>
    </w:p>
    <w:tbl>
      <w:tblPr>
        <w:tblStyle w:val="TableGrid"/>
        <w:tblW w:w="0" w:type="auto"/>
        <w:tblLook w:val="04A0" w:firstRow="1" w:lastRow="0" w:firstColumn="1" w:lastColumn="0" w:noHBand="0" w:noVBand="1"/>
      </w:tblPr>
      <w:tblGrid>
        <w:gridCol w:w="4508"/>
        <w:gridCol w:w="4509"/>
      </w:tblGrid>
      <w:tr w:rsidR="000A11B2" w14:paraId="46C534E3" w14:textId="77777777" w:rsidTr="00DC71ED">
        <w:tc>
          <w:tcPr>
            <w:tcW w:w="4508" w:type="dxa"/>
            <w:shd w:val="pct10" w:color="auto" w:fill="auto"/>
            <w:vAlign w:val="center"/>
          </w:tcPr>
          <w:p w14:paraId="553658D3" w14:textId="3A8DE2AB" w:rsidR="000A11B2" w:rsidRPr="000A11B2" w:rsidRDefault="00DC71ED" w:rsidP="00DC71ED">
            <w:pPr>
              <w:spacing w:line="276" w:lineRule="auto"/>
              <w:jc w:val="center"/>
              <w:rPr>
                <w:rFonts w:cs="Arial"/>
                <w:b/>
                <w:szCs w:val="20"/>
              </w:rPr>
            </w:pPr>
            <w:r>
              <w:rPr>
                <w:rFonts w:cs="Arial"/>
                <w:b/>
                <w:szCs w:val="20"/>
              </w:rPr>
              <w:t xml:space="preserve">Djelatnosti </w:t>
            </w:r>
            <w:r w:rsidR="000A11B2" w:rsidRPr="000A11B2">
              <w:rPr>
                <w:rFonts w:cs="Arial"/>
                <w:b/>
                <w:szCs w:val="20"/>
              </w:rPr>
              <w:t>ulaganja (investicije)</w:t>
            </w:r>
          </w:p>
        </w:tc>
        <w:tc>
          <w:tcPr>
            <w:tcW w:w="4509" w:type="dxa"/>
            <w:shd w:val="pct10" w:color="auto" w:fill="auto"/>
          </w:tcPr>
          <w:p w14:paraId="20FA8B78" w14:textId="7A6D71A4" w:rsidR="000A11B2" w:rsidRPr="00641B96" w:rsidRDefault="00522682" w:rsidP="00DC71ED">
            <w:pPr>
              <w:spacing w:line="276" w:lineRule="auto"/>
              <w:jc w:val="center"/>
              <w:rPr>
                <w:rFonts w:cs="Arial"/>
                <w:b/>
                <w:szCs w:val="20"/>
              </w:rPr>
            </w:pPr>
            <w:r>
              <w:rPr>
                <w:rFonts w:cs="Arial"/>
                <w:b/>
                <w:szCs w:val="20"/>
              </w:rPr>
              <w:t>Izuzeća</w:t>
            </w:r>
          </w:p>
        </w:tc>
      </w:tr>
      <w:tr w:rsidR="004B491D" w14:paraId="050B9641" w14:textId="77777777" w:rsidTr="00DC71ED">
        <w:tc>
          <w:tcPr>
            <w:tcW w:w="4508" w:type="dxa"/>
          </w:tcPr>
          <w:p w14:paraId="1EB1088B" w14:textId="77777777" w:rsidR="004B491D" w:rsidRPr="008542FF" w:rsidRDefault="004B491D" w:rsidP="00DC71ED">
            <w:pPr>
              <w:spacing w:after="120" w:line="276" w:lineRule="auto"/>
              <w:rPr>
                <w:rFonts w:cs="Arial"/>
                <w:b/>
                <w:szCs w:val="20"/>
              </w:rPr>
            </w:pPr>
            <w:r w:rsidRPr="008542FF">
              <w:rPr>
                <w:rFonts w:cs="Arial"/>
                <w:b/>
                <w:szCs w:val="20"/>
              </w:rPr>
              <w:t>Područje A – Poljoprivreda i ribarstvo</w:t>
            </w:r>
          </w:p>
          <w:p w14:paraId="5AE8A164" w14:textId="326A4259" w:rsidR="00DC71ED" w:rsidRDefault="000A11B2" w:rsidP="00DC71ED">
            <w:pPr>
              <w:spacing w:line="276" w:lineRule="auto"/>
              <w:rPr>
                <w:rFonts w:cs="Arial"/>
                <w:szCs w:val="20"/>
              </w:rPr>
            </w:pPr>
            <w:r w:rsidRPr="00DC71ED">
              <w:rPr>
                <w:rFonts w:cs="Arial"/>
                <w:szCs w:val="20"/>
              </w:rPr>
              <w:t>01 - Biljna i stočarska proizvodnja</w:t>
            </w:r>
          </w:p>
          <w:p w14:paraId="6809D5F7" w14:textId="0AF0F32D" w:rsidR="000A11B2" w:rsidRPr="00DC71ED" w:rsidRDefault="000A11B2" w:rsidP="00DC71ED">
            <w:pPr>
              <w:spacing w:line="276" w:lineRule="auto"/>
              <w:rPr>
                <w:rFonts w:cs="Arial"/>
                <w:szCs w:val="20"/>
              </w:rPr>
            </w:pPr>
            <w:r w:rsidRPr="00DC71ED">
              <w:rPr>
                <w:rFonts w:cs="Arial"/>
                <w:szCs w:val="20"/>
              </w:rPr>
              <w:t>od 01.1</w:t>
            </w:r>
            <w:r w:rsidR="000219C8">
              <w:rPr>
                <w:rFonts w:cs="Arial"/>
                <w:szCs w:val="20"/>
              </w:rPr>
              <w:t>1</w:t>
            </w:r>
            <w:r w:rsidRPr="00DC71ED">
              <w:rPr>
                <w:rFonts w:cs="Arial"/>
                <w:szCs w:val="20"/>
              </w:rPr>
              <w:t xml:space="preserve"> do 01.5</w:t>
            </w:r>
            <w:r w:rsidR="000219C8">
              <w:rPr>
                <w:rFonts w:cs="Arial"/>
                <w:szCs w:val="20"/>
              </w:rPr>
              <w:t>0</w:t>
            </w:r>
            <w:r w:rsidRPr="00DC71ED">
              <w:rPr>
                <w:rFonts w:cs="Arial"/>
                <w:szCs w:val="20"/>
              </w:rPr>
              <w:t xml:space="preserve"> osim </w:t>
            </w:r>
            <w:r w:rsidR="00DC71ED">
              <w:rPr>
                <w:rFonts w:cs="Arial"/>
                <w:szCs w:val="20"/>
              </w:rPr>
              <w:t>01.15</w:t>
            </w:r>
          </w:p>
          <w:p w14:paraId="57BD75E4" w14:textId="263DAF7C" w:rsidR="004B491D" w:rsidRPr="008542FF" w:rsidRDefault="000A11B2" w:rsidP="00DC71ED">
            <w:pPr>
              <w:spacing w:before="120" w:line="276" w:lineRule="auto"/>
              <w:rPr>
                <w:rFonts w:cs="Arial"/>
                <w:b/>
                <w:szCs w:val="20"/>
              </w:rPr>
            </w:pPr>
            <w:r w:rsidRPr="00DC71ED">
              <w:rPr>
                <w:rFonts w:cs="Arial"/>
                <w:szCs w:val="20"/>
              </w:rPr>
              <w:t>03 - Ribarstvo</w:t>
            </w:r>
          </w:p>
        </w:tc>
        <w:tc>
          <w:tcPr>
            <w:tcW w:w="4509" w:type="dxa"/>
            <w:vAlign w:val="center"/>
          </w:tcPr>
          <w:p w14:paraId="669D7139" w14:textId="4C498E3D" w:rsidR="00DC71ED" w:rsidRDefault="00641B96" w:rsidP="009275EB">
            <w:pPr>
              <w:spacing w:line="276" w:lineRule="auto"/>
              <w:jc w:val="both"/>
              <w:rPr>
                <w:rFonts w:cs="Arial"/>
                <w:szCs w:val="20"/>
              </w:rPr>
            </w:pPr>
            <w:r>
              <w:rPr>
                <w:rFonts w:cs="Arial"/>
                <w:szCs w:val="20"/>
              </w:rPr>
              <w:t>01.15 Uzgoj duhana</w:t>
            </w:r>
          </w:p>
          <w:p w14:paraId="1A608CF0" w14:textId="4F5335D7" w:rsidR="004B491D" w:rsidRPr="00641B96" w:rsidRDefault="009275EB">
            <w:pPr>
              <w:spacing w:line="276" w:lineRule="auto"/>
              <w:jc w:val="both"/>
              <w:rPr>
                <w:rFonts w:cs="Arial"/>
                <w:b/>
                <w:szCs w:val="20"/>
              </w:rPr>
            </w:pPr>
            <w:r>
              <w:rPr>
                <w:rFonts w:cs="Arial"/>
                <w:szCs w:val="20"/>
              </w:rPr>
              <w:t>0</w:t>
            </w:r>
            <w:r w:rsidR="005F2281">
              <w:rPr>
                <w:rFonts w:cs="Arial"/>
                <w:szCs w:val="20"/>
              </w:rPr>
              <w:t>2</w:t>
            </w:r>
            <w:r>
              <w:rPr>
                <w:rFonts w:cs="Arial"/>
                <w:szCs w:val="20"/>
              </w:rPr>
              <w:t xml:space="preserve"> - Šumarstvo i sječa drva</w:t>
            </w:r>
          </w:p>
        </w:tc>
      </w:tr>
      <w:tr w:rsidR="004B491D" w14:paraId="14BAD719" w14:textId="77777777" w:rsidTr="004B491D">
        <w:tc>
          <w:tcPr>
            <w:tcW w:w="4508" w:type="dxa"/>
          </w:tcPr>
          <w:p w14:paraId="2F253E38" w14:textId="77777777" w:rsidR="000A11B2" w:rsidRPr="008542FF" w:rsidRDefault="004B491D" w:rsidP="00DC71ED">
            <w:pPr>
              <w:spacing w:line="276" w:lineRule="auto"/>
              <w:rPr>
                <w:rFonts w:cs="Arial"/>
                <w:b/>
                <w:szCs w:val="20"/>
              </w:rPr>
            </w:pPr>
            <w:r w:rsidRPr="008542FF">
              <w:rPr>
                <w:rFonts w:cs="Arial"/>
                <w:b/>
                <w:szCs w:val="20"/>
              </w:rPr>
              <w:t>Područje C – Prerađivačka industrija</w:t>
            </w:r>
          </w:p>
          <w:p w14:paraId="288FDE88" w14:textId="34C5B1ED" w:rsidR="004B491D" w:rsidRPr="00DC71ED" w:rsidRDefault="004B491D" w:rsidP="00DC71ED">
            <w:pPr>
              <w:spacing w:before="120" w:line="276" w:lineRule="auto"/>
              <w:rPr>
                <w:rFonts w:cs="Arial"/>
                <w:szCs w:val="20"/>
              </w:rPr>
            </w:pPr>
          </w:p>
        </w:tc>
        <w:tc>
          <w:tcPr>
            <w:tcW w:w="4509" w:type="dxa"/>
          </w:tcPr>
          <w:p w14:paraId="07C909E5" w14:textId="15F28011" w:rsidR="000A11B2" w:rsidRDefault="000A11B2" w:rsidP="00864D82">
            <w:pPr>
              <w:spacing w:line="276" w:lineRule="auto"/>
              <w:jc w:val="both"/>
              <w:rPr>
                <w:rFonts w:cs="Arial"/>
                <w:szCs w:val="20"/>
              </w:rPr>
            </w:pPr>
            <w:r>
              <w:rPr>
                <w:rFonts w:cs="Arial"/>
                <w:szCs w:val="20"/>
              </w:rPr>
              <w:t xml:space="preserve">11 </w:t>
            </w:r>
            <w:r w:rsidR="009275EB">
              <w:rPr>
                <w:rFonts w:cs="Arial"/>
                <w:szCs w:val="20"/>
              </w:rPr>
              <w:t>-</w:t>
            </w:r>
            <w:r>
              <w:rPr>
                <w:rFonts w:cs="Arial"/>
                <w:szCs w:val="20"/>
              </w:rPr>
              <w:t xml:space="preserve"> Proizvodnja pića od 11.01 do 11.06</w:t>
            </w:r>
          </w:p>
          <w:p w14:paraId="6B4B7EF4" w14:textId="1327D66F" w:rsidR="000A11B2" w:rsidRDefault="000A11B2" w:rsidP="00864D82">
            <w:pPr>
              <w:spacing w:line="276" w:lineRule="auto"/>
              <w:jc w:val="both"/>
              <w:rPr>
                <w:rFonts w:cs="Arial"/>
                <w:szCs w:val="20"/>
              </w:rPr>
            </w:pPr>
            <w:r>
              <w:rPr>
                <w:rFonts w:cs="Arial"/>
                <w:szCs w:val="20"/>
              </w:rPr>
              <w:t xml:space="preserve">12 </w:t>
            </w:r>
            <w:r w:rsidR="009275EB">
              <w:rPr>
                <w:rFonts w:cs="Arial"/>
                <w:szCs w:val="20"/>
              </w:rPr>
              <w:t>-</w:t>
            </w:r>
            <w:r>
              <w:rPr>
                <w:rFonts w:cs="Arial"/>
                <w:szCs w:val="20"/>
              </w:rPr>
              <w:t xml:space="preserve"> Proizvodnja duhanskih proizvoda</w:t>
            </w:r>
          </w:p>
          <w:p w14:paraId="3258D39C" w14:textId="33941D1C" w:rsidR="00641B96" w:rsidRDefault="000A11B2" w:rsidP="00864D82">
            <w:pPr>
              <w:spacing w:line="276" w:lineRule="auto"/>
              <w:jc w:val="both"/>
              <w:rPr>
                <w:rFonts w:cs="Arial"/>
                <w:szCs w:val="20"/>
              </w:rPr>
            </w:pPr>
            <w:r>
              <w:rPr>
                <w:rFonts w:cs="Arial"/>
                <w:szCs w:val="20"/>
              </w:rPr>
              <w:t xml:space="preserve">18 </w:t>
            </w:r>
            <w:r w:rsidR="009275EB">
              <w:rPr>
                <w:rFonts w:cs="Arial"/>
                <w:szCs w:val="20"/>
              </w:rPr>
              <w:t>-</w:t>
            </w:r>
            <w:r>
              <w:rPr>
                <w:rFonts w:cs="Arial"/>
                <w:szCs w:val="20"/>
              </w:rPr>
              <w:t xml:space="preserve"> Tiskanje i umnožavanje snimljenih zapisa</w:t>
            </w:r>
            <w:r w:rsidR="000219C8">
              <w:rPr>
                <w:rFonts w:cs="Arial"/>
                <w:szCs w:val="20"/>
              </w:rPr>
              <w:t xml:space="preserve"> </w:t>
            </w:r>
            <w:bookmarkStart w:id="24" w:name="_Hlk26971720"/>
            <w:r w:rsidR="003929E1" w:rsidRPr="00F56886">
              <w:rPr>
                <w:rFonts w:cs="Arial"/>
                <w:szCs w:val="20"/>
              </w:rPr>
              <w:t xml:space="preserve">samo ako se radi o podnositeljima zahtjeva za kredit </w:t>
            </w:r>
            <w:r w:rsidR="00864D82">
              <w:rPr>
                <w:rFonts w:cs="Arial"/>
                <w:szCs w:val="20"/>
              </w:rPr>
              <w:t xml:space="preserve">koji se bave ili su vlasnički </w:t>
            </w:r>
            <w:r w:rsidR="003929E1" w:rsidRPr="00F56886">
              <w:rPr>
                <w:rFonts w:cs="Arial"/>
                <w:szCs w:val="20"/>
              </w:rPr>
              <w:t>povezani s poslovnim subjektima koji se bave djelatnostima izdavanja novina i drugih povremenih izdanja, djelatnostima proizvodnje i emitiranja radijskog i televizijskog sadržaja, djelatnosti novinskih agencija te uslužnih djelatnosti agencija za oglašavanje i odnosa s javnošću</w:t>
            </w:r>
            <w:bookmarkEnd w:id="24"/>
          </w:p>
        </w:tc>
      </w:tr>
      <w:tr w:rsidR="004B491D" w14:paraId="768B6EF9" w14:textId="77777777" w:rsidTr="00DC71ED">
        <w:trPr>
          <w:trHeight w:val="355"/>
        </w:trPr>
        <w:tc>
          <w:tcPr>
            <w:tcW w:w="4508" w:type="dxa"/>
          </w:tcPr>
          <w:p w14:paraId="4CF7258C" w14:textId="77777777" w:rsidR="004B491D" w:rsidRPr="008542FF" w:rsidRDefault="002F37B0" w:rsidP="00DC71ED">
            <w:pPr>
              <w:spacing w:line="276" w:lineRule="auto"/>
              <w:rPr>
                <w:rFonts w:cs="Arial"/>
                <w:b/>
                <w:szCs w:val="20"/>
              </w:rPr>
            </w:pPr>
            <w:r w:rsidRPr="008542FF">
              <w:rPr>
                <w:rFonts w:cs="Arial"/>
                <w:b/>
                <w:szCs w:val="20"/>
              </w:rPr>
              <w:t>Područje J – Informacije i komunikacije</w:t>
            </w:r>
          </w:p>
          <w:p w14:paraId="5EDAA23D" w14:textId="04505892" w:rsidR="002F37B0" w:rsidRPr="00DC71ED" w:rsidRDefault="008542FF" w:rsidP="00DC71ED">
            <w:pPr>
              <w:spacing w:before="120" w:line="276" w:lineRule="auto"/>
              <w:rPr>
                <w:rFonts w:cs="Arial"/>
                <w:szCs w:val="20"/>
              </w:rPr>
            </w:pPr>
            <w:r w:rsidRPr="00DC71ED">
              <w:rPr>
                <w:rFonts w:cs="Arial"/>
                <w:szCs w:val="20"/>
              </w:rPr>
              <w:t>62</w:t>
            </w:r>
            <w:r w:rsidR="00DC71ED">
              <w:rPr>
                <w:rFonts w:cs="Arial"/>
                <w:szCs w:val="20"/>
              </w:rPr>
              <w:t xml:space="preserve"> - </w:t>
            </w:r>
            <w:r w:rsidRPr="00DC71ED">
              <w:rPr>
                <w:rFonts w:cs="Arial"/>
                <w:szCs w:val="20"/>
              </w:rPr>
              <w:t>Računalno programiranje, savjetovanje i djelatnosti povezane s njima</w:t>
            </w:r>
          </w:p>
        </w:tc>
        <w:tc>
          <w:tcPr>
            <w:tcW w:w="4509" w:type="dxa"/>
            <w:vAlign w:val="center"/>
          </w:tcPr>
          <w:p w14:paraId="048ED4EE" w14:textId="4DD15B4F" w:rsidR="004B491D" w:rsidRDefault="008542FF" w:rsidP="009275EB">
            <w:pPr>
              <w:spacing w:line="276" w:lineRule="auto"/>
              <w:jc w:val="both"/>
              <w:rPr>
                <w:rFonts w:cs="Arial"/>
                <w:szCs w:val="20"/>
              </w:rPr>
            </w:pPr>
            <w:r>
              <w:rPr>
                <w:rFonts w:cs="Arial"/>
                <w:szCs w:val="20"/>
              </w:rPr>
              <w:t>sve ostale djelatnosti unutar područja J</w:t>
            </w:r>
          </w:p>
        </w:tc>
      </w:tr>
    </w:tbl>
    <w:p w14:paraId="1E0C92B9" w14:textId="0C4B38F0" w:rsidR="00653044" w:rsidRPr="00781E9C" w:rsidRDefault="008B5176" w:rsidP="00781E9C">
      <w:pPr>
        <w:pStyle w:val="HeadingA"/>
        <w:numPr>
          <w:ilvl w:val="0"/>
          <w:numId w:val="11"/>
        </w:numPr>
        <w:pBdr>
          <w:bottom w:val="single" w:sz="4" w:space="1" w:color="auto"/>
        </w:pBdr>
        <w:spacing w:before="480"/>
        <w:ind w:left="357" w:hanging="357"/>
        <w:outlineLvl w:val="0"/>
        <w:rPr>
          <w:rFonts w:ascii="Arial" w:hAnsi="Arial" w:cs="Arial"/>
        </w:rPr>
      </w:pPr>
      <w:bookmarkStart w:id="25" w:name="_Toc4408947"/>
      <w:bookmarkStart w:id="26" w:name="_Toc534881545"/>
      <w:r w:rsidRPr="00781E9C">
        <w:rPr>
          <w:rFonts w:ascii="Arial" w:hAnsi="Arial" w:cs="Arial"/>
        </w:rPr>
        <w:t>Zabrane i ograničenja financiranja</w:t>
      </w:r>
      <w:bookmarkEnd w:id="25"/>
      <w:bookmarkEnd w:id="26"/>
    </w:p>
    <w:p w14:paraId="77FF73A7" w14:textId="422B7492" w:rsidR="00F83AB9" w:rsidRPr="002B13A8" w:rsidRDefault="00F00B2A" w:rsidP="00E2322A">
      <w:pPr>
        <w:pStyle w:val="HeadingA"/>
        <w:numPr>
          <w:ilvl w:val="1"/>
          <w:numId w:val="11"/>
        </w:numPr>
        <w:spacing w:before="0" w:after="0" w:line="276" w:lineRule="auto"/>
        <w:ind w:left="567" w:hanging="567"/>
        <w:outlineLvl w:val="1"/>
        <w:rPr>
          <w:rFonts w:ascii="Arial" w:hAnsi="Arial" w:cs="Arial"/>
          <w:sz w:val="20"/>
          <w:szCs w:val="20"/>
        </w:rPr>
      </w:pPr>
      <w:bookmarkStart w:id="27" w:name="_Toc4408948"/>
      <w:bookmarkStart w:id="28" w:name="_Toc534881546"/>
      <w:r>
        <w:rPr>
          <w:rFonts w:ascii="Arial" w:hAnsi="Arial" w:cs="Arial"/>
          <w:sz w:val="20"/>
          <w:szCs w:val="20"/>
        </w:rPr>
        <w:t>D</w:t>
      </w:r>
      <w:r w:rsidR="00F83AB9" w:rsidRPr="002B13A8">
        <w:rPr>
          <w:rFonts w:ascii="Arial" w:hAnsi="Arial" w:cs="Arial"/>
          <w:sz w:val="20"/>
          <w:szCs w:val="20"/>
        </w:rPr>
        <w:t>jelatnosti</w:t>
      </w:r>
      <w:r w:rsidR="000C102F" w:rsidRPr="002B13A8">
        <w:rPr>
          <w:rFonts w:ascii="Arial" w:hAnsi="Arial" w:cs="Arial"/>
          <w:sz w:val="20"/>
          <w:szCs w:val="20"/>
        </w:rPr>
        <w:t xml:space="preserve"> i namjene </w:t>
      </w:r>
      <w:r>
        <w:rPr>
          <w:rFonts w:ascii="Arial" w:hAnsi="Arial" w:cs="Arial"/>
          <w:sz w:val="20"/>
          <w:szCs w:val="20"/>
        </w:rPr>
        <w:t>koje nisu prihvatljive za financiranje</w:t>
      </w:r>
      <w:bookmarkEnd w:id="27"/>
      <w:bookmarkEnd w:id="28"/>
    </w:p>
    <w:p w14:paraId="53CABF48" w14:textId="77777777" w:rsidR="00060BD1" w:rsidRDefault="00060BD1" w:rsidP="000101CF">
      <w:pPr>
        <w:pStyle w:val="Style30"/>
        <w:shd w:val="clear" w:color="auto" w:fill="auto"/>
        <w:spacing w:before="0" w:after="0" w:line="276" w:lineRule="auto"/>
        <w:ind w:firstLine="0"/>
        <w:rPr>
          <w:rFonts w:ascii="Arial" w:eastAsia="Times New Roman" w:hAnsi="Arial" w:cs="Arial"/>
          <w:color w:val="000000"/>
          <w:sz w:val="20"/>
          <w:szCs w:val="20"/>
          <w:lang w:bidi="hr-HR"/>
        </w:rPr>
      </w:pPr>
    </w:p>
    <w:p w14:paraId="0BAA2FA4" w14:textId="62D6D1D8" w:rsidR="00DA2C0E" w:rsidRPr="000101CF" w:rsidRDefault="00DA2C0E" w:rsidP="00DA2C0E">
      <w:pPr>
        <w:pStyle w:val="Style30"/>
        <w:numPr>
          <w:ilvl w:val="0"/>
          <w:numId w:val="3"/>
        </w:numPr>
        <w:shd w:val="clear" w:color="auto" w:fill="auto"/>
        <w:spacing w:before="0" w:after="0" w:line="276" w:lineRule="auto"/>
        <w:ind w:left="760" w:hanging="601"/>
        <w:rPr>
          <w:rFonts w:ascii="Arial" w:hAnsi="Arial" w:cs="Arial"/>
          <w:sz w:val="20"/>
          <w:szCs w:val="20"/>
        </w:rPr>
      </w:pPr>
      <w:bookmarkStart w:id="29" w:name="_Hlk528709349"/>
      <w:r w:rsidRPr="000101CF">
        <w:rPr>
          <w:rFonts w:ascii="Arial" w:hAnsi="Arial" w:cs="Arial"/>
          <w:sz w:val="20"/>
          <w:szCs w:val="20"/>
        </w:rPr>
        <w:t>Kockarnice</w:t>
      </w:r>
      <w:r>
        <w:rPr>
          <w:rFonts w:ascii="Arial" w:hAnsi="Arial" w:cs="Arial"/>
          <w:sz w:val="20"/>
          <w:szCs w:val="20"/>
        </w:rPr>
        <w:t>, kladionice i slične djelatnosti;</w:t>
      </w:r>
    </w:p>
    <w:bookmarkEnd w:id="29"/>
    <w:p w14:paraId="375B0CC8" w14:textId="00165AA6" w:rsidR="00EF39F6" w:rsidRPr="00764F90" w:rsidRDefault="00DA2C0E" w:rsidP="00DB3FB4">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sidRPr="00764F90">
        <w:rPr>
          <w:rFonts w:ascii="Arial" w:hAnsi="Arial" w:cs="Arial"/>
          <w:sz w:val="20"/>
          <w:szCs w:val="20"/>
        </w:rPr>
        <w:t>P</w:t>
      </w:r>
      <w:r w:rsidR="00EF39F6" w:rsidRPr="00764F90">
        <w:rPr>
          <w:rFonts w:ascii="Arial" w:hAnsi="Arial" w:cs="Arial"/>
          <w:sz w:val="20"/>
          <w:szCs w:val="20"/>
        </w:rPr>
        <w:t>roizvodnja</w:t>
      </w:r>
      <w:r w:rsidRPr="00764F90">
        <w:rPr>
          <w:rFonts w:ascii="Arial" w:hAnsi="Arial" w:cs="Arial"/>
          <w:sz w:val="20"/>
          <w:szCs w:val="20"/>
        </w:rPr>
        <w:t xml:space="preserve"> (osim primarne poljoprivrede)</w:t>
      </w:r>
      <w:r w:rsidR="00EF39F6" w:rsidRPr="00764F90">
        <w:rPr>
          <w:rFonts w:ascii="Arial" w:hAnsi="Arial" w:cs="Arial"/>
          <w:sz w:val="20"/>
          <w:szCs w:val="20"/>
        </w:rPr>
        <w:t>, prerada i distribucija duhana i duhanskih proizvoda;</w:t>
      </w:r>
    </w:p>
    <w:p w14:paraId="211A1BC7" w14:textId="77777777" w:rsidR="00DA2C0E" w:rsidRPr="00764F90" w:rsidRDefault="00DA2C0E" w:rsidP="00DA2C0E">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sidRPr="00764F90">
        <w:rPr>
          <w:rFonts w:ascii="Arial" w:hAnsi="Arial" w:cs="Arial"/>
          <w:sz w:val="20"/>
          <w:szCs w:val="20"/>
        </w:rPr>
        <w:t>Aktivnosti koje uključuju životinje u eksperimentalne i znanstvene svrhe;</w:t>
      </w:r>
    </w:p>
    <w:p w14:paraId="3FA20F79" w14:textId="77777777" w:rsidR="00DA2C0E" w:rsidRPr="00764F90" w:rsidRDefault="00DA2C0E" w:rsidP="00DA2C0E">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sidRPr="00764F90">
        <w:rPr>
          <w:rFonts w:ascii="Arial" w:eastAsia="Times New Roman" w:hAnsi="Arial" w:cs="Arial"/>
          <w:color w:val="000000"/>
          <w:sz w:val="20"/>
          <w:szCs w:val="20"/>
          <w:lang w:bidi="hr-HR"/>
        </w:rPr>
        <w:t>Aktivnosti</w:t>
      </w:r>
      <w:r w:rsidRPr="00764F90">
        <w:rPr>
          <w:rFonts w:ascii="Arial" w:hAnsi="Arial" w:cs="Arial"/>
          <w:sz w:val="20"/>
          <w:szCs w:val="20"/>
        </w:rPr>
        <w:t xml:space="preserve"> koje imaju negativan utjecaj na okoliš, a nisu u značajnijoj mjeri ublažene ili kompenzirane;</w:t>
      </w:r>
    </w:p>
    <w:p w14:paraId="4F32831C" w14:textId="6B01024A" w:rsidR="002C406B" w:rsidRPr="001D374C" w:rsidRDefault="009B6499" w:rsidP="00DA2C0E">
      <w:pPr>
        <w:pStyle w:val="Style30"/>
        <w:numPr>
          <w:ilvl w:val="0"/>
          <w:numId w:val="3"/>
        </w:numPr>
        <w:shd w:val="clear" w:color="auto" w:fill="auto"/>
        <w:tabs>
          <w:tab w:val="left" w:pos="759"/>
        </w:tabs>
        <w:spacing w:before="0" w:after="0" w:line="276" w:lineRule="auto"/>
        <w:ind w:left="760" w:hanging="600"/>
        <w:rPr>
          <w:rFonts w:ascii="Arial" w:eastAsia="Times New Roman" w:hAnsi="Arial" w:cs="Arial"/>
          <w:color w:val="000000"/>
          <w:sz w:val="20"/>
          <w:szCs w:val="20"/>
          <w:lang w:bidi="hr-HR"/>
        </w:rPr>
      </w:pPr>
      <w:r>
        <w:rPr>
          <w:rFonts w:ascii="Arial" w:eastAsia="Times New Roman" w:hAnsi="Arial" w:cs="Arial"/>
          <w:color w:val="000000"/>
          <w:sz w:val="20"/>
          <w:szCs w:val="20"/>
          <w:lang w:bidi="hr-HR"/>
        </w:rPr>
        <w:t>F</w:t>
      </w:r>
      <w:r w:rsidR="002C406B" w:rsidRPr="002C406B">
        <w:rPr>
          <w:rFonts w:ascii="Arial" w:eastAsia="Times New Roman" w:hAnsi="Arial" w:cs="Arial"/>
          <w:color w:val="000000"/>
          <w:sz w:val="20"/>
          <w:szCs w:val="20"/>
          <w:lang w:bidi="hr-HR"/>
        </w:rPr>
        <w:t>inancijske transakcije (npr. trgovanje vrijednosnim papirima ili nekim drugim financijskim proizvodima) uključujući promjenu vlasništva (npr. spajanja i preuzimanja) kao ni aktivnosti koje predstavljaju isključivo poslovanje nekretninama</w:t>
      </w:r>
      <w:r w:rsidR="002C406B">
        <w:rPr>
          <w:rFonts w:ascii="Arial" w:eastAsia="Times New Roman" w:hAnsi="Arial" w:cs="Arial"/>
          <w:color w:val="000000"/>
          <w:sz w:val="20"/>
          <w:szCs w:val="20"/>
          <w:lang w:bidi="hr-HR"/>
        </w:rPr>
        <w:t>;</w:t>
      </w:r>
    </w:p>
    <w:p w14:paraId="0C93C724" w14:textId="123B68A4" w:rsidR="00716A8E" w:rsidRDefault="00716A8E" w:rsidP="00716A8E">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sidRPr="00B8725D">
        <w:rPr>
          <w:rFonts w:ascii="Arial" w:hAnsi="Arial" w:cs="Arial"/>
          <w:sz w:val="20"/>
          <w:szCs w:val="20"/>
        </w:rPr>
        <w:t>Ulaganja ili dijelovi ulaganja koja služe u osobne svrhe;</w:t>
      </w:r>
    </w:p>
    <w:p w14:paraId="7EC68515" w14:textId="41CC1AB1" w:rsidR="001D374C" w:rsidRDefault="001D374C" w:rsidP="00716A8E">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Pr>
          <w:rFonts w:ascii="Arial" w:hAnsi="Arial" w:cs="Arial"/>
          <w:sz w:val="20"/>
          <w:szCs w:val="20"/>
        </w:rPr>
        <w:t>Kupnja nekretnina ili pokretnina od povezanih osoba;</w:t>
      </w:r>
    </w:p>
    <w:p w14:paraId="4E28CA1F" w14:textId="21CEF20D" w:rsidR="005E542F" w:rsidRPr="00B8725D" w:rsidRDefault="005E542F" w:rsidP="00716A8E">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sidRPr="005E542F">
        <w:rPr>
          <w:rFonts w:ascii="Arial" w:hAnsi="Arial" w:cs="Arial"/>
          <w:sz w:val="20"/>
          <w:szCs w:val="20"/>
        </w:rPr>
        <w:t>Ulaganje u nekretnine koje nisu u vlasništvu korisnika kredita</w:t>
      </w:r>
      <w:r w:rsidR="00CA7FA8">
        <w:rPr>
          <w:rStyle w:val="FootnoteReference"/>
          <w:rFonts w:ascii="Arial" w:hAnsi="Arial" w:cs="Arial"/>
          <w:sz w:val="20"/>
          <w:szCs w:val="20"/>
        </w:rPr>
        <w:footnoteReference w:id="2"/>
      </w:r>
      <w:r w:rsidR="00CA7FA8">
        <w:rPr>
          <w:rFonts w:ascii="Arial" w:hAnsi="Arial" w:cs="Arial"/>
          <w:sz w:val="20"/>
          <w:szCs w:val="20"/>
        </w:rPr>
        <w:t>;</w:t>
      </w:r>
    </w:p>
    <w:p w14:paraId="5EB96034" w14:textId="5D6BDC12" w:rsidR="006B1787" w:rsidRPr="00B8725D" w:rsidRDefault="00525A4D" w:rsidP="00B8725D">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Pr>
          <w:rFonts w:ascii="Arial" w:hAnsi="Arial" w:cs="Arial"/>
          <w:sz w:val="20"/>
          <w:szCs w:val="20"/>
        </w:rPr>
        <w:lastRenderedPageBreak/>
        <w:t>Investicijska ulaganja u trgovačke djelatnosti</w:t>
      </w:r>
      <w:r w:rsidR="00FB6AEC" w:rsidRPr="00B8725D">
        <w:rPr>
          <w:rFonts w:ascii="Arial" w:hAnsi="Arial" w:cs="Arial"/>
          <w:sz w:val="20"/>
          <w:szCs w:val="20"/>
        </w:rPr>
        <w:t xml:space="preserve"> velikih poduzetnika</w:t>
      </w:r>
      <w:r>
        <w:rPr>
          <w:rStyle w:val="FootnoteReference"/>
          <w:rFonts w:ascii="Arial" w:hAnsi="Arial" w:cs="Arial"/>
          <w:sz w:val="20"/>
          <w:szCs w:val="20"/>
        </w:rPr>
        <w:footnoteReference w:id="3"/>
      </w:r>
      <w:r>
        <w:rPr>
          <w:rFonts w:ascii="Arial" w:hAnsi="Arial" w:cs="Arial"/>
          <w:sz w:val="20"/>
          <w:szCs w:val="20"/>
        </w:rPr>
        <w:t>;</w:t>
      </w:r>
    </w:p>
    <w:p w14:paraId="49033C14" w14:textId="593E030D" w:rsidR="001D374C" w:rsidRPr="003C1432" w:rsidRDefault="001D374C" w:rsidP="001D374C">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sidRPr="003C1432">
        <w:rPr>
          <w:rFonts w:ascii="Arial" w:hAnsi="Arial" w:cs="Arial"/>
          <w:sz w:val="20"/>
          <w:szCs w:val="20"/>
        </w:rPr>
        <w:t xml:space="preserve">Ulaganje u </w:t>
      </w:r>
      <w:bookmarkStart w:id="30" w:name="_Hlk528709590"/>
      <w:r w:rsidRPr="003C1432">
        <w:rPr>
          <w:rFonts w:ascii="Arial" w:hAnsi="Arial" w:cs="Arial"/>
          <w:sz w:val="20"/>
          <w:szCs w:val="20"/>
        </w:rPr>
        <w:t>apartmane</w:t>
      </w:r>
      <w:r w:rsidR="00790D94">
        <w:rPr>
          <w:rFonts w:ascii="Arial" w:hAnsi="Arial" w:cs="Arial"/>
          <w:sz w:val="20"/>
          <w:szCs w:val="20"/>
        </w:rPr>
        <w:t>,</w:t>
      </w:r>
      <w:r w:rsidRPr="003C1432">
        <w:rPr>
          <w:rFonts w:ascii="Arial" w:hAnsi="Arial" w:cs="Arial"/>
          <w:sz w:val="20"/>
          <w:szCs w:val="20"/>
        </w:rPr>
        <w:t xml:space="preserve"> sobe za iznajmljivanje</w:t>
      </w:r>
      <w:bookmarkStart w:id="31" w:name="_Hlk528709962"/>
      <w:bookmarkEnd w:id="30"/>
      <w:r w:rsidR="00790D94">
        <w:rPr>
          <w:rFonts w:ascii="Arial" w:hAnsi="Arial" w:cs="Arial"/>
          <w:sz w:val="20"/>
          <w:szCs w:val="20"/>
        </w:rPr>
        <w:t xml:space="preserve"> i kuće za odmor</w:t>
      </w:r>
      <w:r>
        <w:rPr>
          <w:rStyle w:val="FootnoteReference"/>
          <w:rFonts w:ascii="Arial" w:hAnsi="Arial" w:cs="Arial"/>
          <w:sz w:val="20"/>
          <w:szCs w:val="20"/>
        </w:rPr>
        <w:footnoteReference w:id="4"/>
      </w:r>
      <w:r w:rsidRPr="003C1432">
        <w:rPr>
          <w:rFonts w:ascii="Arial" w:hAnsi="Arial" w:cs="Arial"/>
          <w:sz w:val="20"/>
          <w:szCs w:val="20"/>
        </w:rPr>
        <w:t>;</w:t>
      </w:r>
    </w:p>
    <w:bookmarkEnd w:id="31"/>
    <w:p w14:paraId="4B1B7E8D" w14:textId="77777777" w:rsidR="00764F90" w:rsidRPr="00B8725D" w:rsidRDefault="00764F90" w:rsidP="00764F90">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Pr>
          <w:rFonts w:ascii="Arial" w:hAnsi="Arial" w:cs="Arial"/>
          <w:sz w:val="20"/>
          <w:szCs w:val="20"/>
        </w:rPr>
        <w:t>Javnobilježnička djelatnost;</w:t>
      </w:r>
    </w:p>
    <w:p w14:paraId="6DDD0BF9" w14:textId="4B93C2A9" w:rsidR="00764F90" w:rsidRDefault="00764F90" w:rsidP="00764F90">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sidRPr="00B8725D">
        <w:rPr>
          <w:rFonts w:ascii="Arial" w:hAnsi="Arial" w:cs="Arial"/>
          <w:sz w:val="20"/>
          <w:szCs w:val="20"/>
        </w:rPr>
        <w:t>Djelatnosti izdavanja novina i drugih povremenih izdanja, djelatnosti proizvodnje i emitiranja radijskog i televizijskog sadržaja, djelatnosti novinskih agencija te uslužnih djelatnosti agencija za oglašavanje i odnosa s javnošću;</w:t>
      </w:r>
    </w:p>
    <w:p w14:paraId="7E9F9A44" w14:textId="23F32480" w:rsidR="005E542F" w:rsidRPr="00B8725D" w:rsidRDefault="005E542F" w:rsidP="00764F90">
      <w:pPr>
        <w:pStyle w:val="Style30"/>
        <w:numPr>
          <w:ilvl w:val="0"/>
          <w:numId w:val="3"/>
        </w:numPr>
        <w:shd w:val="clear" w:color="auto" w:fill="auto"/>
        <w:tabs>
          <w:tab w:val="left" w:pos="759"/>
        </w:tabs>
        <w:spacing w:before="0" w:after="0" w:line="276" w:lineRule="auto"/>
        <w:ind w:left="760" w:hanging="600"/>
        <w:rPr>
          <w:rFonts w:ascii="Arial" w:hAnsi="Arial" w:cs="Arial"/>
          <w:sz w:val="20"/>
          <w:szCs w:val="20"/>
        </w:rPr>
      </w:pPr>
      <w:r w:rsidRPr="005E542F">
        <w:rPr>
          <w:rFonts w:ascii="Arial" w:hAnsi="Arial" w:cs="Arial"/>
          <w:sz w:val="20"/>
          <w:szCs w:val="20"/>
        </w:rPr>
        <w:t>Refinanciranje postojećih kredita ako se radi o investicijskom ulaganju</w:t>
      </w:r>
      <w:r>
        <w:rPr>
          <w:rFonts w:ascii="Arial" w:hAnsi="Arial" w:cs="Arial"/>
          <w:sz w:val="20"/>
          <w:szCs w:val="20"/>
        </w:rPr>
        <w:t>;</w:t>
      </w:r>
    </w:p>
    <w:p w14:paraId="047461FF" w14:textId="6C6AF271" w:rsidR="003F430C" w:rsidRDefault="00F857FE" w:rsidP="00764F90">
      <w:pPr>
        <w:pStyle w:val="Style30"/>
        <w:numPr>
          <w:ilvl w:val="0"/>
          <w:numId w:val="3"/>
        </w:numPr>
        <w:shd w:val="clear" w:color="auto" w:fill="auto"/>
        <w:tabs>
          <w:tab w:val="left" w:pos="759"/>
        </w:tabs>
        <w:spacing w:before="0" w:after="0" w:line="276" w:lineRule="auto"/>
        <w:ind w:left="760" w:hanging="600"/>
        <w:rPr>
          <w:rFonts w:ascii="Arial" w:eastAsia="Times New Roman" w:hAnsi="Arial" w:cs="Arial"/>
          <w:color w:val="000000"/>
          <w:sz w:val="20"/>
          <w:szCs w:val="20"/>
          <w:lang w:bidi="hr-HR"/>
        </w:rPr>
      </w:pPr>
      <w:r>
        <w:rPr>
          <w:rFonts w:ascii="Arial" w:eastAsia="Times New Roman" w:hAnsi="Arial" w:cs="Arial"/>
          <w:color w:val="000000"/>
          <w:sz w:val="20"/>
          <w:szCs w:val="20"/>
          <w:lang w:bidi="hr-HR"/>
        </w:rPr>
        <w:t>Sve zabrane i</w:t>
      </w:r>
      <w:r w:rsidR="00764F90">
        <w:rPr>
          <w:rFonts w:ascii="Arial" w:eastAsia="Times New Roman" w:hAnsi="Arial" w:cs="Arial"/>
          <w:color w:val="000000"/>
          <w:sz w:val="20"/>
          <w:szCs w:val="20"/>
          <w:lang w:bidi="hr-HR"/>
        </w:rPr>
        <w:t xml:space="preserve"> ograničenja </w:t>
      </w:r>
      <w:r w:rsidR="001D374C" w:rsidRPr="00716A8E">
        <w:rPr>
          <w:rFonts w:ascii="Arial" w:eastAsia="Times New Roman" w:hAnsi="Arial" w:cs="Arial"/>
          <w:color w:val="000000"/>
          <w:sz w:val="20"/>
          <w:szCs w:val="20"/>
          <w:lang w:bidi="hr-HR"/>
        </w:rPr>
        <w:t>sukladno ugovorima između HBOR-a i relevantnih financijskih institucija</w:t>
      </w:r>
      <w:r w:rsidR="001D374C">
        <w:rPr>
          <w:rFonts w:ascii="Arial" w:eastAsia="Times New Roman" w:hAnsi="Arial" w:cs="Arial"/>
          <w:color w:val="000000"/>
          <w:sz w:val="20"/>
          <w:szCs w:val="20"/>
          <w:lang w:bidi="hr-HR"/>
        </w:rPr>
        <w:t xml:space="preserve"> ako se </w:t>
      </w:r>
      <w:r>
        <w:rPr>
          <w:rFonts w:ascii="Arial" w:eastAsia="Times New Roman" w:hAnsi="Arial" w:cs="Arial"/>
          <w:color w:val="000000"/>
          <w:sz w:val="20"/>
          <w:szCs w:val="20"/>
          <w:lang w:bidi="hr-HR"/>
        </w:rPr>
        <w:t xml:space="preserve">ovi </w:t>
      </w:r>
      <w:r w:rsidR="001D374C">
        <w:rPr>
          <w:rFonts w:ascii="Arial" w:eastAsia="Times New Roman" w:hAnsi="Arial" w:cs="Arial"/>
          <w:color w:val="000000"/>
          <w:sz w:val="20"/>
          <w:szCs w:val="20"/>
          <w:lang w:bidi="hr-HR"/>
        </w:rPr>
        <w:t>ugovori u konkretnom slučaju primjenjuju</w:t>
      </w:r>
      <w:r w:rsidR="00D55F3A">
        <w:rPr>
          <w:rFonts w:ascii="Arial" w:eastAsia="Times New Roman" w:hAnsi="Arial" w:cs="Arial"/>
          <w:color w:val="000000"/>
          <w:sz w:val="20"/>
          <w:szCs w:val="20"/>
          <w:lang w:bidi="hr-HR"/>
        </w:rPr>
        <w:t>.</w:t>
      </w:r>
    </w:p>
    <w:p w14:paraId="4920CB14" w14:textId="2930D785" w:rsidR="008B5176" w:rsidRPr="002B13A8" w:rsidRDefault="00E42A5E" w:rsidP="00C40089">
      <w:pPr>
        <w:pStyle w:val="HeadingA"/>
        <w:numPr>
          <w:ilvl w:val="1"/>
          <w:numId w:val="11"/>
        </w:numPr>
        <w:spacing w:after="0" w:line="276" w:lineRule="auto"/>
        <w:ind w:left="567" w:hanging="567"/>
        <w:jc w:val="both"/>
        <w:outlineLvl w:val="1"/>
        <w:rPr>
          <w:rFonts w:ascii="Arial" w:hAnsi="Arial" w:cs="Arial"/>
          <w:sz w:val="20"/>
          <w:szCs w:val="20"/>
        </w:rPr>
      </w:pPr>
      <w:r>
        <w:rPr>
          <w:rFonts w:eastAsia="Times New Roman" w:cs="Arial"/>
          <w:color w:val="000000"/>
          <w:szCs w:val="20"/>
          <w:lang w:bidi="hr-HR"/>
        </w:rPr>
        <w:t xml:space="preserve"> </w:t>
      </w:r>
      <w:bookmarkStart w:id="33" w:name="_Toc4408949"/>
      <w:bookmarkStart w:id="34" w:name="_Toc534881547"/>
      <w:bookmarkStart w:id="35" w:name="_Hlk528673293"/>
      <w:bookmarkStart w:id="36" w:name="_Hlk530564190"/>
      <w:bookmarkStart w:id="37" w:name="_Hlk528709245"/>
      <w:r w:rsidR="008B5176" w:rsidRPr="002B13A8">
        <w:rPr>
          <w:rFonts w:ascii="Arial" w:hAnsi="Arial" w:cs="Arial"/>
          <w:sz w:val="20"/>
          <w:szCs w:val="20"/>
        </w:rPr>
        <w:t>Ograničenja financiranja poslovnih subjekata u kojima udjele u vlasništvu imaju dužnosnici i članovi njihove obitelji</w:t>
      </w:r>
      <w:bookmarkEnd w:id="33"/>
      <w:bookmarkEnd w:id="34"/>
    </w:p>
    <w:bookmarkEnd w:id="35"/>
    <w:bookmarkEnd w:id="36"/>
    <w:p w14:paraId="0A1B933D" w14:textId="77777777" w:rsidR="008B5176" w:rsidRDefault="008B5176" w:rsidP="008B5176">
      <w:pPr>
        <w:spacing w:line="276" w:lineRule="auto"/>
        <w:jc w:val="both"/>
        <w:rPr>
          <w:rFonts w:cs="Arial"/>
          <w:szCs w:val="20"/>
        </w:rPr>
      </w:pPr>
    </w:p>
    <w:p w14:paraId="5EEC3DE3" w14:textId="2ADA06C6" w:rsidR="008B5176" w:rsidRPr="005266DB" w:rsidRDefault="008B5176" w:rsidP="008B5176">
      <w:pPr>
        <w:spacing w:line="276" w:lineRule="auto"/>
        <w:jc w:val="both"/>
        <w:rPr>
          <w:rStyle w:val="Hyperlink"/>
          <w:rFonts w:cs="Arial"/>
          <w:bCs/>
          <w:color w:val="auto"/>
          <w:szCs w:val="20"/>
        </w:rPr>
      </w:pPr>
      <w:r w:rsidRPr="000101CF">
        <w:rPr>
          <w:rFonts w:cs="Arial"/>
          <w:szCs w:val="20"/>
        </w:rPr>
        <w:t>Sukladno Zakonu o sprječavanju sukoba interesa (NN 26/</w:t>
      </w:r>
      <w:r w:rsidR="00E53BE9">
        <w:rPr>
          <w:rFonts w:cs="Arial"/>
          <w:szCs w:val="20"/>
        </w:rPr>
        <w:t>20</w:t>
      </w:r>
      <w:r w:rsidRPr="000101CF">
        <w:rPr>
          <w:rFonts w:cs="Arial"/>
          <w:szCs w:val="20"/>
        </w:rPr>
        <w:t>11, 12/</w:t>
      </w:r>
      <w:r w:rsidR="00E53BE9">
        <w:rPr>
          <w:rFonts w:cs="Arial"/>
          <w:szCs w:val="20"/>
        </w:rPr>
        <w:t>20</w:t>
      </w:r>
      <w:r w:rsidRPr="000101CF">
        <w:rPr>
          <w:rFonts w:cs="Arial"/>
          <w:szCs w:val="20"/>
        </w:rPr>
        <w:t>12, 126/</w:t>
      </w:r>
      <w:r w:rsidR="00E53BE9">
        <w:rPr>
          <w:rFonts w:cs="Arial"/>
          <w:szCs w:val="20"/>
        </w:rPr>
        <w:t>20</w:t>
      </w:r>
      <w:r w:rsidRPr="000101CF">
        <w:rPr>
          <w:rFonts w:cs="Arial"/>
          <w:szCs w:val="20"/>
        </w:rPr>
        <w:t>12, 57/</w:t>
      </w:r>
      <w:r w:rsidR="00E53BE9">
        <w:rPr>
          <w:rFonts w:cs="Arial"/>
          <w:szCs w:val="20"/>
        </w:rPr>
        <w:t>20</w:t>
      </w:r>
      <w:r w:rsidRPr="000101CF">
        <w:rPr>
          <w:rFonts w:cs="Arial"/>
          <w:szCs w:val="20"/>
        </w:rPr>
        <w:t xml:space="preserve">15) i svim naknadnim izmjenama i dopunama, na snazi su ograničenja kreditiranja poslovnih subjekata u kojima udjele u vlasništvu imaju dužnosnici i članovi </w:t>
      </w:r>
      <w:r w:rsidRPr="005266DB">
        <w:rPr>
          <w:rFonts w:cs="Arial"/>
          <w:szCs w:val="20"/>
        </w:rPr>
        <w:t xml:space="preserve">njihovih obitelji. </w:t>
      </w:r>
    </w:p>
    <w:p w14:paraId="280F062F" w14:textId="77777777" w:rsidR="008B5176" w:rsidRPr="005266DB" w:rsidRDefault="008B5176" w:rsidP="008B5176">
      <w:pPr>
        <w:pStyle w:val="Style10"/>
        <w:shd w:val="clear" w:color="auto" w:fill="auto"/>
        <w:spacing w:before="0" w:after="0" w:line="276" w:lineRule="auto"/>
        <w:ind w:firstLine="0"/>
        <w:rPr>
          <w:rFonts w:ascii="Arial" w:hAnsi="Arial" w:cs="Arial"/>
          <w:sz w:val="20"/>
          <w:szCs w:val="20"/>
        </w:rPr>
      </w:pPr>
    </w:p>
    <w:p w14:paraId="636CEEF2" w14:textId="0EC2BB22" w:rsidR="008B5176" w:rsidRPr="000101CF" w:rsidRDefault="008B5176" w:rsidP="008B5176">
      <w:pPr>
        <w:pStyle w:val="Style10"/>
        <w:shd w:val="clear" w:color="auto" w:fill="auto"/>
        <w:spacing w:before="0" w:after="0" w:line="276" w:lineRule="auto"/>
        <w:ind w:firstLine="0"/>
        <w:rPr>
          <w:rFonts w:ascii="Arial" w:hAnsi="Arial" w:cs="Arial"/>
          <w:sz w:val="20"/>
          <w:szCs w:val="20"/>
        </w:rPr>
      </w:pPr>
      <w:r w:rsidRPr="005266DB">
        <w:rPr>
          <w:rFonts w:ascii="Arial" w:hAnsi="Arial" w:cs="Arial"/>
          <w:sz w:val="20"/>
          <w:szCs w:val="20"/>
        </w:rPr>
        <w:t xml:space="preserve">HBOR </w:t>
      </w:r>
      <w:r w:rsidRPr="005266DB">
        <w:rPr>
          <w:rStyle w:val="CharStyle12"/>
          <w:rFonts w:ascii="Arial" w:eastAsia="Calibri" w:hAnsi="Arial" w:cs="Arial"/>
          <w:color w:val="auto"/>
          <w:sz w:val="20"/>
          <w:szCs w:val="20"/>
        </w:rPr>
        <w:t xml:space="preserve">ne može </w:t>
      </w:r>
      <w:r w:rsidRPr="005266DB">
        <w:rPr>
          <w:rFonts w:ascii="Arial" w:hAnsi="Arial" w:cs="Arial"/>
          <w:sz w:val="20"/>
          <w:szCs w:val="20"/>
        </w:rPr>
        <w:t xml:space="preserve">razmatrati mogućnost odobrenja </w:t>
      </w:r>
      <w:r w:rsidRPr="000101CF">
        <w:rPr>
          <w:rFonts w:ascii="Arial" w:hAnsi="Arial" w:cs="Arial"/>
          <w:color w:val="000000"/>
          <w:sz w:val="20"/>
          <w:szCs w:val="20"/>
        </w:rPr>
        <w:t>kredita prema zahtjevima:</w:t>
      </w:r>
    </w:p>
    <w:p w14:paraId="6517AAC1" w14:textId="21626BF4" w:rsidR="008B5176" w:rsidRPr="000101CF" w:rsidRDefault="008B5176" w:rsidP="008B5176">
      <w:pPr>
        <w:pStyle w:val="Style10"/>
        <w:numPr>
          <w:ilvl w:val="0"/>
          <w:numId w:val="4"/>
        </w:numPr>
        <w:shd w:val="clear" w:color="auto" w:fill="auto"/>
        <w:tabs>
          <w:tab w:val="left" w:pos="733"/>
        </w:tabs>
        <w:spacing w:before="0" w:after="0" w:line="276" w:lineRule="auto"/>
        <w:ind w:left="740" w:hanging="420"/>
        <w:rPr>
          <w:rFonts w:ascii="Arial" w:hAnsi="Arial" w:cs="Arial"/>
          <w:sz w:val="20"/>
          <w:szCs w:val="20"/>
        </w:rPr>
      </w:pPr>
      <w:r w:rsidRPr="000101CF">
        <w:rPr>
          <w:rFonts w:ascii="Arial" w:hAnsi="Arial" w:cs="Arial"/>
          <w:color w:val="000000"/>
          <w:sz w:val="20"/>
          <w:szCs w:val="20"/>
        </w:rPr>
        <w:t xml:space="preserve">trgovačkih društava </w:t>
      </w:r>
      <w:r w:rsidR="00B94AE2">
        <w:rPr>
          <w:rFonts w:ascii="Arial" w:hAnsi="Arial" w:cs="Arial"/>
          <w:color w:val="000000"/>
          <w:sz w:val="20"/>
          <w:szCs w:val="20"/>
        </w:rPr>
        <w:t xml:space="preserve">(i ostalih poslovnih subjekata) </w:t>
      </w:r>
      <w:r w:rsidRPr="000101CF">
        <w:rPr>
          <w:rFonts w:ascii="Arial" w:hAnsi="Arial" w:cs="Arial"/>
          <w:color w:val="000000"/>
          <w:sz w:val="20"/>
          <w:szCs w:val="20"/>
        </w:rPr>
        <w:t xml:space="preserve">u čijoj su vlasničkoj strukturi dužnosnici koji </w:t>
      </w:r>
      <w:r w:rsidR="00B94AE2" w:rsidRPr="000101CF">
        <w:rPr>
          <w:rFonts w:ascii="Arial" w:hAnsi="Arial" w:cs="Arial"/>
          <w:color w:val="000000"/>
          <w:sz w:val="20"/>
          <w:szCs w:val="20"/>
        </w:rPr>
        <w:t xml:space="preserve">obnašaju dužnost </w:t>
      </w:r>
      <w:r w:rsidRPr="000101CF">
        <w:rPr>
          <w:rFonts w:ascii="Arial" w:hAnsi="Arial" w:cs="Arial"/>
          <w:color w:val="000000"/>
          <w:sz w:val="20"/>
          <w:szCs w:val="20"/>
        </w:rPr>
        <w:t>u HBOR-u, a koji imaju 0,5% ili više dionica odnosno udjela u vlasništvu, uključujući i poslovne subjekte u kojima su dužnosnici prenijeli svoja upravljačka prava na temelju udjela u kapitalu društva na</w:t>
      </w:r>
      <w:r w:rsidR="00B94AE2">
        <w:rPr>
          <w:rFonts w:ascii="Arial" w:hAnsi="Arial" w:cs="Arial"/>
          <w:color w:val="000000"/>
          <w:sz w:val="20"/>
          <w:szCs w:val="20"/>
        </w:rPr>
        <w:t xml:space="preserve"> drugu osobu ili posebno tijelo</w:t>
      </w:r>
      <w:r w:rsidRPr="000101CF">
        <w:rPr>
          <w:rFonts w:ascii="Arial" w:hAnsi="Arial" w:cs="Arial"/>
          <w:color w:val="000000"/>
          <w:sz w:val="20"/>
          <w:szCs w:val="20"/>
        </w:rPr>
        <w:t>;</w:t>
      </w:r>
    </w:p>
    <w:p w14:paraId="57FE9D15" w14:textId="3398A741" w:rsidR="008B5176" w:rsidRPr="000101CF" w:rsidRDefault="008B5176" w:rsidP="008B5176">
      <w:pPr>
        <w:pStyle w:val="Style10"/>
        <w:numPr>
          <w:ilvl w:val="0"/>
          <w:numId w:val="4"/>
        </w:numPr>
        <w:shd w:val="clear" w:color="auto" w:fill="auto"/>
        <w:tabs>
          <w:tab w:val="left" w:pos="733"/>
        </w:tabs>
        <w:spacing w:before="0" w:after="0" w:line="276" w:lineRule="auto"/>
        <w:ind w:left="740" w:hanging="420"/>
        <w:rPr>
          <w:rFonts w:ascii="Arial" w:hAnsi="Arial" w:cs="Arial"/>
          <w:sz w:val="20"/>
          <w:szCs w:val="20"/>
        </w:rPr>
      </w:pPr>
      <w:r w:rsidRPr="000101CF">
        <w:rPr>
          <w:rFonts w:ascii="Arial" w:hAnsi="Arial" w:cs="Arial"/>
          <w:color w:val="000000"/>
          <w:sz w:val="20"/>
          <w:szCs w:val="20"/>
        </w:rPr>
        <w:t>poslovnih subjekata u kojima član obitelji dužnosnika koji u HBOR-u obnaša dužnost ima 0,5</w:t>
      </w:r>
      <w:r w:rsidR="00B8725D">
        <w:rPr>
          <w:rFonts w:ascii="Arial" w:hAnsi="Arial" w:cs="Arial"/>
          <w:color w:val="000000"/>
          <w:sz w:val="20"/>
          <w:szCs w:val="20"/>
        </w:rPr>
        <w:t>% ili više udjela u vlasništvu (i radi se o s</w:t>
      </w:r>
      <w:r w:rsidRPr="000101CF">
        <w:rPr>
          <w:rFonts w:ascii="Arial" w:hAnsi="Arial" w:cs="Arial"/>
          <w:color w:val="000000"/>
          <w:sz w:val="20"/>
          <w:szCs w:val="20"/>
        </w:rPr>
        <w:t>lučaju kada je član obitelji dužnosnika na bilo koji način, izravno ili neizravno, stekao predmetni udio, odnosno dionice od dužnosnika u razdoblju od dvije godine prije imenovanja odnosno izbora na ovu dužnost pa do prestanka njezinog obnašanja</w:t>
      </w:r>
      <w:r w:rsidR="00B8725D">
        <w:rPr>
          <w:rFonts w:ascii="Arial" w:hAnsi="Arial" w:cs="Arial"/>
          <w:color w:val="000000"/>
          <w:sz w:val="20"/>
          <w:szCs w:val="20"/>
        </w:rPr>
        <w:t>)</w:t>
      </w:r>
      <w:r w:rsidRPr="000101CF">
        <w:rPr>
          <w:rFonts w:ascii="Arial" w:hAnsi="Arial" w:cs="Arial"/>
          <w:color w:val="000000"/>
          <w:sz w:val="20"/>
          <w:szCs w:val="20"/>
        </w:rPr>
        <w:t>.</w:t>
      </w:r>
    </w:p>
    <w:p w14:paraId="5DDD08D7" w14:textId="77777777" w:rsidR="008B5176" w:rsidRPr="000101CF" w:rsidRDefault="008B5176" w:rsidP="008B5176">
      <w:pPr>
        <w:pStyle w:val="Style10"/>
        <w:shd w:val="clear" w:color="auto" w:fill="auto"/>
        <w:spacing w:before="0" w:after="0" w:line="276" w:lineRule="auto"/>
        <w:ind w:firstLine="0"/>
        <w:rPr>
          <w:rFonts w:ascii="Arial" w:hAnsi="Arial" w:cs="Arial"/>
          <w:color w:val="000000"/>
          <w:sz w:val="20"/>
          <w:szCs w:val="20"/>
        </w:rPr>
      </w:pPr>
    </w:p>
    <w:p w14:paraId="03A9149F" w14:textId="77777777" w:rsidR="008B5176" w:rsidRPr="000101CF" w:rsidRDefault="008B5176" w:rsidP="008B5176">
      <w:pPr>
        <w:pStyle w:val="Style10"/>
        <w:shd w:val="clear" w:color="auto" w:fill="auto"/>
        <w:spacing w:before="0" w:after="0" w:line="276" w:lineRule="auto"/>
        <w:ind w:firstLine="0"/>
        <w:rPr>
          <w:rFonts w:ascii="Arial" w:hAnsi="Arial" w:cs="Arial"/>
          <w:sz w:val="20"/>
          <w:szCs w:val="20"/>
        </w:rPr>
      </w:pPr>
      <w:r w:rsidRPr="000101CF">
        <w:rPr>
          <w:rFonts w:ascii="Arial" w:hAnsi="Arial" w:cs="Arial"/>
          <w:color w:val="000000"/>
          <w:sz w:val="20"/>
          <w:szCs w:val="20"/>
        </w:rPr>
        <w:t xml:space="preserve">HBOR </w:t>
      </w:r>
      <w:r w:rsidRPr="000101CF">
        <w:rPr>
          <w:rStyle w:val="CharStyle12"/>
          <w:rFonts w:ascii="Arial" w:eastAsia="Calibri" w:hAnsi="Arial" w:cs="Arial"/>
          <w:sz w:val="20"/>
          <w:szCs w:val="20"/>
        </w:rPr>
        <w:t xml:space="preserve">može </w:t>
      </w:r>
      <w:r w:rsidRPr="000101CF">
        <w:rPr>
          <w:rFonts w:ascii="Arial" w:hAnsi="Arial" w:cs="Arial"/>
          <w:color w:val="000000"/>
          <w:sz w:val="20"/>
          <w:szCs w:val="20"/>
        </w:rPr>
        <w:t>razmatrati mogućnost odobrenja kredita prema zahtjevima:</w:t>
      </w:r>
    </w:p>
    <w:p w14:paraId="415AF040" w14:textId="77777777" w:rsidR="00B8725D" w:rsidRPr="00B8725D" w:rsidRDefault="008B5176" w:rsidP="008B5176">
      <w:pPr>
        <w:pStyle w:val="Style10"/>
        <w:numPr>
          <w:ilvl w:val="0"/>
          <w:numId w:val="4"/>
        </w:numPr>
        <w:shd w:val="clear" w:color="auto" w:fill="auto"/>
        <w:tabs>
          <w:tab w:val="left" w:pos="733"/>
        </w:tabs>
        <w:spacing w:before="0" w:after="0" w:line="276" w:lineRule="auto"/>
        <w:ind w:left="740" w:hanging="420"/>
        <w:rPr>
          <w:rFonts w:ascii="Arial" w:hAnsi="Arial" w:cs="Arial"/>
          <w:sz w:val="20"/>
          <w:szCs w:val="20"/>
        </w:rPr>
      </w:pPr>
      <w:r w:rsidRPr="000101CF">
        <w:rPr>
          <w:rFonts w:ascii="Arial" w:hAnsi="Arial" w:cs="Arial"/>
          <w:color w:val="000000"/>
          <w:sz w:val="20"/>
          <w:szCs w:val="20"/>
        </w:rPr>
        <w:t xml:space="preserve">trgovačkih društava (i ostalih poslovnih subjekata) u čijoj su vlasničkoj strukturi dužnosnici koji imaju 0,5% ili više dionica odnosno udjela u vlasništvu, uključujući i poslovne subjekte u kojima su dužnosnici prenijeli svoja upravljačka prava na temelju udjela u kapitalu društva na </w:t>
      </w:r>
      <w:r w:rsidR="00B8725D">
        <w:rPr>
          <w:rFonts w:ascii="Arial" w:hAnsi="Arial" w:cs="Arial"/>
          <w:color w:val="000000"/>
          <w:sz w:val="20"/>
          <w:szCs w:val="20"/>
        </w:rPr>
        <w:t>drugu osobu ili posebno tijelo.</w:t>
      </w:r>
    </w:p>
    <w:p w14:paraId="0888DC8D" w14:textId="69D8E876" w:rsidR="008B5176" w:rsidRPr="000101CF" w:rsidRDefault="008B5176" w:rsidP="00B8725D">
      <w:pPr>
        <w:pStyle w:val="Style10"/>
        <w:shd w:val="clear" w:color="auto" w:fill="auto"/>
        <w:tabs>
          <w:tab w:val="left" w:pos="733"/>
        </w:tabs>
        <w:spacing w:before="0" w:after="0" w:line="276" w:lineRule="auto"/>
        <w:ind w:left="740" w:firstLine="0"/>
        <w:rPr>
          <w:rFonts w:ascii="Arial" w:hAnsi="Arial" w:cs="Arial"/>
          <w:sz w:val="20"/>
          <w:szCs w:val="20"/>
        </w:rPr>
      </w:pPr>
      <w:r w:rsidRPr="000101CF">
        <w:rPr>
          <w:rFonts w:ascii="Arial" w:hAnsi="Arial" w:cs="Arial"/>
          <w:color w:val="000000"/>
          <w:sz w:val="20"/>
          <w:szCs w:val="20"/>
        </w:rPr>
        <w:t>Trgovačko društvo je dužno pravovremeno obavijestiti Povjerenstvo</w:t>
      </w:r>
      <w:r w:rsidR="00976789">
        <w:rPr>
          <w:rFonts w:ascii="Arial" w:hAnsi="Arial" w:cs="Arial"/>
          <w:color w:val="000000"/>
          <w:sz w:val="20"/>
          <w:szCs w:val="20"/>
        </w:rPr>
        <w:t xml:space="preserve"> za odlučivanje o sukobu </w:t>
      </w:r>
      <w:r w:rsidR="00976789">
        <w:rPr>
          <w:rFonts w:ascii="Arial" w:hAnsi="Arial" w:cs="Arial"/>
          <w:color w:val="000000"/>
          <w:sz w:val="20"/>
          <w:szCs w:val="20"/>
        </w:rPr>
        <w:lastRenderedPageBreak/>
        <w:t>interesa</w:t>
      </w:r>
      <w:r w:rsidRPr="000101CF">
        <w:rPr>
          <w:rFonts w:ascii="Arial" w:hAnsi="Arial" w:cs="Arial"/>
          <w:color w:val="000000"/>
          <w:sz w:val="20"/>
          <w:szCs w:val="20"/>
        </w:rPr>
        <w:t xml:space="preserve"> o stupanju u poslovni odnos s HBOR-om;</w:t>
      </w:r>
    </w:p>
    <w:p w14:paraId="77665D95" w14:textId="77777777" w:rsidR="00B8725D" w:rsidRPr="00B8725D" w:rsidRDefault="008B5176" w:rsidP="009B6499">
      <w:pPr>
        <w:pStyle w:val="Style10"/>
        <w:numPr>
          <w:ilvl w:val="0"/>
          <w:numId w:val="4"/>
        </w:numPr>
        <w:shd w:val="clear" w:color="auto" w:fill="auto"/>
        <w:tabs>
          <w:tab w:val="left" w:pos="0"/>
        </w:tabs>
        <w:spacing w:before="0" w:after="0" w:line="276" w:lineRule="auto"/>
        <w:rPr>
          <w:rFonts w:ascii="Arial" w:hAnsi="Arial" w:cs="Arial"/>
          <w:sz w:val="20"/>
          <w:szCs w:val="20"/>
        </w:rPr>
      </w:pPr>
      <w:r w:rsidRPr="000101CF">
        <w:rPr>
          <w:rFonts w:ascii="Arial" w:hAnsi="Arial" w:cs="Arial"/>
          <w:color w:val="000000"/>
          <w:sz w:val="20"/>
          <w:szCs w:val="20"/>
        </w:rPr>
        <w:t xml:space="preserve">poslovnih subjekata u kojima član obitelji dužnosnika koji </w:t>
      </w:r>
      <w:r w:rsidR="00976789" w:rsidRPr="000101CF">
        <w:rPr>
          <w:rFonts w:ascii="Arial" w:hAnsi="Arial" w:cs="Arial"/>
          <w:color w:val="000000"/>
          <w:sz w:val="20"/>
          <w:szCs w:val="20"/>
        </w:rPr>
        <w:t xml:space="preserve">obnaša dužnost </w:t>
      </w:r>
      <w:r w:rsidRPr="000101CF">
        <w:rPr>
          <w:rFonts w:ascii="Arial" w:hAnsi="Arial" w:cs="Arial"/>
          <w:color w:val="000000"/>
          <w:sz w:val="20"/>
          <w:szCs w:val="20"/>
        </w:rPr>
        <w:t>u HBOR-u ima 0,5% ili više udjela u vlasništvu</w:t>
      </w:r>
      <w:r w:rsidR="009D3C6B">
        <w:rPr>
          <w:rFonts w:ascii="Arial" w:hAnsi="Arial" w:cs="Arial"/>
          <w:color w:val="000000"/>
          <w:sz w:val="20"/>
          <w:szCs w:val="20"/>
        </w:rPr>
        <w:t xml:space="preserve"> (i ne radi se o slučaju </w:t>
      </w:r>
      <w:r w:rsidR="009D3C6B" w:rsidRPr="000101CF">
        <w:rPr>
          <w:rFonts w:ascii="Arial" w:hAnsi="Arial" w:cs="Arial"/>
          <w:color w:val="000000"/>
          <w:sz w:val="20"/>
          <w:szCs w:val="20"/>
        </w:rPr>
        <w:t>kada je član obitelji dužnosnika na bilo koji način, izravno ili neizravno, stekao predmetni udio, odnosno dionice od dužnosnika u razdoblju od dvije godine prije imenovanja odnosno izbora na ovu dužnost pa do prestanka njezinog obnašanja</w:t>
      </w:r>
      <w:r w:rsidR="00B8725D">
        <w:rPr>
          <w:rFonts w:ascii="Arial" w:hAnsi="Arial" w:cs="Arial"/>
          <w:color w:val="000000"/>
          <w:sz w:val="20"/>
          <w:szCs w:val="20"/>
        </w:rPr>
        <w:t xml:space="preserve">). </w:t>
      </w:r>
    </w:p>
    <w:p w14:paraId="0581B6F6" w14:textId="0A4E42D3" w:rsidR="008B5176" w:rsidRPr="000101CF" w:rsidRDefault="008B5176" w:rsidP="00686C0F">
      <w:pPr>
        <w:pStyle w:val="Style10"/>
        <w:shd w:val="clear" w:color="auto" w:fill="auto"/>
        <w:tabs>
          <w:tab w:val="left" w:pos="733"/>
        </w:tabs>
        <w:spacing w:before="0" w:after="0" w:line="276" w:lineRule="auto"/>
        <w:ind w:firstLine="0"/>
        <w:rPr>
          <w:rFonts w:ascii="Arial" w:hAnsi="Arial" w:cs="Arial"/>
          <w:sz w:val="20"/>
          <w:szCs w:val="20"/>
        </w:rPr>
      </w:pPr>
      <w:r w:rsidRPr="000101CF">
        <w:rPr>
          <w:rFonts w:ascii="Arial" w:hAnsi="Arial" w:cs="Arial"/>
          <w:color w:val="000000"/>
          <w:sz w:val="20"/>
          <w:szCs w:val="20"/>
        </w:rPr>
        <w:t>Dužnosnik koji obnaša dužnost u HBOR-u je dužan o ovoj okolnosti pravodobno obavijestiti Povjerenstvo</w:t>
      </w:r>
      <w:r w:rsidR="00976789">
        <w:rPr>
          <w:rFonts w:ascii="Arial" w:hAnsi="Arial" w:cs="Arial"/>
          <w:color w:val="000000"/>
          <w:sz w:val="20"/>
          <w:szCs w:val="20"/>
        </w:rPr>
        <w:t xml:space="preserve"> za odlučivanje o sukobu interesa</w:t>
      </w:r>
      <w:r w:rsidRPr="000101CF">
        <w:rPr>
          <w:rFonts w:ascii="Arial" w:hAnsi="Arial" w:cs="Arial"/>
          <w:color w:val="000000"/>
          <w:sz w:val="20"/>
          <w:szCs w:val="20"/>
        </w:rPr>
        <w:t xml:space="preserve"> i HBOR.</w:t>
      </w:r>
    </w:p>
    <w:p w14:paraId="5C54B583" w14:textId="77777777" w:rsidR="008B5176" w:rsidRPr="000101CF" w:rsidRDefault="008B5176" w:rsidP="008B5176">
      <w:pPr>
        <w:pStyle w:val="Style10"/>
        <w:shd w:val="clear" w:color="auto" w:fill="auto"/>
        <w:spacing w:before="0" w:after="0" w:line="276" w:lineRule="auto"/>
        <w:ind w:firstLine="0"/>
        <w:rPr>
          <w:rFonts w:ascii="Arial" w:hAnsi="Arial" w:cs="Arial"/>
          <w:color w:val="000000"/>
          <w:sz w:val="20"/>
          <w:szCs w:val="20"/>
        </w:rPr>
      </w:pPr>
    </w:p>
    <w:p w14:paraId="38C43AA2" w14:textId="77777777" w:rsidR="008B5176" w:rsidRPr="000101CF" w:rsidRDefault="008B5176" w:rsidP="008B5176">
      <w:pPr>
        <w:pStyle w:val="Style10"/>
        <w:shd w:val="clear" w:color="auto" w:fill="auto"/>
        <w:spacing w:before="0" w:after="0" w:line="276" w:lineRule="auto"/>
        <w:ind w:firstLine="0"/>
        <w:rPr>
          <w:rFonts w:ascii="Arial" w:hAnsi="Arial" w:cs="Arial"/>
          <w:sz w:val="20"/>
          <w:szCs w:val="20"/>
        </w:rPr>
      </w:pPr>
      <w:r w:rsidRPr="000101CF">
        <w:rPr>
          <w:rFonts w:ascii="Arial" w:hAnsi="Arial" w:cs="Arial"/>
          <w:color w:val="000000"/>
          <w:sz w:val="20"/>
          <w:szCs w:val="20"/>
        </w:rPr>
        <w:t>U slučaju dvojbe je li neko ponašanje u skladu s načelima javnih dužnosti, dužnosnici moraju zatražiti mišljenje Povjerenstva za odlučivanje o sukobu interesa.</w:t>
      </w:r>
    </w:p>
    <w:p w14:paraId="5B0A1CBC" w14:textId="77777777" w:rsidR="008B5176" w:rsidRPr="000101CF" w:rsidRDefault="008B5176" w:rsidP="008B5176">
      <w:pPr>
        <w:pStyle w:val="Style10"/>
        <w:shd w:val="clear" w:color="auto" w:fill="auto"/>
        <w:spacing w:before="0" w:after="0" w:line="276" w:lineRule="auto"/>
        <w:ind w:firstLine="0"/>
        <w:rPr>
          <w:rFonts w:ascii="Arial" w:hAnsi="Arial" w:cs="Arial"/>
          <w:color w:val="000000"/>
          <w:sz w:val="20"/>
          <w:szCs w:val="20"/>
        </w:rPr>
      </w:pPr>
    </w:p>
    <w:p w14:paraId="2DFD47DE" w14:textId="77777777" w:rsidR="008B5176" w:rsidRPr="000101CF" w:rsidRDefault="008B5176" w:rsidP="008B5176">
      <w:pPr>
        <w:pStyle w:val="Style10"/>
        <w:shd w:val="clear" w:color="auto" w:fill="auto"/>
        <w:spacing w:before="0" w:after="0" w:line="276" w:lineRule="auto"/>
        <w:ind w:firstLine="0"/>
        <w:rPr>
          <w:rFonts w:ascii="Arial" w:hAnsi="Arial" w:cs="Arial"/>
          <w:sz w:val="20"/>
          <w:szCs w:val="20"/>
        </w:rPr>
      </w:pPr>
      <w:r w:rsidRPr="000101CF">
        <w:rPr>
          <w:rFonts w:ascii="Arial" w:hAnsi="Arial" w:cs="Arial"/>
          <w:color w:val="000000"/>
          <w:sz w:val="20"/>
          <w:szCs w:val="20"/>
        </w:rPr>
        <w:t>Dužnosnik je dužan urediti svoje privatne poslove kako bi se spriječio predvidljivi sukob interesa. Ako se pojavi sukob interesa, dužnosnik je dužan razriješiti ga.</w:t>
      </w:r>
    </w:p>
    <w:p w14:paraId="68BAD4E1" w14:textId="77777777" w:rsidR="008B5176" w:rsidRPr="000101CF" w:rsidRDefault="008B5176" w:rsidP="008B5176">
      <w:pPr>
        <w:pStyle w:val="Style10"/>
        <w:shd w:val="clear" w:color="auto" w:fill="auto"/>
        <w:spacing w:before="0" w:after="0" w:line="276" w:lineRule="auto"/>
        <w:ind w:firstLine="0"/>
        <w:rPr>
          <w:rFonts w:ascii="Arial" w:hAnsi="Arial" w:cs="Arial"/>
          <w:color w:val="000000"/>
          <w:sz w:val="20"/>
          <w:szCs w:val="20"/>
        </w:rPr>
      </w:pPr>
    </w:p>
    <w:p w14:paraId="6285B5A5" w14:textId="0F1ADCC4" w:rsidR="0051405D" w:rsidRDefault="008B5176" w:rsidP="008B5176">
      <w:pPr>
        <w:pStyle w:val="Style10"/>
        <w:shd w:val="clear" w:color="auto" w:fill="auto"/>
        <w:spacing w:before="0" w:after="0" w:line="276" w:lineRule="auto"/>
        <w:ind w:firstLine="0"/>
        <w:rPr>
          <w:rFonts w:ascii="Arial" w:hAnsi="Arial" w:cs="Arial"/>
          <w:color w:val="000000"/>
          <w:sz w:val="20"/>
          <w:szCs w:val="20"/>
        </w:rPr>
      </w:pPr>
      <w:r w:rsidRPr="000101CF">
        <w:rPr>
          <w:rFonts w:ascii="Arial" w:hAnsi="Arial" w:cs="Arial"/>
          <w:color w:val="000000"/>
          <w:sz w:val="20"/>
          <w:szCs w:val="20"/>
        </w:rPr>
        <w:t>Članove obitelji dužnosnika čine bračni ili izvanbračni drug dužnosnika, njegovi srodnici po krvi u uspravnoj lozi, braća i sestre dužnosnika te posvojitelj, odnosno posvojenik dužnosnika.</w:t>
      </w:r>
    </w:p>
    <w:p w14:paraId="25A6F6B4" w14:textId="68BF0AF1" w:rsidR="00F0675B" w:rsidRPr="00781E9C" w:rsidRDefault="00F0675B" w:rsidP="00781E9C">
      <w:pPr>
        <w:pStyle w:val="HeadingA"/>
        <w:numPr>
          <w:ilvl w:val="0"/>
          <w:numId w:val="11"/>
        </w:numPr>
        <w:pBdr>
          <w:bottom w:val="single" w:sz="4" w:space="1" w:color="auto"/>
        </w:pBdr>
        <w:spacing w:before="480"/>
        <w:ind w:left="357" w:hanging="357"/>
        <w:outlineLvl w:val="0"/>
        <w:rPr>
          <w:rFonts w:ascii="Arial" w:hAnsi="Arial" w:cs="Arial"/>
        </w:rPr>
      </w:pPr>
      <w:bookmarkStart w:id="38" w:name="_Toc534881548"/>
      <w:bookmarkStart w:id="39" w:name="_Toc4408950"/>
      <w:bookmarkEnd w:id="37"/>
      <w:r w:rsidRPr="00781E9C">
        <w:rPr>
          <w:rFonts w:ascii="Arial" w:hAnsi="Arial" w:cs="Arial"/>
        </w:rPr>
        <w:t xml:space="preserve">Poticajne kamatne stope i propisi o </w:t>
      </w:r>
      <w:r w:rsidR="002B13A8" w:rsidRPr="00781E9C">
        <w:rPr>
          <w:rFonts w:ascii="Arial" w:hAnsi="Arial" w:cs="Arial"/>
        </w:rPr>
        <w:t>potporama</w:t>
      </w:r>
      <w:bookmarkEnd w:id="38"/>
      <w:bookmarkEnd w:id="39"/>
    </w:p>
    <w:p w14:paraId="63B93CE8" w14:textId="4BBEAE87" w:rsidR="00A76941" w:rsidRPr="000101CF" w:rsidRDefault="00A76941" w:rsidP="00A76941">
      <w:pPr>
        <w:pStyle w:val="Header"/>
        <w:spacing w:line="276" w:lineRule="auto"/>
        <w:jc w:val="both"/>
        <w:rPr>
          <w:rFonts w:cs="Arial"/>
          <w:szCs w:val="20"/>
        </w:rPr>
      </w:pPr>
      <w:r w:rsidRPr="000101CF">
        <w:rPr>
          <w:rFonts w:cs="Arial"/>
          <w:szCs w:val="20"/>
        </w:rPr>
        <w:t>HBOR temeljem svojih programa kreditiranja</w:t>
      </w:r>
      <w:r>
        <w:rPr>
          <w:rFonts w:cs="Arial"/>
          <w:szCs w:val="20"/>
        </w:rPr>
        <w:t xml:space="preserve"> </w:t>
      </w:r>
      <w:r w:rsidRPr="000101CF">
        <w:rPr>
          <w:rFonts w:cs="Arial"/>
          <w:szCs w:val="20"/>
        </w:rPr>
        <w:t>odobrava kredite</w:t>
      </w:r>
      <w:r w:rsidR="00DB2275">
        <w:rPr>
          <w:rFonts w:cs="Arial"/>
          <w:szCs w:val="20"/>
        </w:rPr>
        <w:t xml:space="preserve"> uz poticajnu kamatnu stopu ili uz opću kamatnu stopu ako kredit nije moguće odobriti uz poticajnu kamatnu stopu.</w:t>
      </w:r>
    </w:p>
    <w:p w14:paraId="5EF29468" w14:textId="138209A6" w:rsidR="00A76941" w:rsidRDefault="00A76941" w:rsidP="00F24F69">
      <w:pPr>
        <w:tabs>
          <w:tab w:val="left" w:pos="540"/>
        </w:tabs>
        <w:spacing w:line="276" w:lineRule="auto"/>
        <w:jc w:val="both"/>
        <w:outlineLvl w:val="1"/>
        <w:rPr>
          <w:rFonts w:cs="Arial"/>
          <w:szCs w:val="20"/>
        </w:rPr>
      </w:pPr>
    </w:p>
    <w:p w14:paraId="4A0853AA" w14:textId="65BF8D92" w:rsidR="00DB2275" w:rsidRDefault="00DB2275" w:rsidP="00DB2275">
      <w:pPr>
        <w:pStyle w:val="Header"/>
        <w:tabs>
          <w:tab w:val="clear" w:pos="4536"/>
          <w:tab w:val="clear" w:pos="9072"/>
          <w:tab w:val="center" w:pos="4703"/>
          <w:tab w:val="right" w:pos="9406"/>
        </w:tabs>
        <w:spacing w:line="276" w:lineRule="auto"/>
        <w:jc w:val="both"/>
        <w:rPr>
          <w:rFonts w:cs="Arial"/>
          <w:szCs w:val="20"/>
        </w:rPr>
      </w:pPr>
      <w:r w:rsidRPr="00DB2275">
        <w:rPr>
          <w:rFonts w:cs="Arial"/>
          <w:b/>
          <w:szCs w:val="20"/>
        </w:rPr>
        <w:t>Opća kamatna stopa</w:t>
      </w:r>
      <w:r>
        <w:rPr>
          <w:rFonts w:cs="Arial"/>
          <w:szCs w:val="20"/>
        </w:rPr>
        <w:t xml:space="preserve"> je </w:t>
      </w:r>
      <w:r w:rsidRPr="00FF1E16">
        <w:rPr>
          <w:rFonts w:cs="Arial"/>
          <w:szCs w:val="20"/>
        </w:rPr>
        <w:t>referentn</w:t>
      </w:r>
      <w:r>
        <w:rPr>
          <w:rFonts w:cs="Arial"/>
          <w:szCs w:val="20"/>
        </w:rPr>
        <w:t>a</w:t>
      </w:r>
      <w:r w:rsidRPr="00FF1E16">
        <w:rPr>
          <w:rFonts w:cs="Arial"/>
          <w:szCs w:val="20"/>
        </w:rPr>
        <w:t xml:space="preserve"> kamatn</w:t>
      </w:r>
      <w:r>
        <w:rPr>
          <w:rFonts w:cs="Arial"/>
          <w:szCs w:val="20"/>
        </w:rPr>
        <w:t>a</w:t>
      </w:r>
      <w:r w:rsidRPr="00FF1E16">
        <w:rPr>
          <w:rFonts w:cs="Arial"/>
          <w:szCs w:val="20"/>
        </w:rPr>
        <w:t xml:space="preserve"> stop</w:t>
      </w:r>
      <w:r>
        <w:rPr>
          <w:rFonts w:cs="Arial"/>
          <w:szCs w:val="20"/>
        </w:rPr>
        <w:t>a</w:t>
      </w:r>
      <w:r w:rsidR="000C7371" w:rsidRPr="00830A77">
        <w:rPr>
          <w:rStyle w:val="FootnoteReference"/>
          <w:rFonts w:cs="Arial"/>
          <w:szCs w:val="20"/>
        </w:rPr>
        <w:footnoteReference w:id="5"/>
      </w:r>
      <w:r w:rsidRPr="00FF1E16">
        <w:rPr>
          <w:rFonts w:cs="Arial"/>
          <w:szCs w:val="20"/>
        </w:rPr>
        <w:t xml:space="preserve"> </w:t>
      </w:r>
      <w:r>
        <w:rPr>
          <w:rFonts w:cs="Arial"/>
          <w:szCs w:val="20"/>
        </w:rPr>
        <w:t xml:space="preserve">koja može biti uvećana </w:t>
      </w:r>
      <w:r w:rsidRPr="00FF1E16">
        <w:rPr>
          <w:rFonts w:cs="Arial"/>
          <w:szCs w:val="20"/>
        </w:rPr>
        <w:t xml:space="preserve">ovisno o HBOR-ovim izvorima financiranja i kretanjima na financijskom tržištu te o mjerama upravljanja aktivom i </w:t>
      </w:r>
      <w:r>
        <w:rPr>
          <w:rFonts w:cs="Arial"/>
          <w:szCs w:val="20"/>
        </w:rPr>
        <w:t>pasivom u cilju zaštite kapitala.</w:t>
      </w:r>
    </w:p>
    <w:p w14:paraId="1320C8FF" w14:textId="6BCBA358" w:rsidR="00DB2275" w:rsidRDefault="00DB2275" w:rsidP="00DB2275">
      <w:pPr>
        <w:pStyle w:val="Header"/>
        <w:tabs>
          <w:tab w:val="clear" w:pos="4536"/>
          <w:tab w:val="clear" w:pos="9072"/>
          <w:tab w:val="center" w:pos="4703"/>
          <w:tab w:val="right" w:pos="9406"/>
        </w:tabs>
        <w:spacing w:line="276" w:lineRule="auto"/>
        <w:jc w:val="both"/>
        <w:rPr>
          <w:rFonts w:cs="Arial"/>
          <w:szCs w:val="20"/>
        </w:rPr>
      </w:pPr>
    </w:p>
    <w:p w14:paraId="13FA1F97" w14:textId="6DC25A51" w:rsidR="00ED048B" w:rsidRDefault="00DB2275" w:rsidP="00DB2275">
      <w:pPr>
        <w:pStyle w:val="Header"/>
        <w:tabs>
          <w:tab w:val="clear" w:pos="4536"/>
          <w:tab w:val="clear" w:pos="9072"/>
          <w:tab w:val="center" w:pos="4703"/>
          <w:tab w:val="right" w:pos="9406"/>
        </w:tabs>
        <w:spacing w:line="276" w:lineRule="auto"/>
        <w:jc w:val="both"/>
        <w:rPr>
          <w:rFonts w:cs="Arial"/>
          <w:szCs w:val="20"/>
        </w:rPr>
      </w:pPr>
      <w:r w:rsidRPr="00DB2275">
        <w:rPr>
          <w:rFonts w:cs="Arial"/>
          <w:b/>
          <w:szCs w:val="20"/>
        </w:rPr>
        <w:t>Poticajna kamatna stopa</w:t>
      </w:r>
      <w:r>
        <w:rPr>
          <w:rFonts w:cs="Arial"/>
          <w:szCs w:val="20"/>
        </w:rPr>
        <w:t xml:space="preserve"> je e</w:t>
      </w:r>
      <w:r w:rsidRPr="000101CF">
        <w:rPr>
          <w:rFonts w:cs="Arial"/>
          <w:szCs w:val="20"/>
        </w:rPr>
        <w:t>fektivn</w:t>
      </w:r>
      <w:r>
        <w:rPr>
          <w:rFonts w:cs="Arial"/>
          <w:szCs w:val="20"/>
        </w:rPr>
        <w:t>a</w:t>
      </w:r>
      <w:r w:rsidRPr="000101CF">
        <w:rPr>
          <w:rFonts w:cs="Arial"/>
          <w:szCs w:val="20"/>
        </w:rPr>
        <w:t xml:space="preserve"> kamatn</w:t>
      </w:r>
      <w:r>
        <w:rPr>
          <w:rFonts w:cs="Arial"/>
          <w:szCs w:val="20"/>
        </w:rPr>
        <w:t>a</w:t>
      </w:r>
      <w:r w:rsidRPr="000101CF">
        <w:rPr>
          <w:rFonts w:cs="Arial"/>
          <w:szCs w:val="20"/>
        </w:rPr>
        <w:t xml:space="preserve"> stop</w:t>
      </w:r>
      <w:r>
        <w:rPr>
          <w:rFonts w:cs="Arial"/>
          <w:szCs w:val="20"/>
        </w:rPr>
        <w:t>a</w:t>
      </w:r>
      <w:r w:rsidRPr="00830A77">
        <w:rPr>
          <w:rStyle w:val="FootnoteReference"/>
          <w:rFonts w:cs="Arial"/>
          <w:szCs w:val="20"/>
        </w:rPr>
        <w:footnoteReference w:id="6"/>
      </w:r>
      <w:r w:rsidRPr="00830A77">
        <w:rPr>
          <w:rFonts w:cs="Arial"/>
          <w:szCs w:val="20"/>
        </w:rPr>
        <w:t xml:space="preserve"> </w:t>
      </w:r>
      <w:r>
        <w:rPr>
          <w:rFonts w:cs="Arial"/>
          <w:szCs w:val="20"/>
        </w:rPr>
        <w:t xml:space="preserve">koja je </w:t>
      </w:r>
      <w:r w:rsidRPr="000101CF">
        <w:rPr>
          <w:rFonts w:cs="Arial"/>
          <w:szCs w:val="20"/>
        </w:rPr>
        <w:t>niž</w:t>
      </w:r>
      <w:r>
        <w:rPr>
          <w:rFonts w:cs="Arial"/>
          <w:szCs w:val="20"/>
        </w:rPr>
        <w:t>a</w:t>
      </w:r>
      <w:r w:rsidRPr="000101CF">
        <w:rPr>
          <w:rFonts w:cs="Arial"/>
          <w:szCs w:val="20"/>
        </w:rPr>
        <w:t xml:space="preserve"> od referentne kamatne stope</w:t>
      </w:r>
      <w:r>
        <w:rPr>
          <w:rFonts w:cs="Arial"/>
          <w:szCs w:val="20"/>
        </w:rPr>
        <w:t xml:space="preserve">. </w:t>
      </w:r>
      <w:r w:rsidR="00ED048B">
        <w:rPr>
          <w:rFonts w:cs="Arial"/>
          <w:szCs w:val="20"/>
        </w:rPr>
        <w:t>Ako se kredit odobrava</w:t>
      </w:r>
      <w:r w:rsidR="000C7371">
        <w:rPr>
          <w:rFonts w:cs="Arial"/>
          <w:szCs w:val="20"/>
        </w:rPr>
        <w:t>/ugovara</w:t>
      </w:r>
      <w:r w:rsidR="00ED048B">
        <w:rPr>
          <w:rFonts w:cs="Arial"/>
          <w:szCs w:val="20"/>
        </w:rPr>
        <w:t xml:space="preserve"> uz poticajnu kamatnu stopu, HBOR </w:t>
      </w:r>
      <w:r w:rsidR="00ED048B" w:rsidRPr="00A76941">
        <w:rPr>
          <w:rFonts w:cs="Arial"/>
          <w:szCs w:val="20"/>
        </w:rPr>
        <w:t xml:space="preserve">korisniku kredita </w:t>
      </w:r>
      <w:r w:rsidR="00ED048B">
        <w:rPr>
          <w:rFonts w:cs="Arial"/>
          <w:szCs w:val="20"/>
        </w:rPr>
        <w:t>dodjeljuje potporu</w:t>
      </w:r>
      <w:r w:rsidR="00ED048B" w:rsidRPr="00A76941">
        <w:rPr>
          <w:rFonts w:cs="Arial"/>
          <w:szCs w:val="20"/>
        </w:rPr>
        <w:t xml:space="preserve">. </w:t>
      </w:r>
    </w:p>
    <w:p w14:paraId="0E68B212" w14:textId="7C6138E5" w:rsidR="00ED048B" w:rsidRDefault="00ED048B" w:rsidP="00F24F69">
      <w:pPr>
        <w:tabs>
          <w:tab w:val="left" w:pos="540"/>
        </w:tabs>
        <w:spacing w:line="276" w:lineRule="auto"/>
        <w:jc w:val="both"/>
        <w:outlineLvl w:val="1"/>
        <w:rPr>
          <w:rFonts w:cs="Arial"/>
          <w:szCs w:val="20"/>
        </w:rPr>
      </w:pPr>
    </w:p>
    <w:p w14:paraId="67BF94FA" w14:textId="129DF0C4" w:rsidR="00A76941" w:rsidRDefault="005320FE" w:rsidP="00F24F69">
      <w:pPr>
        <w:tabs>
          <w:tab w:val="left" w:pos="540"/>
        </w:tabs>
        <w:spacing w:line="276" w:lineRule="auto"/>
        <w:jc w:val="both"/>
        <w:outlineLvl w:val="1"/>
        <w:rPr>
          <w:rFonts w:cs="Arial"/>
          <w:szCs w:val="20"/>
        </w:rPr>
      </w:pPr>
      <w:bookmarkStart w:id="40" w:name="_Toc4408951"/>
      <w:r w:rsidRPr="005164D1">
        <w:rPr>
          <w:rFonts w:cs="Arial"/>
          <w:b/>
          <w:szCs w:val="20"/>
        </w:rPr>
        <w:t>Potpor</w:t>
      </w:r>
      <w:r w:rsidR="000C7371" w:rsidRPr="005164D1">
        <w:rPr>
          <w:rFonts w:cs="Arial"/>
          <w:b/>
          <w:szCs w:val="20"/>
        </w:rPr>
        <w:t>a</w:t>
      </w:r>
      <w:r w:rsidR="000C7371">
        <w:rPr>
          <w:rFonts w:cs="Arial"/>
          <w:szCs w:val="20"/>
        </w:rPr>
        <w:t xml:space="preserve"> je razlika </w:t>
      </w:r>
      <w:r w:rsidRPr="00A76941">
        <w:rPr>
          <w:rFonts w:cs="Arial"/>
          <w:szCs w:val="20"/>
        </w:rPr>
        <w:t xml:space="preserve">između referentne i </w:t>
      </w:r>
      <w:r w:rsidR="00ED048B">
        <w:rPr>
          <w:rFonts w:cs="Arial"/>
          <w:szCs w:val="20"/>
        </w:rPr>
        <w:t>poticajne</w:t>
      </w:r>
      <w:r w:rsidRPr="00A76941">
        <w:rPr>
          <w:rFonts w:cs="Arial"/>
          <w:szCs w:val="20"/>
        </w:rPr>
        <w:t xml:space="preserve"> kamatne stope </w:t>
      </w:r>
      <w:r w:rsidR="00253317" w:rsidRPr="00A76941">
        <w:rPr>
          <w:rFonts w:cs="Arial"/>
          <w:szCs w:val="20"/>
        </w:rPr>
        <w:t>na određeni kredit</w:t>
      </w:r>
      <w:r w:rsidRPr="00A76941">
        <w:rPr>
          <w:rFonts w:cs="Arial"/>
          <w:szCs w:val="20"/>
        </w:rPr>
        <w:t xml:space="preserve"> kroz cijelo vrijeme otplate kredita, a izračunava se kao diskontirani iznos razlike </w:t>
      </w:r>
      <w:r w:rsidR="00ED048B">
        <w:rPr>
          <w:rFonts w:cs="Arial"/>
          <w:szCs w:val="20"/>
        </w:rPr>
        <w:t xml:space="preserve">između ovih dviju kamata </w:t>
      </w:r>
      <w:r w:rsidRPr="00A76941">
        <w:rPr>
          <w:rFonts w:cs="Arial"/>
          <w:szCs w:val="20"/>
        </w:rPr>
        <w:t>za određeni kredit.</w:t>
      </w:r>
      <w:r w:rsidR="005164D1">
        <w:rPr>
          <w:rFonts w:cs="Arial"/>
          <w:szCs w:val="20"/>
        </w:rPr>
        <w:t xml:space="preserve"> </w:t>
      </w:r>
      <w:r w:rsidR="000C7371">
        <w:rPr>
          <w:rFonts w:cs="Arial"/>
          <w:szCs w:val="20"/>
        </w:rPr>
        <w:t>Mogućnost dodjele potpore ovisi o programu kreditiranja HBOR-a, o visini referentne kamatne stope</w:t>
      </w:r>
      <w:r w:rsidR="005164D1">
        <w:rPr>
          <w:rFonts w:cs="Arial"/>
          <w:szCs w:val="20"/>
        </w:rPr>
        <w:t xml:space="preserve"> te</w:t>
      </w:r>
      <w:r w:rsidR="000C7371">
        <w:rPr>
          <w:rFonts w:cs="Arial"/>
          <w:szCs w:val="20"/>
        </w:rPr>
        <w:t xml:space="preserve"> o mogućnostima korisnika kredita za ostvarenje prava na dodjelu potpore sukladno važećim propisima o državnim potporama i potporama male vrijednosti</w:t>
      </w:r>
      <w:r w:rsidR="005164D1">
        <w:rPr>
          <w:rFonts w:cs="Arial"/>
          <w:szCs w:val="20"/>
        </w:rPr>
        <w:t xml:space="preserve"> (uključujući vrstu ulaganja i djelatnosti korisnika te </w:t>
      </w:r>
      <w:r w:rsidR="00941A73">
        <w:rPr>
          <w:rFonts w:cs="Arial"/>
          <w:szCs w:val="20"/>
        </w:rPr>
        <w:t xml:space="preserve">njegove </w:t>
      </w:r>
      <w:r w:rsidR="005164D1">
        <w:rPr>
          <w:rFonts w:cs="Arial"/>
          <w:szCs w:val="20"/>
        </w:rPr>
        <w:t>dosad korištene potpore).</w:t>
      </w:r>
      <w:bookmarkEnd w:id="40"/>
    </w:p>
    <w:p w14:paraId="18A25740" w14:textId="77777777" w:rsidR="005164D1" w:rsidRDefault="005164D1" w:rsidP="00F0675B">
      <w:pPr>
        <w:pStyle w:val="Header"/>
        <w:spacing w:line="276" w:lineRule="auto"/>
        <w:jc w:val="both"/>
        <w:rPr>
          <w:rFonts w:cs="Arial"/>
          <w:szCs w:val="20"/>
        </w:rPr>
      </w:pPr>
    </w:p>
    <w:p w14:paraId="016430E3" w14:textId="3877DC61" w:rsidR="00F0675B" w:rsidRDefault="005164D1" w:rsidP="005164D1">
      <w:pPr>
        <w:pStyle w:val="Header"/>
        <w:spacing w:line="276" w:lineRule="auto"/>
        <w:jc w:val="both"/>
        <w:rPr>
          <w:rFonts w:cs="Arial"/>
          <w:szCs w:val="20"/>
        </w:rPr>
      </w:pPr>
      <w:r w:rsidRPr="005164D1">
        <w:rPr>
          <w:rFonts w:cs="Arial"/>
          <w:b/>
          <w:szCs w:val="20"/>
        </w:rPr>
        <w:t xml:space="preserve">Vrsta </w:t>
      </w:r>
      <w:r>
        <w:rPr>
          <w:rFonts w:cs="Arial"/>
          <w:b/>
          <w:szCs w:val="20"/>
        </w:rPr>
        <w:t xml:space="preserve">ulaganja i potpore </w:t>
      </w:r>
      <w:r w:rsidRPr="00830A77">
        <w:rPr>
          <w:rFonts w:cs="Arial"/>
          <w:szCs w:val="20"/>
        </w:rPr>
        <w:t>-</w:t>
      </w:r>
      <w:r>
        <w:rPr>
          <w:rFonts w:cs="Arial"/>
          <w:b/>
          <w:szCs w:val="20"/>
        </w:rPr>
        <w:t xml:space="preserve"> </w:t>
      </w:r>
      <w:r w:rsidRPr="005164D1">
        <w:rPr>
          <w:rFonts w:cs="Arial"/>
          <w:szCs w:val="20"/>
        </w:rPr>
        <w:t>u</w:t>
      </w:r>
      <w:r w:rsidR="000C7371" w:rsidRPr="005164D1">
        <w:rPr>
          <w:rFonts w:cs="Arial"/>
          <w:szCs w:val="20"/>
        </w:rPr>
        <w:t>l</w:t>
      </w:r>
      <w:r w:rsidR="000C7371">
        <w:rPr>
          <w:rFonts w:cs="Arial"/>
          <w:szCs w:val="20"/>
        </w:rPr>
        <w:t>aganja u osnovna sredstva</w:t>
      </w:r>
      <w:r w:rsidR="00F0675B" w:rsidRPr="00F04E47">
        <w:rPr>
          <w:rFonts w:cs="Arial"/>
          <w:szCs w:val="20"/>
        </w:rPr>
        <w:t xml:space="preserve"> (materijaln</w:t>
      </w:r>
      <w:r w:rsidR="000C7371">
        <w:rPr>
          <w:rFonts w:cs="Arial"/>
          <w:szCs w:val="20"/>
        </w:rPr>
        <w:t>a</w:t>
      </w:r>
      <w:r w:rsidR="00F0675B" w:rsidRPr="00F04E47">
        <w:rPr>
          <w:rFonts w:cs="Arial"/>
          <w:szCs w:val="20"/>
        </w:rPr>
        <w:t xml:space="preserve"> i nematerijaln</w:t>
      </w:r>
      <w:r w:rsidR="000C7371">
        <w:rPr>
          <w:rFonts w:cs="Arial"/>
          <w:szCs w:val="20"/>
        </w:rPr>
        <w:t>a</w:t>
      </w:r>
      <w:r w:rsidR="00F0675B" w:rsidRPr="00F04E47">
        <w:rPr>
          <w:rFonts w:cs="Arial"/>
          <w:szCs w:val="20"/>
        </w:rPr>
        <w:t xml:space="preserve"> imovinu)</w:t>
      </w:r>
      <w:r w:rsidR="000C7371">
        <w:rPr>
          <w:rFonts w:cs="Arial"/>
          <w:szCs w:val="20"/>
        </w:rPr>
        <w:t xml:space="preserve"> </w:t>
      </w:r>
      <w:r>
        <w:rPr>
          <w:rFonts w:cs="Arial"/>
          <w:szCs w:val="20"/>
        </w:rPr>
        <w:t xml:space="preserve">u pravilu se </w:t>
      </w:r>
      <w:r w:rsidR="000C7371">
        <w:rPr>
          <w:rFonts w:cs="Arial"/>
          <w:szCs w:val="20"/>
        </w:rPr>
        <w:t xml:space="preserve">financiraju </w:t>
      </w:r>
      <w:r>
        <w:rPr>
          <w:rFonts w:cs="Arial"/>
          <w:szCs w:val="20"/>
        </w:rPr>
        <w:t xml:space="preserve">prema </w:t>
      </w:r>
      <w:r w:rsidR="00F0675B" w:rsidRPr="00F04E47">
        <w:rPr>
          <w:rFonts w:cs="Arial"/>
          <w:szCs w:val="20"/>
        </w:rPr>
        <w:t xml:space="preserve">propisima o državnim potporama, </w:t>
      </w:r>
      <w:r>
        <w:rPr>
          <w:rFonts w:cs="Arial"/>
          <w:szCs w:val="20"/>
        </w:rPr>
        <w:t xml:space="preserve">a moguće je i financiranje prema propisima o </w:t>
      </w:r>
      <w:r w:rsidR="00F0675B" w:rsidRPr="00F04E47">
        <w:rPr>
          <w:rFonts w:cs="Arial"/>
          <w:szCs w:val="20"/>
        </w:rPr>
        <w:lastRenderedPageBreak/>
        <w:t>potporama male vrijednosti,</w:t>
      </w:r>
      <w:r>
        <w:rPr>
          <w:rFonts w:cs="Arial"/>
          <w:szCs w:val="20"/>
        </w:rPr>
        <w:t xml:space="preserve"> dok se ulaganja u obrtna sredstva mogu financirati isključivo prema propisima o potporama male vrijednosti.</w:t>
      </w:r>
    </w:p>
    <w:p w14:paraId="5861CE2F" w14:textId="466008DD" w:rsidR="007C77F0" w:rsidRDefault="005164D1" w:rsidP="00F0675B">
      <w:pPr>
        <w:pStyle w:val="Header"/>
        <w:spacing w:line="276" w:lineRule="auto"/>
        <w:jc w:val="both"/>
        <w:rPr>
          <w:rFonts w:cs="Arial"/>
          <w:b/>
          <w:szCs w:val="20"/>
        </w:rPr>
      </w:pPr>
      <w:r>
        <w:rPr>
          <w:rFonts w:cs="Arial"/>
          <w:b/>
          <w:szCs w:val="20"/>
        </w:rPr>
        <w:t xml:space="preserve">Vrsta djelatnosti i </w:t>
      </w:r>
      <w:r w:rsidR="005C2E6F">
        <w:rPr>
          <w:rFonts w:cs="Arial"/>
          <w:b/>
          <w:szCs w:val="20"/>
        </w:rPr>
        <w:t>pravila</w:t>
      </w:r>
      <w:r w:rsidR="007C77F0">
        <w:rPr>
          <w:rFonts w:cs="Arial"/>
          <w:b/>
          <w:szCs w:val="20"/>
        </w:rPr>
        <w:t xml:space="preserve"> o </w:t>
      </w:r>
      <w:r>
        <w:rPr>
          <w:rFonts w:cs="Arial"/>
          <w:b/>
          <w:szCs w:val="20"/>
        </w:rPr>
        <w:t>potpora</w:t>
      </w:r>
      <w:r w:rsidR="007C77F0">
        <w:rPr>
          <w:rFonts w:cs="Arial"/>
          <w:b/>
          <w:szCs w:val="20"/>
        </w:rPr>
        <w:t>ma</w:t>
      </w:r>
      <w:r w:rsidR="007C77F0">
        <w:rPr>
          <w:rStyle w:val="FootnoteReference"/>
          <w:rFonts w:cs="Arial"/>
          <w:b/>
          <w:szCs w:val="20"/>
        </w:rPr>
        <w:footnoteReference w:id="7"/>
      </w:r>
    </w:p>
    <w:p w14:paraId="7C174D6B" w14:textId="77777777" w:rsidR="0095568C" w:rsidRDefault="0095568C" w:rsidP="00F0675B">
      <w:pPr>
        <w:pStyle w:val="Header"/>
        <w:spacing w:line="276" w:lineRule="auto"/>
        <w:jc w:val="both"/>
        <w:rPr>
          <w:rFonts w:cs="Arial"/>
          <w:szCs w:val="20"/>
        </w:rPr>
      </w:pPr>
    </w:p>
    <w:p w14:paraId="4AEB6906" w14:textId="020E5D20" w:rsidR="00F0675B" w:rsidRPr="005C2E6F" w:rsidRDefault="007C77F0" w:rsidP="00F0675B">
      <w:pPr>
        <w:pStyle w:val="Header"/>
        <w:spacing w:line="276" w:lineRule="auto"/>
        <w:jc w:val="both"/>
        <w:rPr>
          <w:rFonts w:cs="Arial"/>
          <w:szCs w:val="20"/>
        </w:rPr>
      </w:pPr>
      <w:r w:rsidRPr="005C2E6F">
        <w:rPr>
          <w:rFonts w:cs="Arial"/>
          <w:szCs w:val="20"/>
        </w:rPr>
        <w:t>Z</w:t>
      </w:r>
      <w:r w:rsidR="00F0675B" w:rsidRPr="005C2E6F">
        <w:rPr>
          <w:rFonts w:cs="Arial"/>
          <w:szCs w:val="20"/>
        </w:rPr>
        <w:t>a djelatnosti industrije i usluga</w:t>
      </w:r>
      <w:r w:rsidRPr="005C2E6F">
        <w:rPr>
          <w:rFonts w:cs="Arial"/>
          <w:szCs w:val="20"/>
        </w:rPr>
        <w:t xml:space="preserve"> kao i </w:t>
      </w:r>
      <w:r w:rsidR="00F0675B" w:rsidRPr="005C2E6F">
        <w:rPr>
          <w:rFonts w:cs="Arial"/>
          <w:szCs w:val="20"/>
        </w:rPr>
        <w:t>preradu i stavljanje na tržište poljoprivrednih proizvoda</w:t>
      </w:r>
      <w:r w:rsidRPr="005C2E6F">
        <w:rPr>
          <w:rFonts w:cs="Arial"/>
          <w:szCs w:val="20"/>
        </w:rPr>
        <w:t xml:space="preserve">, potpore se </w:t>
      </w:r>
      <w:r w:rsidR="00F0675B" w:rsidRPr="005C2E6F">
        <w:rPr>
          <w:rFonts w:cs="Arial"/>
          <w:szCs w:val="20"/>
        </w:rPr>
        <w:t xml:space="preserve">dodjeljuju se temeljem Pravilnika o državnim potporama HBOR-a, </w:t>
      </w:r>
      <w:r w:rsidRPr="005C2E6F">
        <w:rPr>
          <w:rFonts w:cs="Arial"/>
          <w:szCs w:val="20"/>
        </w:rPr>
        <w:t>i to</w:t>
      </w:r>
      <w:r w:rsidR="00F0675B" w:rsidRPr="005C2E6F">
        <w:rPr>
          <w:rFonts w:cs="Arial"/>
          <w:szCs w:val="20"/>
        </w:rPr>
        <w:t>:</w:t>
      </w:r>
    </w:p>
    <w:p w14:paraId="4428E52B" w14:textId="77777777" w:rsidR="00F0675B" w:rsidRPr="000101CF" w:rsidRDefault="00F0675B" w:rsidP="007B3065">
      <w:pPr>
        <w:pStyle w:val="Header"/>
        <w:numPr>
          <w:ilvl w:val="0"/>
          <w:numId w:val="9"/>
        </w:numPr>
        <w:tabs>
          <w:tab w:val="clear" w:pos="4536"/>
          <w:tab w:val="clear" w:pos="9072"/>
          <w:tab w:val="center" w:pos="4703"/>
          <w:tab w:val="right" w:pos="9406"/>
        </w:tabs>
        <w:spacing w:line="276" w:lineRule="auto"/>
        <w:jc w:val="both"/>
        <w:rPr>
          <w:rFonts w:cs="Arial"/>
          <w:szCs w:val="20"/>
        </w:rPr>
      </w:pPr>
      <w:r w:rsidRPr="00DB3FB4">
        <w:rPr>
          <w:rFonts w:cs="Arial"/>
          <w:szCs w:val="20"/>
        </w:rPr>
        <w:t xml:space="preserve">Programa dodjele državnih potpora </w:t>
      </w:r>
      <w:r w:rsidRPr="000D6272">
        <w:rPr>
          <w:rFonts w:cs="Arial"/>
          <w:szCs w:val="20"/>
        </w:rPr>
        <w:t>HBOR-a</w:t>
      </w:r>
      <w:r w:rsidRPr="000101CF">
        <w:rPr>
          <w:rFonts w:cs="Arial"/>
          <w:szCs w:val="20"/>
        </w:rPr>
        <w:t xml:space="preserve"> kojim se odobravaju potpore za ulaganja sukladno Uredbi komisije (EU) br</w:t>
      </w:r>
      <w:r>
        <w:rPr>
          <w:rFonts w:cs="Arial"/>
          <w:szCs w:val="20"/>
        </w:rPr>
        <w:t>. 651/2014 od 17.</w:t>
      </w:r>
      <w:r w:rsidRPr="000101CF">
        <w:rPr>
          <w:rFonts w:cs="Arial"/>
          <w:szCs w:val="20"/>
        </w:rPr>
        <w:t xml:space="preserve">6.2014. godine o ocjenjivanju određenih kategorija potpora spojivima s unutarnjim tržištem u primjeni članaka 107. </w:t>
      </w:r>
      <w:r>
        <w:rPr>
          <w:rFonts w:cs="Arial"/>
          <w:szCs w:val="20"/>
        </w:rPr>
        <w:t>i 108. Ugovora (SL L 187 od 26.</w:t>
      </w:r>
      <w:r w:rsidRPr="000101CF">
        <w:rPr>
          <w:rFonts w:cs="Arial"/>
          <w:szCs w:val="20"/>
        </w:rPr>
        <w:t xml:space="preserve">6.2014. godine) </w:t>
      </w:r>
      <w:r>
        <w:rPr>
          <w:rFonts w:cs="Arial"/>
          <w:szCs w:val="20"/>
        </w:rPr>
        <w:t>i/ili</w:t>
      </w:r>
    </w:p>
    <w:p w14:paraId="6FEC823A" w14:textId="77777777" w:rsidR="00F0675B" w:rsidRDefault="00F0675B" w:rsidP="007B3065">
      <w:pPr>
        <w:pStyle w:val="Header"/>
        <w:numPr>
          <w:ilvl w:val="0"/>
          <w:numId w:val="9"/>
        </w:numPr>
        <w:tabs>
          <w:tab w:val="clear" w:pos="4536"/>
          <w:tab w:val="clear" w:pos="9072"/>
          <w:tab w:val="center" w:pos="4703"/>
          <w:tab w:val="right" w:pos="9406"/>
        </w:tabs>
        <w:spacing w:line="276" w:lineRule="auto"/>
        <w:jc w:val="both"/>
        <w:rPr>
          <w:rFonts w:cs="Arial"/>
          <w:szCs w:val="20"/>
        </w:rPr>
      </w:pPr>
      <w:r w:rsidRPr="00DB3FB4">
        <w:rPr>
          <w:rFonts w:cs="Arial"/>
          <w:szCs w:val="20"/>
        </w:rPr>
        <w:t>Pravilnika o dodjeli potpora male vrijednosti HBOR-a,</w:t>
      </w:r>
      <w:r w:rsidRPr="000101CF">
        <w:rPr>
          <w:rFonts w:cs="Arial"/>
          <w:szCs w:val="20"/>
        </w:rPr>
        <w:t xml:space="preserve"> kojim se odobravaju potpore male vrijednosti sukladno Uredbi Komisije (EU) br. 1407/2013 od 18.12.2013. o primjeni članaka 107. i 108. Ugovora o funkcioniranju Europske unije na de minimis potpore.</w:t>
      </w:r>
    </w:p>
    <w:p w14:paraId="5744D087" w14:textId="77777777" w:rsidR="0095568C" w:rsidRDefault="0095568C" w:rsidP="00F0675B">
      <w:pPr>
        <w:pStyle w:val="Header"/>
        <w:spacing w:line="276" w:lineRule="auto"/>
        <w:jc w:val="both"/>
        <w:rPr>
          <w:rFonts w:cs="Arial"/>
          <w:szCs w:val="20"/>
        </w:rPr>
      </w:pPr>
    </w:p>
    <w:p w14:paraId="239D3D2E" w14:textId="2501F5F0" w:rsidR="00F0675B" w:rsidRPr="005C2E6F" w:rsidRDefault="007C77F0" w:rsidP="00F0675B">
      <w:pPr>
        <w:pStyle w:val="Header"/>
        <w:spacing w:line="276" w:lineRule="auto"/>
        <w:jc w:val="both"/>
        <w:rPr>
          <w:rFonts w:cs="Arial"/>
          <w:szCs w:val="20"/>
        </w:rPr>
      </w:pPr>
      <w:r w:rsidRPr="005C2E6F">
        <w:rPr>
          <w:rFonts w:cs="Arial"/>
          <w:szCs w:val="20"/>
        </w:rPr>
        <w:t>Z</w:t>
      </w:r>
      <w:r w:rsidR="00F0675B" w:rsidRPr="005C2E6F">
        <w:rPr>
          <w:rFonts w:cs="Arial"/>
          <w:szCs w:val="20"/>
        </w:rPr>
        <w:t xml:space="preserve">a djelatnosti primarne poljoprivredne proizvodnje, </w:t>
      </w:r>
      <w:r w:rsidRPr="005C2E6F">
        <w:rPr>
          <w:rFonts w:cs="Arial"/>
          <w:szCs w:val="20"/>
        </w:rPr>
        <w:t xml:space="preserve">potpore se </w:t>
      </w:r>
      <w:r w:rsidR="00F0675B" w:rsidRPr="005C2E6F">
        <w:rPr>
          <w:rFonts w:cs="Arial"/>
          <w:szCs w:val="20"/>
        </w:rPr>
        <w:t xml:space="preserve">dodjeljuju </w:t>
      </w:r>
      <w:r w:rsidR="0026083E" w:rsidRPr="005C2E6F">
        <w:rPr>
          <w:rFonts w:cs="Arial"/>
          <w:szCs w:val="20"/>
        </w:rPr>
        <w:t xml:space="preserve">se </w:t>
      </w:r>
      <w:r w:rsidR="00F0675B" w:rsidRPr="005C2E6F">
        <w:rPr>
          <w:rFonts w:cs="Arial"/>
          <w:szCs w:val="20"/>
        </w:rPr>
        <w:t xml:space="preserve">temeljem Pravilnika o državnim potporama sektoru poljoprivrede HBOR-a, </w:t>
      </w:r>
      <w:r w:rsidRPr="005C2E6F">
        <w:rPr>
          <w:rFonts w:cs="Arial"/>
          <w:szCs w:val="20"/>
        </w:rPr>
        <w:t>i to</w:t>
      </w:r>
      <w:r w:rsidR="00F0675B" w:rsidRPr="005C2E6F">
        <w:rPr>
          <w:rFonts w:cs="Arial"/>
          <w:szCs w:val="20"/>
        </w:rPr>
        <w:t>:</w:t>
      </w:r>
    </w:p>
    <w:p w14:paraId="6240D963" w14:textId="77777777" w:rsidR="00F0675B" w:rsidRPr="000101CF" w:rsidRDefault="00F0675B" w:rsidP="007B3065">
      <w:pPr>
        <w:pStyle w:val="Header"/>
        <w:numPr>
          <w:ilvl w:val="0"/>
          <w:numId w:val="9"/>
        </w:numPr>
        <w:tabs>
          <w:tab w:val="clear" w:pos="4536"/>
          <w:tab w:val="clear" w:pos="9072"/>
          <w:tab w:val="center" w:pos="4703"/>
          <w:tab w:val="right" w:pos="9406"/>
        </w:tabs>
        <w:spacing w:line="276" w:lineRule="auto"/>
        <w:jc w:val="both"/>
        <w:rPr>
          <w:rFonts w:cs="Arial"/>
          <w:szCs w:val="20"/>
        </w:rPr>
      </w:pPr>
      <w:r w:rsidRPr="00DB3FB4">
        <w:rPr>
          <w:rFonts w:cs="Arial"/>
          <w:szCs w:val="20"/>
        </w:rPr>
        <w:t>Programa dodjele državnih potpora sektoru poljoprivrede kojim</w:t>
      </w:r>
      <w:r w:rsidRPr="000101CF">
        <w:rPr>
          <w:rFonts w:cs="Arial"/>
          <w:szCs w:val="20"/>
        </w:rPr>
        <w:t xml:space="preserve"> se odobravaju potpore za ulaganja sukladno Uredbi Komisij</w:t>
      </w:r>
      <w:r>
        <w:rPr>
          <w:rFonts w:cs="Arial"/>
          <w:szCs w:val="20"/>
        </w:rPr>
        <w:t>e (EU) br. 702/2014 оd 25.6.</w:t>
      </w:r>
      <w:r w:rsidRPr="000101CF">
        <w:rPr>
          <w:rFonts w:cs="Arial"/>
          <w:szCs w:val="20"/>
        </w:rPr>
        <w:t>2014. o proglašenju određenih kategorija potpora u sektoru poljoprivrede i šumarstva te u ruralnim područjima spojivima s unutarnjim tržištem u primjeni članaka 107. i 108. Ugovora o funkcioniran</w:t>
      </w:r>
      <w:r>
        <w:rPr>
          <w:rFonts w:cs="Arial"/>
          <w:szCs w:val="20"/>
        </w:rPr>
        <w:t>ju Europske unije (SL L 193 od 1.</w:t>
      </w:r>
      <w:r w:rsidRPr="000101CF">
        <w:rPr>
          <w:rFonts w:cs="Arial"/>
          <w:szCs w:val="20"/>
        </w:rPr>
        <w:t>7.2014.) i</w:t>
      </w:r>
      <w:r>
        <w:rPr>
          <w:rFonts w:cs="Arial"/>
          <w:szCs w:val="20"/>
        </w:rPr>
        <w:t>/ili</w:t>
      </w:r>
    </w:p>
    <w:p w14:paraId="6CE09656" w14:textId="52ED7D79" w:rsidR="00F0675B" w:rsidRDefault="00F0675B" w:rsidP="007B3065">
      <w:pPr>
        <w:pStyle w:val="Header"/>
        <w:numPr>
          <w:ilvl w:val="0"/>
          <w:numId w:val="9"/>
        </w:numPr>
        <w:tabs>
          <w:tab w:val="clear" w:pos="4536"/>
          <w:tab w:val="clear" w:pos="9072"/>
          <w:tab w:val="center" w:pos="4703"/>
          <w:tab w:val="right" w:pos="9406"/>
        </w:tabs>
        <w:spacing w:line="276" w:lineRule="auto"/>
        <w:jc w:val="both"/>
        <w:rPr>
          <w:rFonts w:cs="Arial"/>
          <w:szCs w:val="20"/>
        </w:rPr>
      </w:pPr>
      <w:r w:rsidRPr="004B13B0">
        <w:rPr>
          <w:rFonts w:cs="Arial"/>
          <w:szCs w:val="20"/>
        </w:rPr>
        <w:t>Programa dodjele potpore male vrijednosti primarnoj poljoprivrednoj proizvodnji koji</w:t>
      </w:r>
      <w:r w:rsidRPr="000101CF">
        <w:rPr>
          <w:rFonts w:cs="Arial"/>
          <w:szCs w:val="20"/>
        </w:rPr>
        <w:t xml:space="preserve"> je usklađen s Uredbom Komisije (EU</w:t>
      </w:r>
      <w:r>
        <w:rPr>
          <w:rFonts w:cs="Arial"/>
          <w:szCs w:val="20"/>
        </w:rPr>
        <w:t>) br. 1408/2013 оd 18.12.</w:t>
      </w:r>
      <w:r w:rsidRPr="000101CF">
        <w:rPr>
          <w:rFonts w:cs="Arial"/>
          <w:szCs w:val="20"/>
        </w:rPr>
        <w:t>2013. o primjeni članaka 107. i 108. Ugovora o funkcioniranju Europske unije na potpore de minimis u poljoprivrednom sektoru (SL L 352 od 24.12.2013.)</w:t>
      </w:r>
      <w:r w:rsidR="00F519B5">
        <w:rPr>
          <w:rFonts w:cs="Arial"/>
          <w:szCs w:val="20"/>
        </w:rPr>
        <w:t>.</w:t>
      </w:r>
    </w:p>
    <w:p w14:paraId="7C37B307" w14:textId="3F0771F5" w:rsidR="00F0675B" w:rsidRPr="007174C9" w:rsidRDefault="00F0675B" w:rsidP="007B3065">
      <w:pPr>
        <w:pStyle w:val="HeadingA"/>
        <w:numPr>
          <w:ilvl w:val="1"/>
          <w:numId w:val="11"/>
        </w:numPr>
        <w:spacing w:after="0" w:line="276" w:lineRule="auto"/>
        <w:ind w:left="567" w:hanging="567"/>
        <w:outlineLvl w:val="1"/>
        <w:rPr>
          <w:rFonts w:ascii="Arial" w:hAnsi="Arial" w:cs="Arial"/>
          <w:sz w:val="20"/>
          <w:szCs w:val="20"/>
        </w:rPr>
      </w:pPr>
      <w:bookmarkStart w:id="41" w:name="_Toc4408952"/>
      <w:bookmarkStart w:id="42" w:name="_Toc534881549"/>
      <w:r w:rsidRPr="007174C9">
        <w:rPr>
          <w:rFonts w:ascii="Arial" w:hAnsi="Arial" w:cs="Arial"/>
          <w:sz w:val="20"/>
          <w:szCs w:val="20"/>
        </w:rPr>
        <w:t>Državne potpore i učinak poticaja</w:t>
      </w:r>
      <w:r w:rsidR="000D4163" w:rsidRPr="00830A77">
        <w:rPr>
          <w:rStyle w:val="FootnoteReference"/>
          <w:rFonts w:ascii="Arial" w:hAnsi="Arial" w:cs="Arial"/>
          <w:bCs/>
          <w:sz w:val="20"/>
          <w:szCs w:val="20"/>
        </w:rPr>
        <w:footnoteReference w:id="8"/>
      </w:r>
      <w:bookmarkEnd w:id="41"/>
      <w:bookmarkEnd w:id="42"/>
    </w:p>
    <w:p w14:paraId="7FDC1324" w14:textId="77777777" w:rsidR="00F0675B" w:rsidRDefault="00F0675B" w:rsidP="00F0675B">
      <w:pPr>
        <w:pStyle w:val="Header"/>
        <w:spacing w:line="276" w:lineRule="auto"/>
        <w:jc w:val="both"/>
        <w:rPr>
          <w:rFonts w:cs="Arial"/>
          <w:szCs w:val="20"/>
        </w:rPr>
      </w:pPr>
    </w:p>
    <w:p w14:paraId="140F4BBC" w14:textId="02D2D858" w:rsidR="00ED14B2" w:rsidRPr="00797165" w:rsidRDefault="00F0675B" w:rsidP="00ED14B2">
      <w:pPr>
        <w:pStyle w:val="Header"/>
        <w:spacing w:line="276" w:lineRule="auto"/>
        <w:jc w:val="both"/>
        <w:rPr>
          <w:rFonts w:cs="Arial"/>
          <w:szCs w:val="20"/>
        </w:rPr>
      </w:pPr>
      <w:r w:rsidRPr="000101CF">
        <w:rPr>
          <w:rFonts w:cs="Arial"/>
          <w:szCs w:val="20"/>
        </w:rPr>
        <w:t xml:space="preserve">Kreditiranje u režimu državne potpore moguće je </w:t>
      </w:r>
      <w:r w:rsidR="00802B10">
        <w:rPr>
          <w:rFonts w:cs="Arial"/>
          <w:szCs w:val="20"/>
        </w:rPr>
        <w:t xml:space="preserve">ako </w:t>
      </w:r>
      <w:r w:rsidRPr="000101CF">
        <w:rPr>
          <w:rFonts w:cs="Arial"/>
          <w:szCs w:val="20"/>
        </w:rPr>
        <w:t xml:space="preserve">potpora ima </w:t>
      </w:r>
      <w:r w:rsidRPr="00797165">
        <w:rPr>
          <w:rFonts w:cs="Arial"/>
          <w:szCs w:val="20"/>
        </w:rPr>
        <w:t>učinak poticaja</w:t>
      </w:r>
      <w:r w:rsidR="00802B10">
        <w:rPr>
          <w:rFonts w:cs="Arial"/>
          <w:szCs w:val="20"/>
        </w:rPr>
        <w:t xml:space="preserve"> što znači da </w:t>
      </w:r>
      <w:r w:rsidR="00797165">
        <w:rPr>
          <w:rFonts w:cs="Arial"/>
          <w:szCs w:val="20"/>
        </w:rPr>
        <w:t xml:space="preserve">korisnik kredita (korisnik potpore) </w:t>
      </w:r>
      <w:r w:rsidR="00802B10">
        <w:rPr>
          <w:rFonts w:cs="Arial"/>
          <w:szCs w:val="20"/>
        </w:rPr>
        <w:t xml:space="preserve">treba </w:t>
      </w:r>
      <w:r w:rsidR="00797165">
        <w:rPr>
          <w:rFonts w:cs="Arial"/>
          <w:szCs w:val="20"/>
        </w:rPr>
        <w:t>podn</w:t>
      </w:r>
      <w:r w:rsidR="00802B10">
        <w:rPr>
          <w:rFonts w:cs="Arial"/>
          <w:szCs w:val="20"/>
        </w:rPr>
        <w:t xml:space="preserve">ijeti </w:t>
      </w:r>
      <w:r w:rsidRPr="000101CF">
        <w:rPr>
          <w:rFonts w:cs="Arial"/>
          <w:szCs w:val="20"/>
        </w:rPr>
        <w:t xml:space="preserve">HBOR-u ili poslovnoj banci pisani zahtjev za potporu sadržanu u kreditu HBOR-a </w:t>
      </w:r>
      <w:r w:rsidRPr="00797165">
        <w:rPr>
          <w:rFonts w:cs="Arial"/>
          <w:szCs w:val="20"/>
        </w:rPr>
        <w:t>prije p</w:t>
      </w:r>
      <w:r w:rsidRPr="00B8725D">
        <w:rPr>
          <w:rFonts w:cs="Arial"/>
          <w:szCs w:val="20"/>
        </w:rPr>
        <w:t>očetka radova</w:t>
      </w:r>
      <w:r w:rsidR="00797165" w:rsidRPr="00830A77">
        <w:rPr>
          <w:rStyle w:val="FootnoteReference"/>
          <w:rFonts w:cs="Arial"/>
          <w:szCs w:val="20"/>
        </w:rPr>
        <w:footnoteReference w:id="9"/>
      </w:r>
      <w:r w:rsidRPr="00830A77">
        <w:rPr>
          <w:rFonts w:cs="Arial"/>
          <w:szCs w:val="20"/>
        </w:rPr>
        <w:t xml:space="preserve"> </w:t>
      </w:r>
      <w:r w:rsidRPr="00B8725D">
        <w:rPr>
          <w:rFonts w:cs="Arial"/>
          <w:szCs w:val="20"/>
        </w:rPr>
        <w:t>na projektu odnosno djelatnosti.</w:t>
      </w:r>
      <w:r w:rsidR="00802B10">
        <w:rPr>
          <w:rFonts w:cs="Arial"/>
          <w:szCs w:val="20"/>
        </w:rPr>
        <w:t xml:space="preserve"> </w:t>
      </w:r>
    </w:p>
    <w:p w14:paraId="76CAEFFF" w14:textId="77777777" w:rsidR="007925C2" w:rsidRDefault="007925C2" w:rsidP="007925C2">
      <w:pPr>
        <w:pStyle w:val="Header"/>
        <w:spacing w:line="276" w:lineRule="auto"/>
        <w:jc w:val="both"/>
        <w:rPr>
          <w:rFonts w:cs="Arial"/>
          <w:b/>
          <w:szCs w:val="20"/>
        </w:rPr>
      </w:pPr>
    </w:p>
    <w:p w14:paraId="475D8994" w14:textId="6A73C7F5" w:rsidR="007925C2" w:rsidRPr="007925C2" w:rsidRDefault="007925C2" w:rsidP="007925C2">
      <w:pPr>
        <w:pStyle w:val="Header"/>
        <w:spacing w:line="276" w:lineRule="auto"/>
        <w:jc w:val="both"/>
        <w:rPr>
          <w:rFonts w:cs="Arial"/>
          <w:b/>
          <w:szCs w:val="20"/>
        </w:rPr>
      </w:pPr>
      <w:r w:rsidRPr="007925C2">
        <w:rPr>
          <w:rFonts w:cs="Arial"/>
          <w:b/>
          <w:szCs w:val="20"/>
        </w:rPr>
        <w:t xml:space="preserve">Kao opravdani troškovi na planiranom projektu mogu se priznati isključivo troškovi nastali </w:t>
      </w:r>
      <w:r w:rsidRPr="007925C2">
        <w:rPr>
          <w:rFonts w:cs="Arial"/>
          <w:b/>
          <w:bCs/>
          <w:iCs/>
          <w:szCs w:val="20"/>
        </w:rPr>
        <w:t>nakon predaje pisanog zahtjeva za potporu</w:t>
      </w:r>
      <w:r>
        <w:rPr>
          <w:rFonts w:cs="Arial"/>
          <w:b/>
          <w:bCs/>
          <w:iCs/>
          <w:szCs w:val="20"/>
        </w:rPr>
        <w:t>.</w:t>
      </w:r>
    </w:p>
    <w:p w14:paraId="68CC4E85" w14:textId="71A07E49" w:rsidR="00797165" w:rsidRDefault="00797165" w:rsidP="00797165">
      <w:pPr>
        <w:pStyle w:val="Header"/>
        <w:tabs>
          <w:tab w:val="clear" w:pos="4536"/>
          <w:tab w:val="clear" w:pos="9072"/>
          <w:tab w:val="center" w:pos="4703"/>
          <w:tab w:val="right" w:pos="9406"/>
        </w:tabs>
        <w:spacing w:line="276" w:lineRule="auto"/>
        <w:jc w:val="both"/>
        <w:rPr>
          <w:rFonts w:cs="Arial"/>
          <w:szCs w:val="20"/>
        </w:rPr>
      </w:pPr>
    </w:p>
    <w:p w14:paraId="3A966237" w14:textId="5A1F733B" w:rsidR="00941A73" w:rsidRDefault="007925C2" w:rsidP="007925C2">
      <w:pPr>
        <w:pStyle w:val="Header"/>
        <w:tabs>
          <w:tab w:val="clear" w:pos="4536"/>
          <w:tab w:val="clear" w:pos="9072"/>
          <w:tab w:val="center" w:pos="4703"/>
          <w:tab w:val="right" w:pos="9406"/>
        </w:tabs>
        <w:spacing w:line="276" w:lineRule="auto"/>
        <w:jc w:val="both"/>
        <w:rPr>
          <w:rFonts w:cs="Arial"/>
          <w:szCs w:val="20"/>
        </w:rPr>
      </w:pPr>
      <w:r>
        <w:rPr>
          <w:rFonts w:cs="Arial"/>
          <w:szCs w:val="20"/>
        </w:rPr>
        <w:t xml:space="preserve">Kod izravnog kreditiranja pisanim zahtjevom za potporu smatra se </w:t>
      </w:r>
      <w:r w:rsidR="0052044C" w:rsidRPr="0052044C">
        <w:rPr>
          <w:rFonts w:cs="Arial"/>
          <w:b/>
          <w:iCs/>
          <w:szCs w:val="20"/>
        </w:rPr>
        <w:t>najava ulaganja</w:t>
      </w:r>
      <w:r w:rsidR="00797165" w:rsidRPr="00830A77">
        <w:rPr>
          <w:rStyle w:val="FootnoteReference"/>
          <w:rFonts w:cs="Arial"/>
          <w:b/>
          <w:iCs/>
          <w:szCs w:val="20"/>
        </w:rPr>
        <w:footnoteReference w:id="10"/>
      </w:r>
      <w:r w:rsidR="00797165" w:rsidRPr="000101CF">
        <w:rPr>
          <w:rFonts w:cs="Arial"/>
          <w:i/>
          <w:iCs/>
          <w:szCs w:val="20"/>
        </w:rPr>
        <w:t xml:space="preserve"> </w:t>
      </w:r>
      <w:r w:rsidR="00ED14B2">
        <w:rPr>
          <w:rFonts w:cs="Arial"/>
          <w:szCs w:val="20"/>
        </w:rPr>
        <w:t>predan</w:t>
      </w:r>
      <w:r w:rsidR="00CD0DEE">
        <w:rPr>
          <w:rFonts w:cs="Arial"/>
          <w:szCs w:val="20"/>
        </w:rPr>
        <w:t>a</w:t>
      </w:r>
      <w:r w:rsidR="00797165">
        <w:rPr>
          <w:rFonts w:cs="Arial"/>
          <w:szCs w:val="20"/>
        </w:rPr>
        <w:t xml:space="preserve"> HBOR-u </w:t>
      </w:r>
      <w:r w:rsidR="00797165" w:rsidRPr="000101CF">
        <w:rPr>
          <w:rFonts w:cs="Arial"/>
          <w:szCs w:val="20"/>
        </w:rPr>
        <w:t>u razdoblju do najviše 6 (šest) mjeseci prije podnošenja zahtjeva za kredit</w:t>
      </w:r>
      <w:r>
        <w:rPr>
          <w:rFonts w:cs="Arial"/>
          <w:szCs w:val="20"/>
        </w:rPr>
        <w:t>.</w:t>
      </w:r>
    </w:p>
    <w:p w14:paraId="1F3A1C7E" w14:textId="6464A591" w:rsidR="00797165" w:rsidRPr="000101CF" w:rsidRDefault="00941A73" w:rsidP="007925C2">
      <w:pPr>
        <w:pStyle w:val="Header"/>
        <w:tabs>
          <w:tab w:val="clear" w:pos="4536"/>
          <w:tab w:val="clear" w:pos="9072"/>
          <w:tab w:val="center" w:pos="4703"/>
          <w:tab w:val="right" w:pos="9406"/>
        </w:tabs>
        <w:spacing w:line="276" w:lineRule="auto"/>
        <w:jc w:val="both"/>
        <w:rPr>
          <w:rFonts w:cs="Arial"/>
          <w:szCs w:val="20"/>
        </w:rPr>
      </w:pPr>
      <w:r>
        <w:rPr>
          <w:rFonts w:cs="Arial"/>
          <w:szCs w:val="20"/>
        </w:rPr>
        <w:lastRenderedPageBreak/>
        <w:t>Ako</w:t>
      </w:r>
      <w:r w:rsidR="007925C2">
        <w:rPr>
          <w:rFonts w:cs="Arial"/>
          <w:szCs w:val="20"/>
        </w:rPr>
        <w:t xml:space="preserve"> između predaje najave </w:t>
      </w:r>
      <w:r w:rsidR="0062491B">
        <w:rPr>
          <w:rFonts w:cs="Arial"/>
          <w:szCs w:val="20"/>
        </w:rPr>
        <w:t>ulaganja</w:t>
      </w:r>
      <w:r w:rsidR="007925C2">
        <w:rPr>
          <w:rFonts w:cs="Arial"/>
          <w:szCs w:val="20"/>
        </w:rPr>
        <w:t xml:space="preserve"> i predaje zahtjeva za kredit prođe više od 6 (šest) mjeseci ili </w:t>
      </w:r>
      <w:r>
        <w:rPr>
          <w:rFonts w:cs="Arial"/>
          <w:szCs w:val="20"/>
        </w:rPr>
        <w:t>ako</w:t>
      </w:r>
      <w:r w:rsidR="007925C2">
        <w:rPr>
          <w:rFonts w:cs="Arial"/>
          <w:szCs w:val="20"/>
        </w:rPr>
        <w:t xml:space="preserve"> najava </w:t>
      </w:r>
      <w:r w:rsidR="0062491B">
        <w:rPr>
          <w:rFonts w:cs="Arial"/>
          <w:szCs w:val="20"/>
        </w:rPr>
        <w:t>ulaganja</w:t>
      </w:r>
      <w:r w:rsidR="007925C2">
        <w:rPr>
          <w:rFonts w:cs="Arial"/>
          <w:szCs w:val="20"/>
        </w:rPr>
        <w:t xml:space="preserve"> uopće nije predana, pisanim zahtjevom za potporu smatra se </w:t>
      </w:r>
      <w:r w:rsidR="00797165" w:rsidRPr="00060BD1">
        <w:rPr>
          <w:rFonts w:cs="Arial"/>
          <w:b/>
          <w:iCs/>
          <w:szCs w:val="20"/>
        </w:rPr>
        <w:t>zahtjev za kredit</w:t>
      </w:r>
      <w:r w:rsidR="00797165" w:rsidRPr="000101CF">
        <w:rPr>
          <w:rFonts w:cs="Arial"/>
          <w:i/>
          <w:iCs/>
          <w:szCs w:val="20"/>
        </w:rPr>
        <w:t xml:space="preserve"> </w:t>
      </w:r>
      <w:r w:rsidR="00797165" w:rsidRPr="000101CF">
        <w:rPr>
          <w:rFonts w:cs="Arial"/>
          <w:szCs w:val="20"/>
        </w:rPr>
        <w:t xml:space="preserve">zajedno s dokumentacijom </w:t>
      </w:r>
      <w:r w:rsidR="00797165">
        <w:rPr>
          <w:rFonts w:cs="Arial"/>
          <w:szCs w:val="20"/>
        </w:rPr>
        <w:t xml:space="preserve">potrebnom </w:t>
      </w:r>
      <w:r w:rsidR="00F519B5">
        <w:rPr>
          <w:rFonts w:cs="Arial"/>
          <w:szCs w:val="20"/>
        </w:rPr>
        <w:t xml:space="preserve">za </w:t>
      </w:r>
      <w:r w:rsidR="00797165">
        <w:rPr>
          <w:rFonts w:cs="Arial"/>
          <w:szCs w:val="20"/>
        </w:rPr>
        <w:t>obradu zahtjeva</w:t>
      </w:r>
      <w:r w:rsidR="00797165" w:rsidRPr="000101CF">
        <w:rPr>
          <w:rFonts w:cs="Arial"/>
          <w:szCs w:val="20"/>
        </w:rPr>
        <w:t>.</w:t>
      </w:r>
    </w:p>
    <w:p w14:paraId="76B711E0" w14:textId="77777777" w:rsidR="00797165" w:rsidRDefault="00797165" w:rsidP="00797165">
      <w:pPr>
        <w:pStyle w:val="Header"/>
        <w:tabs>
          <w:tab w:val="clear" w:pos="4536"/>
          <w:tab w:val="clear" w:pos="9072"/>
          <w:tab w:val="center" w:pos="4703"/>
          <w:tab w:val="right" w:pos="9406"/>
        </w:tabs>
        <w:spacing w:line="276" w:lineRule="auto"/>
        <w:jc w:val="both"/>
        <w:rPr>
          <w:rFonts w:cs="Arial"/>
          <w:szCs w:val="20"/>
        </w:rPr>
      </w:pPr>
    </w:p>
    <w:p w14:paraId="4876CF9A" w14:textId="77777777" w:rsidR="00941A73" w:rsidRDefault="00CD0DEE" w:rsidP="007925C2">
      <w:pPr>
        <w:pStyle w:val="Header"/>
        <w:tabs>
          <w:tab w:val="clear" w:pos="4536"/>
          <w:tab w:val="clear" w:pos="9072"/>
          <w:tab w:val="center" w:pos="4703"/>
          <w:tab w:val="right" w:pos="9406"/>
        </w:tabs>
        <w:spacing w:line="276" w:lineRule="auto"/>
        <w:jc w:val="both"/>
        <w:rPr>
          <w:rFonts w:cs="Arial"/>
          <w:szCs w:val="20"/>
        </w:rPr>
      </w:pPr>
      <w:r>
        <w:rPr>
          <w:rFonts w:cs="Arial"/>
          <w:szCs w:val="20"/>
        </w:rPr>
        <w:t>Kod kreditiranja u suradnji s poslovnim bankama pisani</w:t>
      </w:r>
      <w:r w:rsidR="007925C2">
        <w:rPr>
          <w:rFonts w:cs="Arial"/>
          <w:szCs w:val="20"/>
        </w:rPr>
        <w:t>m</w:t>
      </w:r>
      <w:r>
        <w:rPr>
          <w:rFonts w:cs="Arial"/>
          <w:szCs w:val="20"/>
        </w:rPr>
        <w:t xml:space="preserve"> zahtjev</w:t>
      </w:r>
      <w:r w:rsidR="007925C2">
        <w:rPr>
          <w:rFonts w:cs="Arial"/>
          <w:szCs w:val="20"/>
        </w:rPr>
        <w:t>om</w:t>
      </w:r>
      <w:r>
        <w:rPr>
          <w:rFonts w:cs="Arial"/>
          <w:szCs w:val="20"/>
        </w:rPr>
        <w:t xml:space="preserve"> za potporu </w:t>
      </w:r>
      <w:r w:rsidR="007925C2">
        <w:rPr>
          <w:rFonts w:cs="Arial"/>
          <w:szCs w:val="20"/>
        </w:rPr>
        <w:t>smatra se</w:t>
      </w:r>
      <w:r>
        <w:rPr>
          <w:rFonts w:cs="Arial"/>
          <w:szCs w:val="20"/>
        </w:rPr>
        <w:t xml:space="preserve"> </w:t>
      </w:r>
      <w:r w:rsidR="00797165" w:rsidRPr="00CD0DEE">
        <w:rPr>
          <w:rFonts w:cs="Arial"/>
          <w:b/>
          <w:iCs/>
          <w:szCs w:val="20"/>
        </w:rPr>
        <w:t>zahtjev za kredit</w:t>
      </w:r>
      <w:r w:rsidR="00797165" w:rsidRPr="00CD0DEE">
        <w:rPr>
          <w:rFonts w:cs="Arial"/>
          <w:b/>
          <w:i/>
          <w:iCs/>
          <w:szCs w:val="20"/>
        </w:rPr>
        <w:t xml:space="preserve"> </w:t>
      </w:r>
      <w:r>
        <w:rPr>
          <w:rFonts w:cs="Arial"/>
          <w:b/>
          <w:iCs/>
          <w:szCs w:val="20"/>
        </w:rPr>
        <w:t>poduzetnika</w:t>
      </w:r>
      <w:r>
        <w:rPr>
          <w:rFonts w:cs="Arial"/>
          <w:iCs/>
          <w:szCs w:val="20"/>
        </w:rPr>
        <w:t xml:space="preserve"> </w:t>
      </w:r>
      <w:r w:rsidR="00ED14B2">
        <w:rPr>
          <w:rFonts w:cs="Arial"/>
          <w:szCs w:val="20"/>
        </w:rPr>
        <w:t>s dokumentacijom potrebnom za obradu kredita sukladno pravilima poslovne banke, predan</w:t>
      </w:r>
      <w:r>
        <w:rPr>
          <w:rFonts w:cs="Arial"/>
          <w:szCs w:val="20"/>
        </w:rPr>
        <w:t xml:space="preserve"> </w:t>
      </w:r>
      <w:r w:rsidR="00ED14B2">
        <w:rPr>
          <w:rFonts w:cs="Arial"/>
          <w:szCs w:val="20"/>
        </w:rPr>
        <w:t xml:space="preserve">poslovnoj banci u </w:t>
      </w:r>
      <w:r w:rsidR="00797165" w:rsidRPr="000101CF">
        <w:rPr>
          <w:rFonts w:cs="Arial"/>
          <w:szCs w:val="20"/>
        </w:rPr>
        <w:t xml:space="preserve">razdoblju do najviše 6 (šest) mjeseci prije nego poslovna </w:t>
      </w:r>
      <w:r w:rsidR="00ED14B2">
        <w:rPr>
          <w:rFonts w:cs="Arial"/>
          <w:szCs w:val="20"/>
        </w:rPr>
        <w:t>preda</w:t>
      </w:r>
      <w:r w:rsidR="00797165" w:rsidRPr="000101CF">
        <w:rPr>
          <w:rFonts w:cs="Arial"/>
          <w:szCs w:val="20"/>
        </w:rPr>
        <w:t xml:space="preserve"> zahtjev za kredit HBOR-u</w:t>
      </w:r>
      <w:r>
        <w:rPr>
          <w:rFonts w:cs="Arial"/>
          <w:szCs w:val="20"/>
        </w:rPr>
        <w:t>.</w:t>
      </w:r>
    </w:p>
    <w:p w14:paraId="020B5FE8" w14:textId="33E3E28B" w:rsidR="00797165" w:rsidRDefault="00941A73" w:rsidP="007925C2">
      <w:pPr>
        <w:pStyle w:val="Header"/>
        <w:tabs>
          <w:tab w:val="clear" w:pos="4536"/>
          <w:tab w:val="clear" w:pos="9072"/>
          <w:tab w:val="center" w:pos="4703"/>
          <w:tab w:val="right" w:pos="9406"/>
        </w:tabs>
        <w:spacing w:line="276" w:lineRule="auto"/>
        <w:jc w:val="both"/>
        <w:rPr>
          <w:rFonts w:cs="Arial"/>
          <w:szCs w:val="20"/>
        </w:rPr>
      </w:pPr>
      <w:r>
        <w:rPr>
          <w:rFonts w:cs="Arial"/>
          <w:szCs w:val="20"/>
        </w:rPr>
        <w:t>Ako</w:t>
      </w:r>
      <w:r w:rsidR="007925C2">
        <w:rPr>
          <w:rFonts w:cs="Arial"/>
          <w:szCs w:val="20"/>
        </w:rPr>
        <w:t xml:space="preserve"> </w:t>
      </w:r>
      <w:r w:rsidR="00CD0DEE" w:rsidRPr="000101CF">
        <w:rPr>
          <w:rFonts w:cs="Arial"/>
          <w:szCs w:val="20"/>
        </w:rPr>
        <w:t xml:space="preserve">između predaje zahtjeva za kredit </w:t>
      </w:r>
      <w:r w:rsidR="00CD0DEE">
        <w:rPr>
          <w:rFonts w:cs="Arial"/>
          <w:szCs w:val="20"/>
        </w:rPr>
        <w:t>poduzetnika</w:t>
      </w:r>
      <w:r w:rsidR="00CD0DEE" w:rsidRPr="000101CF">
        <w:rPr>
          <w:rFonts w:cs="Arial"/>
          <w:szCs w:val="20"/>
        </w:rPr>
        <w:t xml:space="preserve"> i predaje zahtjeva </w:t>
      </w:r>
      <w:r w:rsidR="007925C2">
        <w:rPr>
          <w:rFonts w:cs="Arial"/>
          <w:szCs w:val="20"/>
        </w:rPr>
        <w:t xml:space="preserve">za kredit poslovne banke </w:t>
      </w:r>
      <w:r w:rsidR="00CD0DEE" w:rsidRPr="000101CF">
        <w:rPr>
          <w:rFonts w:cs="Arial"/>
          <w:szCs w:val="20"/>
        </w:rPr>
        <w:t xml:space="preserve">HBOR-u </w:t>
      </w:r>
      <w:r>
        <w:rPr>
          <w:rFonts w:cs="Arial"/>
          <w:szCs w:val="20"/>
        </w:rPr>
        <w:t xml:space="preserve">prođe </w:t>
      </w:r>
      <w:r w:rsidR="00CD0DEE" w:rsidRPr="000101CF">
        <w:rPr>
          <w:rFonts w:cs="Arial"/>
          <w:szCs w:val="20"/>
        </w:rPr>
        <w:t xml:space="preserve">više od 6 </w:t>
      </w:r>
      <w:r w:rsidR="007925C2">
        <w:rPr>
          <w:rFonts w:cs="Arial"/>
          <w:szCs w:val="20"/>
        </w:rPr>
        <w:t xml:space="preserve">(šest) </w:t>
      </w:r>
      <w:r w:rsidR="00CD0DEE" w:rsidRPr="000101CF">
        <w:rPr>
          <w:rFonts w:cs="Arial"/>
          <w:szCs w:val="20"/>
        </w:rPr>
        <w:t>mjeseci</w:t>
      </w:r>
      <w:r w:rsidR="007925C2">
        <w:rPr>
          <w:rFonts w:cs="Arial"/>
          <w:szCs w:val="20"/>
        </w:rPr>
        <w:t xml:space="preserve">, pisanim zahtjevom za potporu smatra se </w:t>
      </w:r>
      <w:r w:rsidR="00797165" w:rsidRPr="00CD0DEE">
        <w:rPr>
          <w:rFonts w:cs="Arial"/>
          <w:b/>
          <w:iCs/>
          <w:szCs w:val="20"/>
        </w:rPr>
        <w:t>zahtjev za kredit</w:t>
      </w:r>
      <w:r w:rsidR="00797165" w:rsidRPr="00CD0DEE">
        <w:rPr>
          <w:rFonts w:cs="Arial"/>
          <w:b/>
          <w:i/>
          <w:iCs/>
          <w:szCs w:val="20"/>
        </w:rPr>
        <w:t xml:space="preserve"> </w:t>
      </w:r>
      <w:r w:rsidR="00CD0DEE" w:rsidRPr="00CD0DEE">
        <w:rPr>
          <w:rFonts w:cs="Arial"/>
          <w:b/>
          <w:szCs w:val="20"/>
        </w:rPr>
        <w:t>poslovne banke</w:t>
      </w:r>
      <w:r w:rsidR="00797165" w:rsidRPr="000101CF">
        <w:rPr>
          <w:rFonts w:cs="Arial"/>
          <w:szCs w:val="20"/>
        </w:rPr>
        <w:t xml:space="preserve"> supotpisan od strane poduzetnika</w:t>
      </w:r>
      <w:r w:rsidR="007925C2">
        <w:rPr>
          <w:rFonts w:cs="Arial"/>
          <w:szCs w:val="20"/>
        </w:rPr>
        <w:t>.</w:t>
      </w:r>
    </w:p>
    <w:p w14:paraId="3B3DE411" w14:textId="3325A49D" w:rsidR="00F0675B" w:rsidRPr="001F22B6" w:rsidRDefault="007920C1" w:rsidP="007B3065">
      <w:pPr>
        <w:pStyle w:val="HeadingA"/>
        <w:numPr>
          <w:ilvl w:val="1"/>
          <w:numId w:val="11"/>
        </w:numPr>
        <w:spacing w:after="0" w:line="276" w:lineRule="auto"/>
        <w:ind w:left="567" w:hanging="567"/>
        <w:outlineLvl w:val="1"/>
        <w:rPr>
          <w:rFonts w:ascii="Arial" w:hAnsi="Arial" w:cs="Arial"/>
          <w:sz w:val="20"/>
          <w:szCs w:val="20"/>
        </w:rPr>
      </w:pPr>
      <w:bookmarkStart w:id="43" w:name="_Toc4408953"/>
      <w:bookmarkStart w:id="44" w:name="_Toc534881550"/>
      <w:r>
        <w:rPr>
          <w:rFonts w:ascii="Arial" w:hAnsi="Arial" w:cs="Arial"/>
          <w:sz w:val="20"/>
          <w:szCs w:val="20"/>
        </w:rPr>
        <w:t>Posebni programi u smislu primjene pravila o potporama</w:t>
      </w:r>
      <w:bookmarkEnd w:id="43"/>
      <w:bookmarkEnd w:id="44"/>
    </w:p>
    <w:p w14:paraId="50632B1A" w14:textId="77777777" w:rsidR="00F0675B" w:rsidRPr="005266DB" w:rsidRDefault="00F0675B" w:rsidP="00B8725D">
      <w:pPr>
        <w:pStyle w:val="Header"/>
        <w:tabs>
          <w:tab w:val="clear" w:pos="4536"/>
          <w:tab w:val="clear" w:pos="9072"/>
          <w:tab w:val="center" w:pos="4703"/>
          <w:tab w:val="right" w:pos="9406"/>
        </w:tabs>
        <w:spacing w:line="276" w:lineRule="auto"/>
        <w:jc w:val="both"/>
      </w:pPr>
    </w:p>
    <w:p w14:paraId="077976DD" w14:textId="77777777" w:rsidR="00F0675B" w:rsidRPr="001F22B6" w:rsidRDefault="00F0675B" w:rsidP="007B3065">
      <w:pPr>
        <w:pStyle w:val="HeadingA"/>
        <w:numPr>
          <w:ilvl w:val="2"/>
          <w:numId w:val="11"/>
        </w:numPr>
        <w:spacing w:before="0" w:after="0" w:line="276" w:lineRule="auto"/>
        <w:ind w:left="709" w:hanging="709"/>
        <w:outlineLvl w:val="2"/>
        <w:rPr>
          <w:rFonts w:ascii="Arial" w:hAnsi="Arial" w:cs="Arial"/>
          <w:b w:val="0"/>
          <w:bCs/>
          <w:sz w:val="20"/>
          <w:szCs w:val="20"/>
        </w:rPr>
      </w:pPr>
      <w:bookmarkStart w:id="45" w:name="_Toc4408954"/>
      <w:bookmarkStart w:id="46" w:name="_Toc534881551"/>
      <w:r w:rsidRPr="001F22B6">
        <w:rPr>
          <w:rFonts w:ascii="Arial" w:hAnsi="Arial" w:cs="Arial"/>
          <w:b w:val="0"/>
          <w:bCs/>
          <w:sz w:val="20"/>
          <w:szCs w:val="20"/>
        </w:rPr>
        <w:t>EU projekti</w:t>
      </w:r>
      <w:bookmarkEnd w:id="45"/>
      <w:bookmarkEnd w:id="46"/>
    </w:p>
    <w:p w14:paraId="59D1BDC5" w14:textId="77777777" w:rsidR="00F0675B" w:rsidRDefault="00F0675B" w:rsidP="00F0675B">
      <w:pPr>
        <w:pStyle w:val="Header"/>
        <w:spacing w:line="276" w:lineRule="auto"/>
        <w:jc w:val="both"/>
        <w:rPr>
          <w:rFonts w:cs="Arial"/>
          <w:szCs w:val="20"/>
        </w:rPr>
      </w:pPr>
    </w:p>
    <w:p w14:paraId="75E4D4AE" w14:textId="77777777" w:rsidR="00E5215C" w:rsidRDefault="00F0675B" w:rsidP="00F0675B">
      <w:pPr>
        <w:pStyle w:val="Header"/>
        <w:spacing w:line="276" w:lineRule="auto"/>
        <w:jc w:val="both"/>
        <w:rPr>
          <w:rFonts w:cs="Arial"/>
          <w:szCs w:val="20"/>
        </w:rPr>
      </w:pPr>
      <w:r w:rsidRPr="000101CF">
        <w:rPr>
          <w:rFonts w:cs="Arial"/>
          <w:szCs w:val="20"/>
        </w:rPr>
        <w:t>Kod projekata koji se kandidiraju za sufin</w:t>
      </w:r>
      <w:r w:rsidR="00474794">
        <w:rPr>
          <w:rFonts w:cs="Arial"/>
          <w:szCs w:val="20"/>
        </w:rPr>
        <w:t>anciranje sredstvima Europskih strukturnih i investicijskih fondova (dalje u tekstu: ESI fondovi)</w:t>
      </w:r>
      <w:r w:rsidRPr="000101CF">
        <w:rPr>
          <w:rFonts w:cs="Arial"/>
          <w:szCs w:val="20"/>
        </w:rPr>
        <w:t xml:space="preserve">, </w:t>
      </w:r>
      <w:r w:rsidR="00E5215C">
        <w:rPr>
          <w:rFonts w:cs="Arial"/>
          <w:szCs w:val="20"/>
        </w:rPr>
        <w:t>kredit HBOR-a se u pravilu odobrava uz opću kamatnu stopu budući da se javne potpore za financiranje istih opravdanih troškova mogu kumulirati do maksimalno dopuštenog intenziteta  iz poziva za dostavu projektnih prijedloga od strane tijela za provedbu EU fondova, a koji se korisnicima u pravilu dodjeljuje.</w:t>
      </w:r>
    </w:p>
    <w:p w14:paraId="7896E499" w14:textId="77777777" w:rsidR="00E5215C" w:rsidRDefault="00E5215C" w:rsidP="00F0675B">
      <w:pPr>
        <w:pStyle w:val="Header"/>
        <w:spacing w:line="276" w:lineRule="auto"/>
        <w:jc w:val="both"/>
        <w:rPr>
          <w:rFonts w:cs="Arial"/>
          <w:szCs w:val="20"/>
        </w:rPr>
      </w:pPr>
    </w:p>
    <w:p w14:paraId="2926DD89" w14:textId="24EECF64" w:rsidR="00F0675B" w:rsidRPr="00E5215C" w:rsidRDefault="00E5215C" w:rsidP="00F0675B">
      <w:pPr>
        <w:pStyle w:val="Header"/>
        <w:spacing w:line="276" w:lineRule="auto"/>
        <w:jc w:val="both"/>
        <w:rPr>
          <w:rFonts w:cs="Arial"/>
          <w:szCs w:val="20"/>
        </w:rPr>
      </w:pPr>
      <w:r w:rsidRPr="00E5215C">
        <w:rPr>
          <w:rFonts w:cs="Arial"/>
          <w:szCs w:val="20"/>
        </w:rPr>
        <w:t xml:space="preserve">Iznimno, </w:t>
      </w:r>
      <w:r w:rsidR="00F0675B" w:rsidRPr="00E5215C">
        <w:rPr>
          <w:rFonts w:cs="Arial"/>
          <w:szCs w:val="20"/>
        </w:rPr>
        <w:t xml:space="preserve">odobravanje kredita HBOR-a uz poticajnu kamatnu stopu za dio projekta koji će se kandidirati za ESI fondove dopušteno je samo ako pozivom za dostavu projektnih prijedloga od strane tijela nadležnog za provedbu EU fondova nije zabranjeno zbrajanje potpore odobrene instrumentom ESI fonda </w:t>
      </w:r>
      <w:r w:rsidRPr="00E5215C">
        <w:rPr>
          <w:rFonts w:cs="Arial"/>
          <w:szCs w:val="20"/>
        </w:rPr>
        <w:t>s ostalim instrumentima potpore (</w:t>
      </w:r>
      <w:r w:rsidR="00F0675B" w:rsidRPr="00E5215C">
        <w:rPr>
          <w:rFonts w:cs="Arial"/>
          <w:szCs w:val="20"/>
        </w:rPr>
        <w:t>uključujući i potpore koje dolaze iz nacionalnih izvora država članica</w:t>
      </w:r>
      <w:r w:rsidRPr="00E5215C">
        <w:rPr>
          <w:rFonts w:cs="Arial"/>
          <w:szCs w:val="20"/>
        </w:rPr>
        <w:t>)</w:t>
      </w:r>
      <w:r w:rsidR="00F0675B" w:rsidRPr="00E5215C">
        <w:rPr>
          <w:rFonts w:cs="Arial"/>
          <w:szCs w:val="20"/>
        </w:rPr>
        <w:t xml:space="preserve"> u vezi s istim opravdanim troškovima</w:t>
      </w:r>
      <w:r w:rsidRPr="00E5215C">
        <w:rPr>
          <w:rFonts w:cs="Arial"/>
          <w:szCs w:val="20"/>
        </w:rPr>
        <w:t xml:space="preserve"> te ako korisniku nije kumulativno dodijeljen maksimalni dopušteni intenzitet potpore iz EU fondova i drugih izvora.</w:t>
      </w:r>
    </w:p>
    <w:p w14:paraId="7F100723" w14:textId="77777777" w:rsidR="00E5215C" w:rsidRPr="000101CF" w:rsidRDefault="00E5215C" w:rsidP="00F0675B">
      <w:pPr>
        <w:pStyle w:val="Header"/>
        <w:spacing w:line="276" w:lineRule="auto"/>
        <w:jc w:val="both"/>
        <w:rPr>
          <w:rFonts w:cs="Arial"/>
          <w:szCs w:val="20"/>
        </w:rPr>
      </w:pPr>
    </w:p>
    <w:p w14:paraId="530D9853" w14:textId="44DFD3B9" w:rsidR="00F0675B" w:rsidRPr="000101CF" w:rsidRDefault="00F0675B" w:rsidP="00F0675B">
      <w:pPr>
        <w:pStyle w:val="Header"/>
        <w:spacing w:line="276" w:lineRule="auto"/>
        <w:jc w:val="both"/>
        <w:rPr>
          <w:rFonts w:cs="Arial"/>
          <w:szCs w:val="20"/>
        </w:rPr>
      </w:pPr>
      <w:r w:rsidRPr="000101CF">
        <w:rPr>
          <w:rFonts w:cs="Arial"/>
          <w:szCs w:val="20"/>
        </w:rPr>
        <w:t xml:space="preserve">U slučaju da je propisana predmetna zabrana zbrajanja potpora odobrenih u vezi s istim opravdanim troškovima, </w:t>
      </w:r>
      <w:r w:rsidR="00E5215C">
        <w:rPr>
          <w:rFonts w:cs="Arial"/>
          <w:szCs w:val="20"/>
        </w:rPr>
        <w:t xml:space="preserve">kao i kod dodjele maksimalno dopuštenog intenziteta potpore iz ESI fondova i/ili drugih izvora, </w:t>
      </w:r>
      <w:r w:rsidRPr="000101CF">
        <w:rPr>
          <w:rFonts w:cs="Arial"/>
          <w:szCs w:val="20"/>
        </w:rPr>
        <w:t>financiranje uz poticajnu kamatnu stopu dopušteno je isključivo za opravdane troškove koji su dio projekta, a koji sukladno uvjetima iz poziva za dostavu projektnih prijedloga i/ili ostale dokumentacije nisu prihvatljivi za financiranje ESI fondovima.</w:t>
      </w:r>
    </w:p>
    <w:p w14:paraId="4B9993E6" w14:textId="77777777" w:rsidR="00F0675B" w:rsidRPr="000101CF" w:rsidRDefault="00F0675B" w:rsidP="00F0675B">
      <w:pPr>
        <w:pStyle w:val="Header"/>
        <w:spacing w:line="276" w:lineRule="auto"/>
        <w:jc w:val="both"/>
        <w:rPr>
          <w:rFonts w:cs="Arial"/>
          <w:szCs w:val="20"/>
        </w:rPr>
      </w:pPr>
    </w:p>
    <w:p w14:paraId="5DCBC009" w14:textId="77777777" w:rsidR="00F0675B" w:rsidRPr="001F22B6" w:rsidRDefault="00F0675B" w:rsidP="007B3065">
      <w:pPr>
        <w:pStyle w:val="Header"/>
        <w:numPr>
          <w:ilvl w:val="2"/>
          <w:numId w:val="11"/>
        </w:numPr>
        <w:spacing w:line="276" w:lineRule="auto"/>
        <w:ind w:left="709" w:hanging="709"/>
        <w:outlineLvl w:val="2"/>
        <w:rPr>
          <w:rFonts w:cs="Arial"/>
          <w:bCs/>
          <w:color w:val="2F5496" w:themeColor="accent1" w:themeShade="BF"/>
          <w:szCs w:val="20"/>
        </w:rPr>
      </w:pPr>
      <w:bookmarkStart w:id="47" w:name="_Toc4408955"/>
      <w:bookmarkStart w:id="48" w:name="_Toc534881552"/>
      <w:r w:rsidRPr="001F22B6">
        <w:rPr>
          <w:rFonts w:cs="Arial"/>
          <w:bCs/>
          <w:color w:val="2F5496" w:themeColor="accent1" w:themeShade="BF"/>
          <w:szCs w:val="20"/>
        </w:rPr>
        <w:t>Investicije javnog sektora</w:t>
      </w:r>
      <w:bookmarkEnd w:id="47"/>
      <w:bookmarkEnd w:id="48"/>
      <w:r w:rsidRPr="001F22B6">
        <w:rPr>
          <w:rFonts w:cs="Arial"/>
          <w:bCs/>
          <w:color w:val="2F5496" w:themeColor="accent1" w:themeShade="BF"/>
          <w:szCs w:val="20"/>
        </w:rPr>
        <w:t xml:space="preserve"> </w:t>
      </w:r>
    </w:p>
    <w:p w14:paraId="6C92FF2B" w14:textId="77777777" w:rsidR="00F0675B" w:rsidRPr="000101CF" w:rsidRDefault="00F0675B" w:rsidP="00F0675B">
      <w:pPr>
        <w:pStyle w:val="Header"/>
        <w:spacing w:line="276" w:lineRule="auto"/>
        <w:jc w:val="both"/>
        <w:rPr>
          <w:rFonts w:cs="Arial"/>
          <w:szCs w:val="20"/>
        </w:rPr>
      </w:pPr>
    </w:p>
    <w:p w14:paraId="5E541605" w14:textId="2E4661A9" w:rsidR="00F0675B" w:rsidRPr="000101CF" w:rsidRDefault="00F0675B" w:rsidP="00F0675B">
      <w:pPr>
        <w:pStyle w:val="Header"/>
        <w:spacing w:line="276" w:lineRule="auto"/>
        <w:jc w:val="both"/>
        <w:rPr>
          <w:rFonts w:cs="Arial"/>
          <w:szCs w:val="20"/>
        </w:rPr>
      </w:pPr>
      <w:r w:rsidRPr="000101CF">
        <w:rPr>
          <w:rFonts w:cs="Arial"/>
          <w:szCs w:val="20"/>
        </w:rPr>
        <w:t>Kod financiranja infrastrukture koja nije namijenjena komercijalnom iskorištavanju u načelu se ne primjenjuju pravila o državnim potporama, odnosno dopušteno je odobriti kredit uz poticajnu kamatnu stopu, neovisno o tome jesu li zadovoljeni uvjeti iz relevantnih propisa o državnim potporama. To se, na primjer, odnosi na općenit</w:t>
      </w:r>
      <w:r w:rsidR="009F2282">
        <w:rPr>
          <w:rFonts w:cs="Arial"/>
          <w:szCs w:val="20"/>
        </w:rPr>
        <w:t>u</w:t>
      </w:r>
      <w:r w:rsidRPr="000101CF">
        <w:rPr>
          <w:rFonts w:cs="Arial"/>
          <w:szCs w:val="20"/>
        </w:rPr>
        <w:t xml:space="preserve"> infrastruktur</w:t>
      </w:r>
      <w:r w:rsidR="009F2282">
        <w:rPr>
          <w:rFonts w:cs="Arial"/>
          <w:szCs w:val="20"/>
        </w:rPr>
        <w:t>u</w:t>
      </w:r>
      <w:r w:rsidRPr="000101CF">
        <w:rPr>
          <w:rFonts w:cs="Arial"/>
          <w:szCs w:val="20"/>
        </w:rPr>
        <w:t xml:space="preserve"> kao što su javne ceste, mostovi ili kanali, koji se daju na raspolaganje javnosti bez primitka nadoknade, kao i na infrastrukturu koja je namijenjena za djelatnosti koje država obično obavlja u izvršavanju javnih ovlasti.  </w:t>
      </w:r>
    </w:p>
    <w:p w14:paraId="5ADDB254" w14:textId="77777777" w:rsidR="00F0675B" w:rsidRPr="000101CF" w:rsidRDefault="00F0675B" w:rsidP="00F0675B">
      <w:pPr>
        <w:pStyle w:val="Header"/>
        <w:spacing w:line="276" w:lineRule="auto"/>
        <w:jc w:val="both"/>
        <w:rPr>
          <w:rFonts w:cs="Arial"/>
          <w:szCs w:val="20"/>
        </w:rPr>
      </w:pPr>
    </w:p>
    <w:p w14:paraId="0F0AE8DC" w14:textId="14E35BC8" w:rsidR="00F0675B" w:rsidRDefault="00F0675B" w:rsidP="00F0675B">
      <w:pPr>
        <w:pStyle w:val="Header"/>
        <w:spacing w:line="276" w:lineRule="auto"/>
        <w:jc w:val="both"/>
        <w:rPr>
          <w:rFonts w:cs="Arial"/>
          <w:szCs w:val="20"/>
        </w:rPr>
      </w:pPr>
      <w:r w:rsidRPr="00685744">
        <w:rPr>
          <w:rFonts w:cs="Arial"/>
          <w:szCs w:val="20"/>
        </w:rPr>
        <w:t>Kod korisnika kredita koji se mogu svrstati u poduzetnike u smislu propisa o državnim potporama</w:t>
      </w:r>
      <w:r w:rsidRPr="00830A77">
        <w:rPr>
          <w:rStyle w:val="FootnoteReference"/>
          <w:rFonts w:cs="Arial"/>
          <w:b/>
          <w:szCs w:val="20"/>
        </w:rPr>
        <w:footnoteReference w:id="11"/>
      </w:r>
      <w:r w:rsidRPr="00685744">
        <w:rPr>
          <w:rFonts w:cs="Arial"/>
          <w:szCs w:val="20"/>
        </w:rPr>
        <w:t xml:space="preserve">, kredit se može odobriti uz poticajnu kamatnu stopu, odnosno u režimu državne potpore i/ili potpore </w:t>
      </w:r>
      <w:r w:rsidRPr="00685744">
        <w:rPr>
          <w:rFonts w:cs="Arial"/>
          <w:szCs w:val="20"/>
        </w:rPr>
        <w:lastRenderedPageBreak/>
        <w:t>male vrijednosti, ovisno o namjeni infrastrukture/projekta koji se financira, odnosno je li i u kojoj mjeri projekt namijenjen gospodarskom iskorištavanju ili ne, a što je potrebno procijeniti s obzirom na sve okolnosti pojedinog ulaganja.</w:t>
      </w:r>
    </w:p>
    <w:p w14:paraId="5703DBBE" w14:textId="77777777" w:rsidR="005F2223" w:rsidRPr="00685744" w:rsidRDefault="005F2223" w:rsidP="00F0675B">
      <w:pPr>
        <w:pStyle w:val="Header"/>
        <w:spacing w:line="276" w:lineRule="auto"/>
        <w:jc w:val="both"/>
        <w:rPr>
          <w:rFonts w:cs="Arial"/>
          <w:szCs w:val="20"/>
        </w:rPr>
      </w:pPr>
    </w:p>
    <w:p w14:paraId="5600B670" w14:textId="55178840" w:rsidR="008E0D8C" w:rsidRPr="008E0D8C" w:rsidRDefault="008E0D8C" w:rsidP="008E0D8C">
      <w:pPr>
        <w:tabs>
          <w:tab w:val="center" w:pos="4536"/>
          <w:tab w:val="right" w:pos="9072"/>
        </w:tabs>
        <w:spacing w:line="276" w:lineRule="auto"/>
        <w:jc w:val="both"/>
        <w:rPr>
          <w:rFonts w:cs="Arial"/>
          <w:szCs w:val="20"/>
        </w:rPr>
      </w:pPr>
      <w:r w:rsidRPr="00685744">
        <w:rPr>
          <w:rFonts w:cs="Arial"/>
          <w:szCs w:val="20"/>
        </w:rPr>
        <w:t>Ako se radi o ulaganju čija je namjena gospodarska aktivnost (poduzetnik u smislu propisa o potporama), a korisnik kredita ne zadovoljava uvjete za dodjelu državne potpore i/ili potpore male vrijednosti, kredit se može odobriti uz opću kamatnu stopu.</w:t>
      </w:r>
    </w:p>
    <w:p w14:paraId="37ED3638" w14:textId="77777777" w:rsidR="00F0675B" w:rsidRPr="000101CF" w:rsidRDefault="00F0675B" w:rsidP="00F0675B">
      <w:pPr>
        <w:pStyle w:val="Header"/>
        <w:spacing w:line="276" w:lineRule="auto"/>
        <w:jc w:val="both"/>
        <w:rPr>
          <w:rFonts w:cs="Arial"/>
          <w:szCs w:val="20"/>
        </w:rPr>
      </w:pPr>
    </w:p>
    <w:p w14:paraId="2245C63B" w14:textId="1D228E3E" w:rsidR="00F0675B" w:rsidRPr="001F22B6" w:rsidRDefault="00F0675B" w:rsidP="007B3065">
      <w:pPr>
        <w:pStyle w:val="Header"/>
        <w:numPr>
          <w:ilvl w:val="2"/>
          <w:numId w:val="11"/>
        </w:numPr>
        <w:spacing w:line="276" w:lineRule="auto"/>
        <w:ind w:left="567" w:hanging="567"/>
        <w:outlineLvl w:val="2"/>
        <w:rPr>
          <w:rFonts w:cs="Arial"/>
          <w:bCs/>
          <w:color w:val="2F5496" w:themeColor="accent1" w:themeShade="BF"/>
          <w:szCs w:val="20"/>
        </w:rPr>
      </w:pPr>
      <w:bookmarkStart w:id="49" w:name="_Toc4408956"/>
      <w:bookmarkStart w:id="50" w:name="_Toc534881553"/>
      <w:r w:rsidRPr="001F22B6">
        <w:rPr>
          <w:rFonts w:cs="Arial"/>
          <w:bCs/>
          <w:color w:val="2F5496" w:themeColor="accent1" w:themeShade="BF"/>
          <w:szCs w:val="20"/>
        </w:rPr>
        <w:t>Financijsk</w:t>
      </w:r>
      <w:r w:rsidR="00C17761">
        <w:rPr>
          <w:rFonts w:cs="Arial"/>
          <w:bCs/>
          <w:color w:val="2F5496" w:themeColor="accent1" w:themeShade="BF"/>
          <w:szCs w:val="20"/>
        </w:rPr>
        <w:t>o restrukturiranje</w:t>
      </w:r>
      <w:bookmarkEnd w:id="49"/>
      <w:bookmarkEnd w:id="50"/>
    </w:p>
    <w:p w14:paraId="69D28EA3" w14:textId="77777777" w:rsidR="00F0675B" w:rsidRPr="005266DB" w:rsidRDefault="00F0675B" w:rsidP="00F0675B">
      <w:pPr>
        <w:pStyle w:val="Header"/>
        <w:spacing w:line="276" w:lineRule="auto"/>
        <w:jc w:val="both"/>
        <w:rPr>
          <w:rFonts w:cs="Arial"/>
          <w:szCs w:val="20"/>
        </w:rPr>
      </w:pPr>
    </w:p>
    <w:p w14:paraId="6F3D61E6" w14:textId="20E1A879" w:rsidR="009B5282" w:rsidRPr="000101CF" w:rsidRDefault="009B5282" w:rsidP="009B5282">
      <w:pPr>
        <w:pStyle w:val="Header"/>
        <w:spacing w:line="276" w:lineRule="auto"/>
        <w:jc w:val="both"/>
        <w:rPr>
          <w:rFonts w:cs="Arial"/>
          <w:szCs w:val="20"/>
        </w:rPr>
      </w:pPr>
      <w:r w:rsidRPr="000101CF">
        <w:rPr>
          <w:rFonts w:cs="Arial"/>
          <w:szCs w:val="20"/>
        </w:rPr>
        <w:t>Financiranje uz poticajnu kamatnu stopu moguće je isključivo sukladno kriterijima iz Smjernica o državnim potporama za sanaciju i restrukturiranje nefinancijskih poduzetnika u teškoćama (SL C 249, 31.7.2014</w:t>
      </w:r>
      <w:r>
        <w:rPr>
          <w:rFonts w:cs="Arial"/>
          <w:szCs w:val="20"/>
        </w:rPr>
        <w:t>.</w:t>
      </w:r>
      <w:r w:rsidRPr="000101CF">
        <w:rPr>
          <w:rFonts w:cs="Arial"/>
          <w:szCs w:val="20"/>
        </w:rPr>
        <w:t>) te uredbama o potporama male vrijednosti.</w:t>
      </w:r>
    </w:p>
    <w:p w14:paraId="7DF4751B" w14:textId="77777777" w:rsidR="00F0675B" w:rsidRPr="000101CF" w:rsidRDefault="00F0675B" w:rsidP="00F0675B">
      <w:pPr>
        <w:pStyle w:val="Header"/>
        <w:spacing w:line="276" w:lineRule="auto"/>
        <w:jc w:val="both"/>
        <w:rPr>
          <w:rFonts w:cs="Arial"/>
          <w:szCs w:val="20"/>
        </w:rPr>
      </w:pPr>
    </w:p>
    <w:p w14:paraId="263D7AF5" w14:textId="7463D1E8" w:rsidR="00F0675B" w:rsidRPr="000101CF" w:rsidRDefault="00F0675B" w:rsidP="00F0675B">
      <w:pPr>
        <w:pStyle w:val="Header"/>
        <w:spacing w:line="276" w:lineRule="auto"/>
        <w:jc w:val="both"/>
        <w:rPr>
          <w:rFonts w:cs="Arial"/>
          <w:szCs w:val="20"/>
        </w:rPr>
      </w:pPr>
      <w:r w:rsidRPr="000101CF">
        <w:rPr>
          <w:rFonts w:cs="Arial"/>
          <w:szCs w:val="20"/>
        </w:rPr>
        <w:t>Kreditiranje dr</w:t>
      </w:r>
      <w:r w:rsidR="009B5282">
        <w:rPr>
          <w:rFonts w:cs="Arial"/>
          <w:szCs w:val="20"/>
        </w:rPr>
        <w:t xml:space="preserve">uštava u teškoćama u smislu točke </w:t>
      </w:r>
      <w:r w:rsidRPr="000101CF">
        <w:rPr>
          <w:rFonts w:cs="Arial"/>
          <w:szCs w:val="20"/>
        </w:rPr>
        <w:t xml:space="preserve">20. navedenih Smjernica, </w:t>
      </w:r>
      <w:r w:rsidR="009B5282">
        <w:rPr>
          <w:rFonts w:cs="Arial"/>
          <w:szCs w:val="20"/>
        </w:rPr>
        <w:t>provodi se</w:t>
      </w:r>
      <w:r w:rsidRPr="000101CF">
        <w:rPr>
          <w:rFonts w:cs="Arial"/>
          <w:szCs w:val="20"/>
        </w:rPr>
        <w:t xml:space="preserve"> isključivo sukladno odredbama Zakona o državnim potporama (NN 47/14, 69/17) i njegovim naknadnim izmjenama i dopunama, odnosno uz obveznu prethodnu prijavu potpore za sanaciju i/ili potpore za restrukturiranje na ocjenu Europskoj komisiji/Ministarstvu financija te poštivanje svih kriterija iz navedenih Smjernica.</w:t>
      </w:r>
    </w:p>
    <w:p w14:paraId="221627ED" w14:textId="77777777" w:rsidR="009B5282" w:rsidRDefault="009B5282" w:rsidP="009B5282">
      <w:pPr>
        <w:pStyle w:val="Header"/>
        <w:spacing w:line="276" w:lineRule="auto"/>
        <w:jc w:val="both"/>
        <w:rPr>
          <w:rFonts w:cs="Arial"/>
          <w:szCs w:val="20"/>
        </w:rPr>
      </w:pPr>
    </w:p>
    <w:p w14:paraId="2A6E3715" w14:textId="00FC516D" w:rsidR="009B5282" w:rsidRDefault="009B5282" w:rsidP="009B5282">
      <w:pPr>
        <w:pStyle w:val="Header"/>
        <w:spacing w:line="276" w:lineRule="auto"/>
        <w:jc w:val="both"/>
        <w:rPr>
          <w:rFonts w:cs="Arial"/>
          <w:szCs w:val="20"/>
        </w:rPr>
      </w:pPr>
      <w:r w:rsidRPr="000101CF">
        <w:rPr>
          <w:rFonts w:cs="Arial"/>
          <w:szCs w:val="20"/>
        </w:rPr>
        <w:t xml:space="preserve">Ako se radi o izravnom kreditiranju korisnika kredita osiguranih jamstvom </w:t>
      </w:r>
      <w:r>
        <w:rPr>
          <w:rFonts w:cs="Arial"/>
          <w:szCs w:val="20"/>
        </w:rPr>
        <w:t>RH</w:t>
      </w:r>
      <w:r w:rsidRPr="000101CF">
        <w:rPr>
          <w:rFonts w:cs="Arial"/>
          <w:szCs w:val="20"/>
        </w:rPr>
        <w:t xml:space="preserve"> ili garancijom HBOR-u prihvatljive poslovne banke, u pravilu u visini od najmanje 80% od iznosa neotplaćene glavnice, kamata i ostalih troškova kredita, HBOR može kreditirati poslovne subjekte i kada se nalaze u teškoćama, odnosno ispunjavaju jedan od kriterija navedenih u toč.20. Smjernica o državnim potporama za sanaciju i restrukturiranje nefinancijskih poduzetnika u t</w:t>
      </w:r>
      <w:r>
        <w:rPr>
          <w:rFonts w:cs="Arial"/>
          <w:szCs w:val="20"/>
        </w:rPr>
        <w:t>eškoćama (SL C 249, 31.7.2014)</w:t>
      </w:r>
    </w:p>
    <w:p w14:paraId="6143E556" w14:textId="2B8D1BF8" w:rsidR="00592063" w:rsidRDefault="00542147" w:rsidP="009B5282">
      <w:pPr>
        <w:pStyle w:val="Header"/>
        <w:spacing w:line="276" w:lineRule="auto"/>
        <w:jc w:val="both"/>
        <w:rPr>
          <w:rFonts w:cs="Arial"/>
          <w:szCs w:val="20"/>
        </w:rPr>
      </w:pPr>
      <w:hyperlink r:id="rId12" w:history="1">
        <w:r w:rsidR="009B5282" w:rsidRPr="000101CF">
          <w:rPr>
            <w:rStyle w:val="Hyperlink"/>
            <w:rFonts w:cs="Arial"/>
            <w:szCs w:val="20"/>
          </w:rPr>
          <w:t>https://eur-lex.europa.eu/legal-content/HR/TXT/PDF/?uri=OJ:C:2014:249:FULL&amp;from=HR</w:t>
        </w:r>
      </w:hyperlink>
    </w:p>
    <w:p w14:paraId="390AAC89" w14:textId="77777777" w:rsidR="005957A2" w:rsidRPr="007174C9" w:rsidRDefault="005957A2" w:rsidP="00371523">
      <w:pPr>
        <w:pStyle w:val="HeadingA"/>
        <w:numPr>
          <w:ilvl w:val="1"/>
          <w:numId w:val="11"/>
        </w:numPr>
        <w:spacing w:after="0" w:line="276" w:lineRule="auto"/>
        <w:ind w:left="567" w:hanging="567"/>
        <w:outlineLvl w:val="1"/>
        <w:rPr>
          <w:rFonts w:ascii="Arial" w:hAnsi="Arial" w:cs="Arial"/>
          <w:sz w:val="20"/>
          <w:szCs w:val="20"/>
        </w:rPr>
      </w:pPr>
      <w:bookmarkStart w:id="51" w:name="_Hlk530475050"/>
      <w:bookmarkStart w:id="52" w:name="_Toc4408957"/>
      <w:bookmarkStart w:id="53" w:name="_Toc534881554"/>
      <w:r w:rsidRPr="007174C9">
        <w:rPr>
          <w:rFonts w:ascii="Arial" w:hAnsi="Arial" w:cs="Arial"/>
          <w:sz w:val="20"/>
          <w:szCs w:val="20"/>
        </w:rPr>
        <w:t>Izuzeća</w:t>
      </w:r>
      <w:bookmarkEnd w:id="51"/>
      <w:bookmarkEnd w:id="52"/>
      <w:bookmarkEnd w:id="53"/>
    </w:p>
    <w:p w14:paraId="6989D3CA" w14:textId="77777777" w:rsidR="005957A2" w:rsidRPr="005266DB" w:rsidRDefault="005957A2" w:rsidP="005957A2">
      <w:pPr>
        <w:pStyle w:val="Header"/>
        <w:tabs>
          <w:tab w:val="clear" w:pos="4536"/>
          <w:tab w:val="clear" w:pos="9072"/>
          <w:tab w:val="center" w:pos="4703"/>
          <w:tab w:val="right" w:pos="9406"/>
        </w:tabs>
        <w:spacing w:line="276" w:lineRule="auto"/>
        <w:jc w:val="both"/>
      </w:pPr>
    </w:p>
    <w:p w14:paraId="678EEC49" w14:textId="77777777" w:rsidR="005957A2" w:rsidRDefault="005957A2" w:rsidP="005957A2">
      <w:pPr>
        <w:pStyle w:val="Header"/>
        <w:tabs>
          <w:tab w:val="clear" w:pos="4536"/>
          <w:tab w:val="clear" w:pos="9072"/>
          <w:tab w:val="center" w:pos="4703"/>
          <w:tab w:val="right" w:pos="9406"/>
        </w:tabs>
        <w:spacing w:line="276" w:lineRule="auto"/>
        <w:jc w:val="both"/>
        <w:rPr>
          <w:rFonts w:cs="Arial"/>
          <w:szCs w:val="20"/>
        </w:rPr>
      </w:pPr>
      <w:r>
        <w:rPr>
          <w:rFonts w:cs="Arial"/>
          <w:szCs w:val="20"/>
        </w:rPr>
        <w:t>Financiranje uz poticajnu kamatnu stopu nije moguće:</w:t>
      </w:r>
    </w:p>
    <w:p w14:paraId="710B88AE" w14:textId="77777777" w:rsidR="005957A2" w:rsidRPr="00C53B05" w:rsidRDefault="005957A2" w:rsidP="007B3065">
      <w:pPr>
        <w:pStyle w:val="Header"/>
        <w:numPr>
          <w:ilvl w:val="0"/>
          <w:numId w:val="10"/>
        </w:numPr>
        <w:tabs>
          <w:tab w:val="clear" w:pos="4536"/>
          <w:tab w:val="clear" w:pos="9072"/>
          <w:tab w:val="center" w:pos="4703"/>
          <w:tab w:val="right" w:pos="9406"/>
        </w:tabs>
        <w:spacing w:line="276" w:lineRule="auto"/>
        <w:jc w:val="both"/>
        <w:rPr>
          <w:rFonts w:cs="Arial"/>
          <w:szCs w:val="20"/>
        </w:rPr>
      </w:pPr>
      <w:r w:rsidRPr="00C53B05">
        <w:rPr>
          <w:rFonts w:cs="Arial"/>
          <w:szCs w:val="20"/>
        </w:rPr>
        <w:t>kod programa za financiranje izvoza (Priprema izvoza, Kredit kupcu, Kredit dobavljaču)  budući da propisi o državnim potporama izričito isključuju mogućnost dodjele potpore za djelatnosti usmjerene izvozu u treće zemlje ili države članice, odnosno potpore koje su izravno povezane s izvezenim količinama, s uspostavom i funkcioniranjem distribucijske mreže ili s drugim tekućim troškovima povezanima s izvoznom djelatnošću;</w:t>
      </w:r>
    </w:p>
    <w:p w14:paraId="62876515" w14:textId="77777777" w:rsidR="005957A2" w:rsidRDefault="005957A2" w:rsidP="007B3065">
      <w:pPr>
        <w:pStyle w:val="Header"/>
        <w:numPr>
          <w:ilvl w:val="0"/>
          <w:numId w:val="10"/>
        </w:numPr>
        <w:tabs>
          <w:tab w:val="clear" w:pos="4536"/>
          <w:tab w:val="clear" w:pos="9072"/>
          <w:tab w:val="center" w:pos="4703"/>
          <w:tab w:val="right" w:pos="9406"/>
        </w:tabs>
        <w:spacing w:line="276" w:lineRule="auto"/>
        <w:jc w:val="both"/>
        <w:rPr>
          <w:rFonts w:cs="Arial"/>
          <w:szCs w:val="20"/>
        </w:rPr>
      </w:pPr>
      <w:r w:rsidRPr="00C53B05">
        <w:rPr>
          <w:rFonts w:cs="Arial"/>
          <w:szCs w:val="20"/>
        </w:rPr>
        <w:t>u sektoru ribarstva i akvakulture, uključujući djelatnosti proizvodnje, prerade i stavljanja na tržište proizvoda ribarstva i akvakulture</w:t>
      </w:r>
      <w:r>
        <w:rPr>
          <w:rFonts w:cs="Arial"/>
          <w:szCs w:val="20"/>
        </w:rPr>
        <w:t>.</w:t>
      </w:r>
    </w:p>
    <w:p w14:paraId="6B68E8DC" w14:textId="55BB5F91" w:rsidR="00E37927" w:rsidRPr="00781E9C" w:rsidRDefault="000D4163" w:rsidP="007B3065">
      <w:pPr>
        <w:pStyle w:val="HeadingA"/>
        <w:numPr>
          <w:ilvl w:val="0"/>
          <w:numId w:val="11"/>
        </w:numPr>
        <w:pBdr>
          <w:bottom w:val="single" w:sz="4" w:space="1" w:color="auto"/>
        </w:pBdr>
        <w:outlineLvl w:val="0"/>
        <w:rPr>
          <w:rFonts w:ascii="Arial" w:hAnsi="Arial" w:cs="Arial"/>
        </w:rPr>
      </w:pPr>
      <w:bookmarkStart w:id="54" w:name="_Toc4408958"/>
      <w:bookmarkStart w:id="55" w:name="_Toc534881555"/>
      <w:r w:rsidRPr="00781E9C">
        <w:rPr>
          <w:rFonts w:ascii="Arial" w:hAnsi="Arial" w:cs="Arial"/>
        </w:rPr>
        <w:t>Ostal</w:t>
      </w:r>
      <w:r w:rsidR="007962A2">
        <w:rPr>
          <w:rFonts w:ascii="Arial" w:hAnsi="Arial" w:cs="Arial"/>
        </w:rPr>
        <w:t>o</w:t>
      </w:r>
      <w:bookmarkEnd w:id="54"/>
      <w:bookmarkEnd w:id="55"/>
    </w:p>
    <w:p w14:paraId="1BBD80AB" w14:textId="01E5F6FC" w:rsidR="002355BE" w:rsidRDefault="00711102" w:rsidP="002355BE">
      <w:pPr>
        <w:spacing w:line="276" w:lineRule="auto"/>
        <w:jc w:val="both"/>
        <w:rPr>
          <w:rFonts w:cs="Arial"/>
          <w:szCs w:val="20"/>
        </w:rPr>
      </w:pPr>
      <w:r w:rsidRPr="002355BE">
        <w:rPr>
          <w:rFonts w:cs="Arial"/>
          <w:szCs w:val="20"/>
        </w:rPr>
        <w:t>Pravo na kredit ne postoji, već HBOR o svakom zahtjevu donosi posebnu odluku.</w:t>
      </w:r>
    </w:p>
    <w:sectPr w:rsidR="002355BE" w:rsidSect="00E6441E">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8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F870E" w14:textId="77777777" w:rsidR="00C464D6" w:rsidRDefault="00C464D6" w:rsidP="006372FA">
      <w:r>
        <w:separator/>
      </w:r>
    </w:p>
  </w:endnote>
  <w:endnote w:type="continuationSeparator" w:id="0">
    <w:p w14:paraId="4F2291A7" w14:textId="77777777" w:rsidR="00C464D6" w:rsidRDefault="00C464D6" w:rsidP="006372FA">
      <w:r>
        <w:continuationSeparator/>
      </w:r>
    </w:p>
  </w:endnote>
  <w:endnote w:type="continuationNotice" w:id="1">
    <w:p w14:paraId="6B709B9F" w14:textId="77777777" w:rsidR="00C464D6" w:rsidRDefault="00C46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4135" w14:textId="77777777" w:rsidR="00542147" w:rsidRDefault="00542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574892"/>
      <w:docPartObj>
        <w:docPartGallery w:val="Page Numbers (Bottom of Page)"/>
        <w:docPartUnique/>
      </w:docPartObj>
    </w:sdtPr>
    <w:sdtEndPr/>
    <w:sdtContent>
      <w:p w14:paraId="748B7774" w14:textId="77777777" w:rsidR="009B4C44" w:rsidRDefault="009B4C44">
        <w:pPr>
          <w:pStyle w:val="Footer"/>
          <w:jc w:val="right"/>
        </w:pPr>
        <w:r>
          <w:fldChar w:fldCharType="begin"/>
        </w:r>
        <w:r>
          <w:instrText>PAGE   \* MERGEFORMAT</w:instrText>
        </w:r>
        <w:r>
          <w:fldChar w:fldCharType="separate"/>
        </w:r>
        <w:r>
          <w:t>2</w:t>
        </w:r>
        <w:r>
          <w:fldChar w:fldCharType="end"/>
        </w:r>
        <w:r w:rsidR="00941A73">
          <w:t>/</w:t>
        </w:r>
        <w:r w:rsidR="00CC79DB">
          <w:t>9</w:t>
        </w:r>
      </w:p>
    </w:sdtContent>
  </w:sdt>
  <w:p w14:paraId="3E9BA811" w14:textId="77777777" w:rsidR="009B4C44" w:rsidRDefault="009B4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6FBE" w14:textId="1E567535" w:rsidR="001947DC" w:rsidRPr="009B5FD3" w:rsidRDefault="003340E7" w:rsidP="001947DC">
    <w:pPr>
      <w:pStyle w:val="Footer"/>
      <w:rPr>
        <w:sz w:val="16"/>
        <w:szCs w:val="16"/>
      </w:rPr>
    </w:pPr>
    <w:r>
      <w:rPr>
        <w:sz w:val="16"/>
        <w:szCs w:val="16"/>
      </w:rPr>
      <w:t xml:space="preserve">U primjeni od </w:t>
    </w:r>
    <w:r w:rsidR="00542147">
      <w:rPr>
        <w:sz w:val="16"/>
        <w:szCs w:val="16"/>
      </w:rPr>
      <w:t>31</w:t>
    </w:r>
    <w:r w:rsidR="00864D82">
      <w:rPr>
        <w:sz w:val="16"/>
        <w:szCs w:val="16"/>
      </w:rPr>
      <w:t>.</w:t>
    </w:r>
    <w:r w:rsidR="00542147">
      <w:rPr>
        <w:sz w:val="16"/>
        <w:szCs w:val="16"/>
      </w:rPr>
      <w:t xml:space="preserve"> srpnja</w:t>
    </w:r>
    <w:bookmarkStart w:id="56" w:name="_GoBack"/>
    <w:bookmarkEnd w:id="56"/>
    <w:r w:rsidR="00790D94">
      <w:rPr>
        <w:sz w:val="16"/>
        <w:szCs w:val="16"/>
      </w:rPr>
      <w:t xml:space="preserve"> </w:t>
    </w:r>
    <w:r>
      <w:rPr>
        <w:sz w:val="16"/>
        <w:szCs w:val="16"/>
      </w:rPr>
      <w:t>20</w:t>
    </w:r>
    <w:r w:rsidR="00864D82">
      <w:rPr>
        <w:sz w:val="16"/>
        <w:szCs w:val="16"/>
      </w:rPr>
      <w:t>20</w:t>
    </w:r>
    <w:r>
      <w:rPr>
        <w:sz w:val="16"/>
        <w:szCs w:val="16"/>
      </w:rPr>
      <w:t>.</w:t>
    </w:r>
    <w:r w:rsidRPr="003340E7">
      <w:rPr>
        <w:sz w:val="16"/>
        <w:szCs w:val="16"/>
      </w:rPr>
      <w:ptab w:relativeTo="margin" w:alignment="center" w:leader="none"/>
    </w:r>
    <w:r w:rsidRPr="003340E7">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05494" w14:textId="77777777" w:rsidR="00C464D6" w:rsidRDefault="00C464D6" w:rsidP="006372FA">
      <w:r>
        <w:separator/>
      </w:r>
    </w:p>
  </w:footnote>
  <w:footnote w:type="continuationSeparator" w:id="0">
    <w:p w14:paraId="6CDAF193" w14:textId="77777777" w:rsidR="00C464D6" w:rsidRDefault="00C464D6" w:rsidP="006372FA">
      <w:r>
        <w:continuationSeparator/>
      </w:r>
    </w:p>
  </w:footnote>
  <w:footnote w:type="continuationNotice" w:id="1">
    <w:p w14:paraId="11AB1370" w14:textId="77777777" w:rsidR="00C464D6" w:rsidRDefault="00C464D6"/>
  </w:footnote>
  <w:footnote w:id="2">
    <w:p w14:paraId="2E8B9DAE" w14:textId="3DFCB3A1" w:rsidR="00CA7FA8" w:rsidRDefault="00CA7FA8" w:rsidP="004F7C45">
      <w:pPr>
        <w:pStyle w:val="FootnoteText"/>
        <w:spacing w:line="276" w:lineRule="auto"/>
        <w:jc w:val="both"/>
      </w:pPr>
      <w:r w:rsidRPr="00CA7FA8">
        <w:rPr>
          <w:rStyle w:val="FootnoteReference"/>
          <w:rFonts w:cs="Arial"/>
          <w:sz w:val="18"/>
          <w:szCs w:val="18"/>
        </w:rPr>
        <w:footnoteRef/>
      </w:r>
      <w:r w:rsidRPr="00CA7FA8">
        <w:rPr>
          <w:rStyle w:val="FootnoteReference"/>
          <w:rFonts w:cs="Arial"/>
          <w:sz w:val="18"/>
          <w:szCs w:val="18"/>
        </w:rPr>
        <w:t xml:space="preserve"> </w:t>
      </w:r>
      <w:r w:rsidRPr="00CA7FA8">
        <w:rPr>
          <w:rFonts w:cs="Arial"/>
          <w:sz w:val="18"/>
          <w:szCs w:val="18"/>
        </w:rPr>
        <w:t xml:space="preserve">Iznimno, prihvatljiva su ulaganja u nekretnine koje nisu u vlasništvu korisnika kredita u slučaju difuznih i integralnih hotela i/ili ako se </w:t>
      </w:r>
      <w:r w:rsidR="00FD5097">
        <w:rPr>
          <w:rFonts w:cs="Arial"/>
          <w:sz w:val="18"/>
          <w:szCs w:val="18"/>
        </w:rPr>
        <w:t xml:space="preserve">radi o zemljištu odnosno </w:t>
      </w:r>
      <w:r w:rsidRPr="00CA7FA8">
        <w:rPr>
          <w:rFonts w:cs="Arial"/>
          <w:sz w:val="18"/>
          <w:szCs w:val="18"/>
        </w:rPr>
        <w:t>objekt</w:t>
      </w:r>
      <w:r w:rsidR="00FD5097">
        <w:rPr>
          <w:rFonts w:cs="Arial"/>
          <w:sz w:val="18"/>
          <w:szCs w:val="18"/>
        </w:rPr>
        <w:t>u</w:t>
      </w:r>
      <w:r w:rsidRPr="00CA7FA8">
        <w:rPr>
          <w:rFonts w:cs="Arial"/>
          <w:sz w:val="18"/>
          <w:szCs w:val="18"/>
        </w:rPr>
        <w:t xml:space="preserve"> koje se koristi temeljem ugovora o koncesiji odnosno pravu građenja, zakupu ili najmu, s tim da razdoblje koncesije, zakupa ili najma ne može biti kraće od roka otplate kredita</w:t>
      </w:r>
      <w:r>
        <w:rPr>
          <w:rFonts w:cs="Arial"/>
          <w:sz w:val="18"/>
          <w:szCs w:val="18"/>
        </w:rPr>
        <w:t>.</w:t>
      </w:r>
    </w:p>
  </w:footnote>
  <w:footnote w:id="3">
    <w:p w14:paraId="2FEF115B" w14:textId="45390640" w:rsidR="00525A4D" w:rsidRPr="00525A4D" w:rsidRDefault="00525A4D" w:rsidP="004869CD">
      <w:pPr>
        <w:pStyle w:val="FootnoteText"/>
        <w:spacing w:before="120" w:line="276" w:lineRule="auto"/>
        <w:jc w:val="both"/>
        <w:rPr>
          <w:rFonts w:cs="Arial"/>
          <w:sz w:val="18"/>
          <w:szCs w:val="18"/>
        </w:rPr>
      </w:pPr>
      <w:r w:rsidRPr="00525A4D">
        <w:rPr>
          <w:rStyle w:val="FootnoteReference"/>
          <w:rFonts w:cs="Arial"/>
          <w:sz w:val="18"/>
          <w:szCs w:val="18"/>
        </w:rPr>
        <w:footnoteRef/>
      </w:r>
      <w:r w:rsidRPr="00525A4D">
        <w:rPr>
          <w:rFonts w:cs="Arial"/>
          <w:sz w:val="18"/>
          <w:szCs w:val="18"/>
        </w:rPr>
        <w:t xml:space="preserve"> Iznimno, prihvatljiva su investicijska ulaganja u trgovačke djelatnosti velikih poduzetnika</w:t>
      </w:r>
      <w:r w:rsidR="00650DDD">
        <w:rPr>
          <w:rFonts w:cs="Arial"/>
          <w:sz w:val="18"/>
          <w:szCs w:val="18"/>
        </w:rPr>
        <w:t xml:space="preserve"> </w:t>
      </w:r>
      <w:r w:rsidRPr="00525A4D">
        <w:rPr>
          <w:rFonts w:cs="Arial"/>
          <w:sz w:val="18"/>
          <w:szCs w:val="18"/>
        </w:rPr>
        <w:t>na područjima posebne državne skrbi ili potpomognutim područjima - JLS I., II., III. i IV. skupine ili brdsko-planinskim područjima ili otocima</w:t>
      </w:r>
      <w:r w:rsidR="00CA7FA8">
        <w:rPr>
          <w:rFonts w:cs="Arial"/>
          <w:sz w:val="18"/>
          <w:szCs w:val="18"/>
        </w:rPr>
        <w:t>.</w:t>
      </w:r>
    </w:p>
  </w:footnote>
  <w:footnote w:id="4">
    <w:p w14:paraId="2B59F2F8" w14:textId="37B1ABC1" w:rsidR="000219C8" w:rsidRPr="005F2223" w:rsidRDefault="001D374C" w:rsidP="004869CD">
      <w:pPr>
        <w:pStyle w:val="FootnoteText"/>
        <w:spacing w:before="120" w:line="276" w:lineRule="auto"/>
        <w:jc w:val="both"/>
        <w:rPr>
          <w:rFonts w:cs="Arial"/>
          <w:sz w:val="18"/>
          <w:szCs w:val="18"/>
        </w:rPr>
      </w:pPr>
      <w:r w:rsidRPr="005F2223">
        <w:rPr>
          <w:rStyle w:val="FootnoteReference"/>
          <w:rFonts w:cs="Arial"/>
          <w:sz w:val="18"/>
          <w:szCs w:val="18"/>
        </w:rPr>
        <w:footnoteRef/>
      </w:r>
      <w:r w:rsidRPr="005F2223">
        <w:rPr>
          <w:rFonts w:cs="Arial"/>
          <w:sz w:val="18"/>
          <w:szCs w:val="18"/>
        </w:rPr>
        <w:t xml:space="preserve"> </w:t>
      </w:r>
      <w:r w:rsidR="00515402" w:rsidRPr="005F2223">
        <w:rPr>
          <w:rFonts w:cs="Arial"/>
          <w:sz w:val="18"/>
          <w:szCs w:val="18"/>
        </w:rPr>
        <w:t>O</w:t>
      </w:r>
      <w:r w:rsidR="00650DDD">
        <w:rPr>
          <w:rFonts w:cs="Arial"/>
          <w:sz w:val="18"/>
          <w:szCs w:val="18"/>
        </w:rPr>
        <w:t>graničenje se o</w:t>
      </w:r>
      <w:r w:rsidR="00515402" w:rsidRPr="005F2223">
        <w:rPr>
          <w:rFonts w:cs="Arial"/>
          <w:sz w:val="18"/>
          <w:szCs w:val="18"/>
        </w:rPr>
        <w:t>dnosi se na apartmane</w:t>
      </w:r>
      <w:r w:rsidR="00790D94" w:rsidRPr="005F2223">
        <w:rPr>
          <w:rFonts w:cs="Arial"/>
          <w:sz w:val="18"/>
          <w:szCs w:val="18"/>
        </w:rPr>
        <w:t>,</w:t>
      </w:r>
      <w:r w:rsidR="00515402" w:rsidRPr="005F2223">
        <w:rPr>
          <w:rFonts w:cs="Arial"/>
          <w:sz w:val="18"/>
          <w:szCs w:val="18"/>
        </w:rPr>
        <w:t xml:space="preserve"> sobe za iznajmljivanje </w:t>
      </w:r>
      <w:r w:rsidR="00790D94" w:rsidRPr="005F2223">
        <w:rPr>
          <w:rFonts w:cs="Arial"/>
          <w:sz w:val="18"/>
          <w:szCs w:val="18"/>
        </w:rPr>
        <w:t xml:space="preserve">i kuće za odmor </w:t>
      </w:r>
      <w:r w:rsidR="00515402" w:rsidRPr="005F2223">
        <w:rPr>
          <w:rFonts w:cs="Arial"/>
          <w:sz w:val="18"/>
          <w:szCs w:val="18"/>
        </w:rPr>
        <w:t>prema Pravilniku o razvrstavanju i kategorizaciji ugostiteljskih objekata iz skupine Ostali ugostiteljski objekti za smještaj.</w:t>
      </w:r>
    </w:p>
    <w:p w14:paraId="20E8C92C" w14:textId="12454152" w:rsidR="005F2223" w:rsidRPr="00650DDD" w:rsidRDefault="001D374C" w:rsidP="00162463">
      <w:pPr>
        <w:suppressAutoHyphens/>
        <w:autoSpaceDN w:val="0"/>
        <w:spacing w:before="120" w:line="276" w:lineRule="auto"/>
        <w:jc w:val="both"/>
        <w:textAlignment w:val="baseline"/>
        <w:rPr>
          <w:rFonts w:cs="Arial"/>
          <w:sz w:val="18"/>
          <w:szCs w:val="18"/>
        </w:rPr>
      </w:pPr>
      <w:r w:rsidRPr="005F2223">
        <w:rPr>
          <w:rFonts w:cs="Arial"/>
          <w:sz w:val="18"/>
          <w:szCs w:val="18"/>
        </w:rPr>
        <w:t xml:space="preserve">Iznimno, </w:t>
      </w:r>
      <w:r w:rsidRPr="00650DDD">
        <w:rPr>
          <w:rFonts w:cs="Arial"/>
          <w:sz w:val="18"/>
          <w:szCs w:val="18"/>
        </w:rPr>
        <w:t>prihvatljiva su ulaganja u apartmane</w:t>
      </w:r>
      <w:r w:rsidR="00790D94" w:rsidRPr="00650DDD">
        <w:rPr>
          <w:rFonts w:cs="Arial"/>
          <w:sz w:val="18"/>
          <w:szCs w:val="18"/>
        </w:rPr>
        <w:t xml:space="preserve">, </w:t>
      </w:r>
      <w:r w:rsidRPr="00650DDD">
        <w:rPr>
          <w:rFonts w:cs="Arial"/>
          <w:sz w:val="18"/>
          <w:szCs w:val="18"/>
        </w:rPr>
        <w:t>sobe za iznajmljivanje</w:t>
      </w:r>
      <w:r w:rsidR="00790D94" w:rsidRPr="00650DDD">
        <w:rPr>
          <w:rFonts w:cs="Arial"/>
          <w:sz w:val="18"/>
          <w:szCs w:val="18"/>
        </w:rPr>
        <w:t xml:space="preserve"> i kuće za odmor</w:t>
      </w:r>
      <w:r w:rsidRPr="00650DDD">
        <w:rPr>
          <w:rFonts w:cs="Arial"/>
          <w:sz w:val="18"/>
          <w:szCs w:val="18"/>
        </w:rPr>
        <w:t>:</w:t>
      </w:r>
    </w:p>
    <w:p w14:paraId="58B3D19D" w14:textId="21C54C7D" w:rsidR="005F2223" w:rsidRPr="00162463" w:rsidRDefault="001D374C" w:rsidP="00162463">
      <w:pPr>
        <w:pStyle w:val="ListParagraph"/>
        <w:numPr>
          <w:ilvl w:val="0"/>
          <w:numId w:val="32"/>
        </w:numPr>
        <w:suppressAutoHyphens/>
        <w:autoSpaceDN w:val="0"/>
        <w:spacing w:line="276" w:lineRule="auto"/>
        <w:ind w:left="284" w:hanging="284"/>
        <w:jc w:val="both"/>
        <w:textAlignment w:val="baseline"/>
        <w:rPr>
          <w:rFonts w:cs="Arial"/>
          <w:sz w:val="18"/>
          <w:szCs w:val="18"/>
        </w:rPr>
      </w:pPr>
      <w:r w:rsidRPr="00650DDD">
        <w:rPr>
          <w:rFonts w:cs="Arial"/>
          <w:sz w:val="18"/>
          <w:szCs w:val="18"/>
        </w:rPr>
        <w:t xml:space="preserve">na područjima posebne državne skrbi ili </w:t>
      </w:r>
      <w:bookmarkStart w:id="32" w:name="_Hlk534885556"/>
      <w:r w:rsidRPr="00650DDD">
        <w:rPr>
          <w:rFonts w:cs="Arial"/>
          <w:sz w:val="18"/>
          <w:szCs w:val="18"/>
        </w:rPr>
        <w:t xml:space="preserve">potpomognutim područjima - JLS I., II., III. i IV. skupine ili brdsko-planinskim područjima ili otocima </w:t>
      </w:r>
      <w:bookmarkEnd w:id="32"/>
      <w:r w:rsidRPr="00650DDD">
        <w:rPr>
          <w:rFonts w:cs="Arial"/>
          <w:sz w:val="18"/>
          <w:szCs w:val="18"/>
        </w:rPr>
        <w:t>prve skupine;</w:t>
      </w:r>
    </w:p>
    <w:p w14:paraId="003C6E74" w14:textId="03737B4D" w:rsidR="00650DDD" w:rsidRPr="00650DDD" w:rsidRDefault="001D374C" w:rsidP="00162463">
      <w:pPr>
        <w:pStyle w:val="FootnoteText"/>
        <w:numPr>
          <w:ilvl w:val="0"/>
          <w:numId w:val="32"/>
        </w:numPr>
        <w:spacing w:line="276" w:lineRule="auto"/>
        <w:ind w:left="284" w:hanging="284"/>
        <w:jc w:val="both"/>
        <w:rPr>
          <w:rFonts w:cs="Arial"/>
          <w:sz w:val="18"/>
          <w:szCs w:val="18"/>
        </w:rPr>
      </w:pPr>
      <w:r w:rsidRPr="00650DDD">
        <w:rPr>
          <w:rFonts w:cs="Arial"/>
          <w:sz w:val="18"/>
          <w:szCs w:val="18"/>
        </w:rPr>
        <w:t xml:space="preserve">ako se radi o tradicijskim </w:t>
      </w:r>
      <w:r w:rsidR="00650DDD" w:rsidRPr="00650DDD">
        <w:rPr>
          <w:rFonts w:cs="Arial"/>
          <w:sz w:val="18"/>
          <w:szCs w:val="18"/>
        </w:rPr>
        <w:t>zgradama (</w:t>
      </w:r>
      <w:r w:rsidR="00650DDD" w:rsidRPr="00162463">
        <w:rPr>
          <w:rFonts w:cs="Arial"/>
          <w:sz w:val="18"/>
          <w:szCs w:val="18"/>
        </w:rPr>
        <w:t>pojedinačne zgrade koje su zaštićene kao kulturna dobra, zgrade koje se nalaze u zonama naselja koja su zaštićena kao kulturna dobra ili se nalaze u kontaktnim zonama zaštićenih zona, te sve druge pojedinačne zgrade koje se grade/rekonstruiraju u skladu s posebnim uvjetima konzervatora glede tradicijske gradnje, pri čemu se pod pojmom konzervatora smatra Konzervatorski odjel Ministarstva kulture ili drugo javno pravno tijelo nadležno za zaštitu kulturnih dobara)</w:t>
      </w:r>
      <w:r w:rsidR="00C238B3">
        <w:rPr>
          <w:rFonts w:cs="Arial"/>
          <w:sz w:val="18"/>
          <w:szCs w:val="18"/>
        </w:rPr>
        <w:t>.</w:t>
      </w:r>
    </w:p>
    <w:p w14:paraId="1C24B810" w14:textId="004DEDBA" w:rsidR="001D374C" w:rsidRPr="00515402" w:rsidRDefault="00515402">
      <w:pPr>
        <w:pStyle w:val="FootnoteText"/>
        <w:spacing w:before="120" w:line="276" w:lineRule="auto"/>
        <w:jc w:val="both"/>
        <w:rPr>
          <w:rFonts w:cs="Arial"/>
          <w:sz w:val="18"/>
          <w:szCs w:val="18"/>
        </w:rPr>
      </w:pPr>
      <w:r w:rsidRPr="00650DDD">
        <w:rPr>
          <w:rFonts w:cs="Arial"/>
          <w:sz w:val="18"/>
          <w:szCs w:val="18"/>
        </w:rPr>
        <w:t xml:space="preserve">Za turističke apartmane prema Pravilniku </w:t>
      </w:r>
      <w:r w:rsidRPr="00650DDD">
        <w:rPr>
          <w:sz w:val="18"/>
          <w:szCs w:val="18"/>
        </w:rPr>
        <w:t xml:space="preserve">o razvrstavanju, kategorizaciji i posebnim standardima ugostiteljskih objekata iz skupine </w:t>
      </w:r>
      <w:r w:rsidR="00790D94" w:rsidRPr="00650DDD">
        <w:rPr>
          <w:sz w:val="18"/>
          <w:szCs w:val="18"/>
        </w:rPr>
        <w:t>H</w:t>
      </w:r>
      <w:r w:rsidRPr="00650DDD">
        <w:rPr>
          <w:sz w:val="18"/>
          <w:szCs w:val="18"/>
        </w:rPr>
        <w:t>oteli, nema ograničenja u kreditiranju.</w:t>
      </w:r>
    </w:p>
  </w:footnote>
  <w:footnote w:id="5">
    <w:p w14:paraId="00A70FAE" w14:textId="32A46EAB" w:rsidR="000C7371" w:rsidRPr="000C7371" w:rsidRDefault="000C7371" w:rsidP="00941A73">
      <w:pPr>
        <w:pStyle w:val="Header"/>
        <w:tabs>
          <w:tab w:val="clear" w:pos="4536"/>
          <w:tab w:val="clear" w:pos="9072"/>
          <w:tab w:val="center" w:pos="4703"/>
          <w:tab w:val="right" w:pos="9406"/>
        </w:tabs>
        <w:spacing w:line="276" w:lineRule="auto"/>
        <w:jc w:val="both"/>
        <w:rPr>
          <w:rFonts w:cs="Arial"/>
          <w:sz w:val="18"/>
          <w:szCs w:val="18"/>
        </w:rPr>
      </w:pPr>
      <w:r w:rsidRPr="000C7371">
        <w:rPr>
          <w:rStyle w:val="FootnoteReference"/>
          <w:sz w:val="18"/>
          <w:szCs w:val="18"/>
        </w:rPr>
        <w:footnoteRef/>
      </w:r>
      <w:r w:rsidRPr="000C7371">
        <w:rPr>
          <w:sz w:val="18"/>
          <w:szCs w:val="18"/>
        </w:rPr>
        <w:t xml:space="preserve"> </w:t>
      </w:r>
      <w:r w:rsidRPr="000C7371">
        <w:rPr>
          <w:rFonts w:cs="Arial"/>
          <w:sz w:val="18"/>
          <w:szCs w:val="18"/>
        </w:rPr>
        <w:t>Pravila HBOR-a o određivanju referentnih i diskontnih stopa usklađena su s važećim pravilima Europske komisije, odnosno Priopćenju Komisije o reviziji načina određivanja referentnih i diskontnih stopa (SL C 14, 19.1.2008.).</w:t>
      </w:r>
    </w:p>
    <w:p w14:paraId="0C487795" w14:textId="77777777" w:rsidR="000C7371" w:rsidRDefault="000C7371" w:rsidP="00941A73">
      <w:pPr>
        <w:pStyle w:val="FootnoteText"/>
        <w:spacing w:line="276" w:lineRule="auto"/>
        <w:jc w:val="both"/>
        <w:rPr>
          <w:rFonts w:cs="Arial"/>
          <w:b/>
          <w:sz w:val="18"/>
          <w:szCs w:val="18"/>
        </w:rPr>
      </w:pPr>
      <w:r w:rsidRPr="000C7371">
        <w:rPr>
          <w:rFonts w:cs="Arial"/>
          <w:b/>
          <w:sz w:val="18"/>
          <w:szCs w:val="18"/>
        </w:rPr>
        <w:t>Referentna kamatna stopa</w:t>
      </w:r>
      <w:r w:rsidRPr="000C7371">
        <w:rPr>
          <w:rFonts w:cs="Arial"/>
          <w:sz w:val="18"/>
          <w:szCs w:val="18"/>
        </w:rPr>
        <w:t xml:space="preserve"> je osnovna stopa (koju izračunava i objavljuje Europska komisija) uvećana za određeni broj baznih bodova (maržu) koji ovise o ocjeni klijenta (kreditni rang) i ocjeni instrumenata osiguranja, u skladu s Priopćenjem Europske komisije.</w:t>
      </w:r>
    </w:p>
    <w:p w14:paraId="2411406F" w14:textId="66920EA3" w:rsidR="000C7371" w:rsidRPr="000C7371" w:rsidRDefault="000C7371" w:rsidP="00941A73">
      <w:pPr>
        <w:pStyle w:val="FootnoteText"/>
        <w:spacing w:line="276" w:lineRule="auto"/>
        <w:jc w:val="both"/>
        <w:rPr>
          <w:sz w:val="18"/>
          <w:szCs w:val="18"/>
        </w:rPr>
      </w:pPr>
      <w:r w:rsidRPr="000C7371">
        <w:rPr>
          <w:rFonts w:cs="Arial"/>
          <w:b/>
          <w:sz w:val="18"/>
          <w:szCs w:val="18"/>
        </w:rPr>
        <w:t>Diskontna kamatna stopa</w:t>
      </w:r>
      <w:r w:rsidRPr="000C7371">
        <w:rPr>
          <w:rFonts w:cs="Arial"/>
          <w:sz w:val="18"/>
          <w:szCs w:val="18"/>
        </w:rPr>
        <w:t xml:space="preserve"> je osnovna stopa (koju izračunava i objavljuje Europska komisija) uvećana za 100 baznih bodova.</w:t>
      </w:r>
    </w:p>
  </w:footnote>
  <w:footnote w:id="6">
    <w:p w14:paraId="012747E3" w14:textId="77777777" w:rsidR="00DB2275" w:rsidRPr="00665195" w:rsidRDefault="00DB2275" w:rsidP="004869CD">
      <w:pPr>
        <w:pStyle w:val="FootnoteText"/>
        <w:spacing w:before="120" w:line="276" w:lineRule="auto"/>
        <w:jc w:val="both"/>
        <w:rPr>
          <w:rFonts w:cs="Arial"/>
          <w:sz w:val="16"/>
          <w:szCs w:val="16"/>
        </w:rPr>
      </w:pPr>
      <w:r w:rsidRPr="000C7371">
        <w:rPr>
          <w:rStyle w:val="FootnoteReference"/>
          <w:sz w:val="18"/>
          <w:szCs w:val="18"/>
        </w:rPr>
        <w:footnoteRef/>
      </w:r>
      <w:r w:rsidRPr="000C7371">
        <w:rPr>
          <w:sz w:val="18"/>
          <w:szCs w:val="18"/>
        </w:rPr>
        <w:t xml:space="preserve"> </w:t>
      </w:r>
      <w:r w:rsidRPr="000C7371">
        <w:rPr>
          <w:rFonts w:cs="Arial"/>
          <w:b/>
          <w:sz w:val="18"/>
          <w:szCs w:val="18"/>
        </w:rPr>
        <w:t>Efektivna kamatna stopa</w:t>
      </w:r>
      <w:r w:rsidRPr="000C7371">
        <w:rPr>
          <w:rFonts w:cs="Arial"/>
          <w:sz w:val="18"/>
          <w:szCs w:val="18"/>
        </w:rPr>
        <w:t xml:space="preserve"> (EKS) je kamatna stopa koja iskazuje ukupne troškove kredita u skladu s važećom Odlukom o efektivnoj kamatnoj stopi HNB-a.</w:t>
      </w:r>
    </w:p>
  </w:footnote>
  <w:footnote w:id="7">
    <w:p w14:paraId="17A7DB66" w14:textId="6AFDF42C" w:rsidR="007C77F0" w:rsidRPr="005C2E6F" w:rsidRDefault="007C77F0" w:rsidP="004869CD">
      <w:pPr>
        <w:pStyle w:val="FootnoteText"/>
        <w:spacing w:before="120" w:line="276" w:lineRule="auto"/>
        <w:rPr>
          <w:sz w:val="18"/>
          <w:szCs w:val="18"/>
        </w:rPr>
      </w:pPr>
      <w:r w:rsidRPr="005C2E6F">
        <w:rPr>
          <w:rStyle w:val="FootnoteReference"/>
          <w:sz w:val="18"/>
          <w:szCs w:val="18"/>
        </w:rPr>
        <w:footnoteRef/>
      </w:r>
      <w:r w:rsidRPr="005C2E6F">
        <w:rPr>
          <w:sz w:val="18"/>
          <w:szCs w:val="18"/>
        </w:rPr>
        <w:t xml:space="preserve"> Pravilnici i programi o potporama dostupni su na </w:t>
      </w:r>
      <w:hyperlink r:id="rId1" w:history="1">
        <w:r w:rsidRPr="005C2E6F">
          <w:rPr>
            <w:rStyle w:val="Hyperlink"/>
            <w:rFonts w:cs="Arial"/>
            <w:sz w:val="18"/>
            <w:szCs w:val="18"/>
          </w:rPr>
          <w:t>https://www.hbor.hr/naslovnica/hbor/pravilnici-akti/</w:t>
        </w:r>
      </w:hyperlink>
    </w:p>
  </w:footnote>
  <w:footnote w:id="8">
    <w:p w14:paraId="1BAB8E09" w14:textId="4F2EAC67" w:rsidR="000D4163" w:rsidRPr="00C74C4A" w:rsidRDefault="000D4163" w:rsidP="004869CD">
      <w:pPr>
        <w:pStyle w:val="FootnoteText"/>
        <w:spacing w:before="120" w:line="276" w:lineRule="auto"/>
        <w:jc w:val="both"/>
        <w:rPr>
          <w:rFonts w:cs="Arial"/>
          <w:i/>
          <w:sz w:val="18"/>
          <w:szCs w:val="18"/>
        </w:rPr>
      </w:pPr>
      <w:r w:rsidRPr="00830A77">
        <w:rPr>
          <w:rStyle w:val="FootnoteReference"/>
          <w:rFonts w:cs="Arial"/>
          <w:sz w:val="18"/>
          <w:szCs w:val="18"/>
        </w:rPr>
        <w:footnoteRef/>
      </w:r>
      <w:r w:rsidRPr="00830A77">
        <w:rPr>
          <w:rFonts w:cs="Arial"/>
          <w:sz w:val="18"/>
          <w:szCs w:val="18"/>
        </w:rPr>
        <w:t xml:space="preserve"> </w:t>
      </w:r>
      <w:r w:rsidR="00C40089">
        <w:rPr>
          <w:rFonts w:cs="Arial"/>
          <w:sz w:val="18"/>
          <w:szCs w:val="18"/>
        </w:rPr>
        <w:t xml:space="preserve">Državne potpore i učinak poticaja primjenjuju se </w:t>
      </w:r>
      <w:r w:rsidRPr="00C74C4A">
        <w:rPr>
          <w:rFonts w:cs="Arial"/>
          <w:sz w:val="18"/>
          <w:szCs w:val="18"/>
        </w:rPr>
        <w:t>kod programa koji omogućavaju ulaganja u osnovna sredstva</w:t>
      </w:r>
      <w:r w:rsidR="00C74C4A">
        <w:rPr>
          <w:rFonts w:cs="Arial"/>
          <w:sz w:val="18"/>
          <w:szCs w:val="18"/>
        </w:rPr>
        <w:t>.</w:t>
      </w:r>
      <w:r w:rsidRPr="00C74C4A">
        <w:rPr>
          <w:rFonts w:cs="Arial"/>
          <w:i/>
          <w:sz w:val="18"/>
          <w:szCs w:val="18"/>
        </w:rPr>
        <w:t xml:space="preserve">  </w:t>
      </w:r>
    </w:p>
  </w:footnote>
  <w:footnote w:id="9">
    <w:p w14:paraId="32D43F6E" w14:textId="18DB8800" w:rsidR="00797165" w:rsidRPr="00797165" w:rsidRDefault="00797165" w:rsidP="004869CD">
      <w:pPr>
        <w:pStyle w:val="Header"/>
        <w:spacing w:before="120" w:line="276" w:lineRule="auto"/>
        <w:jc w:val="both"/>
        <w:rPr>
          <w:sz w:val="18"/>
          <w:szCs w:val="18"/>
        </w:rPr>
      </w:pPr>
      <w:r w:rsidRPr="00830A77">
        <w:rPr>
          <w:rStyle w:val="FootnoteReference"/>
          <w:sz w:val="18"/>
          <w:szCs w:val="18"/>
        </w:rPr>
        <w:footnoteRef/>
      </w:r>
      <w:r w:rsidRPr="00830A77">
        <w:rPr>
          <w:sz w:val="18"/>
          <w:szCs w:val="18"/>
        </w:rPr>
        <w:t xml:space="preserve"> </w:t>
      </w:r>
      <w:r w:rsidRPr="00797165">
        <w:rPr>
          <w:rFonts w:cs="Arial"/>
          <w:sz w:val="18"/>
          <w:szCs w:val="18"/>
        </w:rPr>
        <w:t xml:space="preserve">Početak radova znači početak građevinskih radova povezanih s ulaganjem ili prvu zakonski obvezujuću obvezu za naručivanje opreme ili bilo koju drugu obvezu zbog koje ulaganje postaje nepovratno, ovisno o tome koje od nabrojenog nastupi prvo, isključujući pripremne radove (kupnja zemljišta i pripremni radovi kao što je ishođenje dozvola i provođenje studija izvedivosti ne smatraju se početkom radova). U slučaju preuzimanja poduzetnika, početak radova znači trenutak stjecanja imovine koja je izravno povezana sa stečenom poslovnom jedinicom. </w:t>
      </w:r>
    </w:p>
  </w:footnote>
  <w:footnote w:id="10">
    <w:p w14:paraId="1600088C" w14:textId="48A5A740" w:rsidR="00797165" w:rsidRDefault="00797165" w:rsidP="00162463">
      <w:pPr>
        <w:pStyle w:val="Header"/>
        <w:spacing w:before="120" w:line="276" w:lineRule="auto"/>
        <w:jc w:val="both"/>
      </w:pPr>
      <w:r w:rsidRPr="00830A77">
        <w:rPr>
          <w:rStyle w:val="FootnoteReference"/>
          <w:sz w:val="18"/>
          <w:szCs w:val="18"/>
        </w:rPr>
        <w:footnoteRef/>
      </w:r>
      <w:r w:rsidRPr="00830A77">
        <w:rPr>
          <w:sz w:val="18"/>
          <w:szCs w:val="18"/>
        </w:rPr>
        <w:t xml:space="preserve"> </w:t>
      </w:r>
      <w:r w:rsidRPr="00797165">
        <w:rPr>
          <w:rFonts w:cs="Arial"/>
          <w:sz w:val="18"/>
          <w:szCs w:val="18"/>
        </w:rPr>
        <w:t>Obra</w:t>
      </w:r>
      <w:r w:rsidR="0052044C">
        <w:rPr>
          <w:rFonts w:cs="Arial"/>
          <w:sz w:val="18"/>
          <w:szCs w:val="18"/>
        </w:rPr>
        <w:t xml:space="preserve">zac </w:t>
      </w:r>
      <w:r w:rsidR="00C32940">
        <w:rPr>
          <w:rFonts w:cs="Arial"/>
          <w:sz w:val="18"/>
          <w:szCs w:val="18"/>
        </w:rPr>
        <w:t>n</w:t>
      </w:r>
      <w:r w:rsidR="0052044C">
        <w:rPr>
          <w:rFonts w:cs="Arial"/>
          <w:sz w:val="18"/>
          <w:szCs w:val="18"/>
        </w:rPr>
        <w:t>ajav</w:t>
      </w:r>
      <w:r w:rsidR="00C32940">
        <w:rPr>
          <w:rFonts w:cs="Arial"/>
          <w:sz w:val="18"/>
          <w:szCs w:val="18"/>
        </w:rPr>
        <w:t>e</w:t>
      </w:r>
      <w:r w:rsidR="0052044C">
        <w:rPr>
          <w:rFonts w:cs="Arial"/>
          <w:sz w:val="18"/>
          <w:szCs w:val="18"/>
        </w:rPr>
        <w:t xml:space="preserve"> ulaganja</w:t>
      </w:r>
      <w:r w:rsidR="007925C2">
        <w:rPr>
          <w:rFonts w:cs="Arial"/>
          <w:sz w:val="18"/>
          <w:szCs w:val="18"/>
        </w:rPr>
        <w:t xml:space="preserve"> i</w:t>
      </w:r>
      <w:r w:rsidRPr="00797165">
        <w:rPr>
          <w:rFonts w:cs="Arial"/>
          <w:sz w:val="18"/>
          <w:szCs w:val="18"/>
        </w:rPr>
        <w:t xml:space="preserve"> </w:t>
      </w:r>
      <w:r w:rsidR="0052044C">
        <w:rPr>
          <w:rFonts w:cs="Arial"/>
          <w:sz w:val="18"/>
          <w:szCs w:val="18"/>
        </w:rPr>
        <w:t>obrasci zahtjeva za kredit</w:t>
      </w:r>
      <w:r w:rsidRPr="00797165">
        <w:rPr>
          <w:rFonts w:cs="Arial"/>
          <w:sz w:val="18"/>
          <w:szCs w:val="18"/>
        </w:rPr>
        <w:t xml:space="preserve"> objavljeni su na mrežnim stranicama HBOR-a i dostupni su u HBOR-u na zahtjev.</w:t>
      </w:r>
    </w:p>
  </w:footnote>
  <w:footnote w:id="11">
    <w:p w14:paraId="433ADE21" w14:textId="77777777" w:rsidR="00F0675B" w:rsidRPr="00060BD1" w:rsidRDefault="00F0675B" w:rsidP="00C74C4A">
      <w:pPr>
        <w:pStyle w:val="FootnoteText"/>
        <w:spacing w:line="276" w:lineRule="auto"/>
        <w:jc w:val="both"/>
        <w:rPr>
          <w:rFonts w:cs="Arial"/>
          <w:sz w:val="18"/>
          <w:szCs w:val="18"/>
        </w:rPr>
      </w:pPr>
      <w:r w:rsidRPr="00830A77">
        <w:rPr>
          <w:rStyle w:val="FootnoteReference"/>
          <w:rFonts w:cs="Arial"/>
          <w:sz w:val="18"/>
          <w:szCs w:val="18"/>
        </w:rPr>
        <w:footnoteRef/>
      </w:r>
      <w:r w:rsidRPr="00830A77">
        <w:rPr>
          <w:rFonts w:cs="Arial"/>
          <w:sz w:val="18"/>
          <w:szCs w:val="18"/>
        </w:rPr>
        <w:t xml:space="preserve"> </w:t>
      </w:r>
      <w:r w:rsidRPr="00060BD1">
        <w:rPr>
          <w:rFonts w:cs="Arial"/>
          <w:sz w:val="18"/>
          <w:szCs w:val="18"/>
        </w:rPr>
        <w:t xml:space="preserve">Poduzetnik je svaki subjekt koji se bavi ekonomskom djelatnošću, bez obzira na njegov pravni oblik. To uključuje, posebno, samozaposlene osobe i obiteljska poduzetnike koji se bave obrtom ili drugim djelatnostima te partnerstva ili udruženja koja se redovno bave ekonomskom djelatnošću.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8C03" w14:textId="77777777" w:rsidR="00542147" w:rsidRDefault="00542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AA02" w14:textId="77777777" w:rsidR="00542147" w:rsidRDefault="00542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F241" w14:textId="04CAFBBE" w:rsidR="006372FA" w:rsidRDefault="006D72B7" w:rsidP="000D4163">
    <w:pPr>
      <w:pStyle w:val="Header"/>
      <w:tabs>
        <w:tab w:val="clear" w:pos="4536"/>
        <w:tab w:val="clear" w:pos="9072"/>
        <w:tab w:val="center" w:pos="4394"/>
      </w:tabs>
      <w:jc w:val="both"/>
    </w:pPr>
    <w:r>
      <w:rPr>
        <w:noProof/>
      </w:rPr>
      <w:drawing>
        <wp:anchor distT="0" distB="0" distL="114300" distR="114300" simplePos="0" relativeHeight="251656192" behindDoc="1" locked="0" layoutInCell="1" allowOverlap="1" wp14:anchorId="031D58E3" wp14:editId="17E7AA06">
          <wp:simplePos x="0" y="0"/>
          <wp:positionH relativeFrom="column">
            <wp:posOffset>-310515</wp:posOffset>
          </wp:positionH>
          <wp:positionV relativeFrom="paragraph">
            <wp:posOffset>-844550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11" name="Picture 11"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C"/>
    <w:multiLevelType w:val="hybridMultilevel"/>
    <w:tmpl w:val="36CC845A"/>
    <w:lvl w:ilvl="0" w:tplc="FFFFFFFF">
      <w:start w:val="1"/>
      <w:numFmt w:val="lowerLetter"/>
      <w:lvlText w:val="%1)"/>
      <w:lvlJc w:val="left"/>
      <w:pPr>
        <w:widowControl w:val="0"/>
        <w:tabs>
          <w:tab w:val="num" w:pos="720"/>
        </w:tabs>
        <w:autoSpaceDE w:val="0"/>
        <w:autoSpaceDN w:val="0"/>
        <w:adjustRightInd w:val="0"/>
        <w:ind w:left="720" w:hanging="360"/>
      </w:pPr>
      <w:rPr>
        <w:rFonts w:ascii="Arial" w:hAnsi="Arial" w:cs="Arial"/>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34B0D89"/>
    <w:multiLevelType w:val="hybridMultilevel"/>
    <w:tmpl w:val="8250DA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08144F"/>
    <w:multiLevelType w:val="hybridMultilevel"/>
    <w:tmpl w:val="757C6F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0C2F14FF"/>
    <w:multiLevelType w:val="multilevel"/>
    <w:tmpl w:val="DF4AA70C"/>
    <w:lvl w:ilvl="0">
      <w:start w:val="1"/>
      <w:numFmt w:val="decimal"/>
      <w:pStyle w:val="TOC1"/>
      <w:lvlText w:val="%1."/>
      <w:lvlJc w:val="left"/>
      <w:pPr>
        <w:ind w:left="4330" w:hanging="360"/>
      </w:pPr>
      <w:rPr>
        <w:rFonts w:hint="default"/>
        <w:b w:val="0"/>
      </w:rPr>
    </w:lvl>
    <w:lvl w:ilvl="1">
      <w:start w:val="1"/>
      <w:numFmt w:val="decimal"/>
      <w:pStyle w:val="TOC2"/>
      <w:isLgl/>
      <w:lvlText w:val="%1.%2."/>
      <w:lvlJc w:val="left"/>
      <w:pPr>
        <w:ind w:left="720" w:hanging="360"/>
      </w:pPr>
      <w:rPr>
        <w:rFonts w:ascii="Arial" w:hAnsi="Arial" w:cs="Arial" w:hint="default"/>
        <w:b w:val="0"/>
        <w:sz w:val="20"/>
        <w:szCs w:val="20"/>
      </w:rPr>
    </w:lvl>
    <w:lvl w:ilvl="2">
      <w:start w:val="1"/>
      <w:numFmt w:val="decimal"/>
      <w:pStyle w:val="TOC3"/>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asciiTheme="minorHAnsi" w:hAnsiTheme="minorHAnsi" w:cs="Times New Roman" w:hint="default"/>
        <w:sz w:val="22"/>
      </w:rPr>
    </w:lvl>
    <w:lvl w:ilvl="4">
      <w:start w:val="1"/>
      <w:numFmt w:val="decimal"/>
      <w:isLgl/>
      <w:lvlText w:val="%1.%2.%3.%4.%5."/>
      <w:lvlJc w:val="left"/>
      <w:pPr>
        <w:ind w:left="1440" w:hanging="1080"/>
      </w:pPr>
      <w:rPr>
        <w:rFonts w:asciiTheme="minorHAnsi" w:hAnsiTheme="minorHAnsi" w:cs="Times New Roman" w:hint="default"/>
        <w:sz w:val="22"/>
      </w:rPr>
    </w:lvl>
    <w:lvl w:ilvl="5">
      <w:start w:val="1"/>
      <w:numFmt w:val="decimal"/>
      <w:isLgl/>
      <w:lvlText w:val="%1.%2.%3.%4.%5.%6."/>
      <w:lvlJc w:val="left"/>
      <w:pPr>
        <w:ind w:left="1440" w:hanging="1080"/>
      </w:pPr>
      <w:rPr>
        <w:rFonts w:asciiTheme="minorHAnsi" w:hAnsiTheme="minorHAnsi" w:cs="Times New Roman" w:hint="default"/>
        <w:sz w:val="22"/>
      </w:rPr>
    </w:lvl>
    <w:lvl w:ilvl="6">
      <w:start w:val="1"/>
      <w:numFmt w:val="decimal"/>
      <w:isLgl/>
      <w:lvlText w:val="%1.%2.%3.%4.%5.%6.%7."/>
      <w:lvlJc w:val="left"/>
      <w:pPr>
        <w:ind w:left="1800" w:hanging="1440"/>
      </w:pPr>
      <w:rPr>
        <w:rFonts w:asciiTheme="minorHAnsi" w:hAnsiTheme="minorHAnsi" w:cs="Times New Roman" w:hint="default"/>
        <w:sz w:val="22"/>
      </w:rPr>
    </w:lvl>
    <w:lvl w:ilvl="7">
      <w:start w:val="1"/>
      <w:numFmt w:val="decimal"/>
      <w:isLgl/>
      <w:lvlText w:val="%1.%2.%3.%4.%5.%6.%7.%8."/>
      <w:lvlJc w:val="left"/>
      <w:pPr>
        <w:ind w:left="1800" w:hanging="1440"/>
      </w:pPr>
      <w:rPr>
        <w:rFonts w:asciiTheme="minorHAnsi" w:hAnsiTheme="minorHAnsi" w:cs="Times New Roman" w:hint="default"/>
        <w:sz w:val="22"/>
      </w:rPr>
    </w:lvl>
    <w:lvl w:ilvl="8">
      <w:start w:val="1"/>
      <w:numFmt w:val="decimal"/>
      <w:isLgl/>
      <w:lvlText w:val="%1.%2.%3.%4.%5.%6.%7.%8.%9."/>
      <w:lvlJc w:val="left"/>
      <w:pPr>
        <w:ind w:left="2160" w:hanging="1800"/>
      </w:pPr>
      <w:rPr>
        <w:rFonts w:asciiTheme="minorHAnsi" w:hAnsiTheme="minorHAnsi" w:cs="Times New Roman" w:hint="default"/>
        <w:sz w:val="22"/>
      </w:rPr>
    </w:lvl>
  </w:abstractNum>
  <w:abstractNum w:abstractNumId="5" w15:restartNumberingAfterBreak="0">
    <w:nsid w:val="12557EBA"/>
    <w:multiLevelType w:val="hybridMultilevel"/>
    <w:tmpl w:val="2F38D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6909A0"/>
    <w:multiLevelType w:val="multilevel"/>
    <w:tmpl w:val="D4F2FE78"/>
    <w:lvl w:ilvl="0">
      <w:start w:val="1"/>
      <w:numFmt w:val="bullet"/>
      <w:lvlText w:val="-"/>
      <w:lvlJc w:val="left"/>
      <w:pPr>
        <w:ind w:left="0" w:firstLine="0"/>
      </w:pPr>
      <w:rPr>
        <w:rFonts w:ascii="Calibri" w:hAnsi="Calibri" w:hint="default"/>
        <w:b w:val="0"/>
        <w:bCs w:val="0"/>
        <w:i w:val="0"/>
        <w:iCs w:val="0"/>
        <w:smallCaps w:val="0"/>
        <w:strike w:val="0"/>
        <w:dstrike w:val="0"/>
        <w:color w:val="000000"/>
        <w:spacing w:val="0"/>
        <w:w w:val="100"/>
        <w:position w:val="0"/>
        <w:sz w:val="21"/>
        <w:szCs w:val="21"/>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C396FCE"/>
    <w:multiLevelType w:val="hybridMultilevel"/>
    <w:tmpl w:val="BC442ABA"/>
    <w:lvl w:ilvl="0" w:tplc="233C141A">
      <w:start w:val="1"/>
      <w:numFmt w:val="bullet"/>
      <w:lvlText w:val="-"/>
      <w:lvlJc w:val="left"/>
      <w:pPr>
        <w:ind w:left="1480" w:hanging="360"/>
      </w:pPr>
      <w:rPr>
        <w:rFonts w:ascii="Calibri" w:hAnsi="Calibri" w:hint="default"/>
      </w:rPr>
    </w:lvl>
    <w:lvl w:ilvl="1" w:tplc="041A0003" w:tentative="1">
      <w:start w:val="1"/>
      <w:numFmt w:val="bullet"/>
      <w:lvlText w:val="o"/>
      <w:lvlJc w:val="left"/>
      <w:pPr>
        <w:ind w:left="2200" w:hanging="360"/>
      </w:pPr>
      <w:rPr>
        <w:rFonts w:ascii="Courier New" w:hAnsi="Courier New" w:cs="Courier New" w:hint="default"/>
      </w:rPr>
    </w:lvl>
    <w:lvl w:ilvl="2" w:tplc="041A0005" w:tentative="1">
      <w:start w:val="1"/>
      <w:numFmt w:val="bullet"/>
      <w:lvlText w:val=""/>
      <w:lvlJc w:val="left"/>
      <w:pPr>
        <w:ind w:left="2920" w:hanging="360"/>
      </w:pPr>
      <w:rPr>
        <w:rFonts w:ascii="Wingdings" w:hAnsi="Wingdings" w:hint="default"/>
      </w:rPr>
    </w:lvl>
    <w:lvl w:ilvl="3" w:tplc="041A0001" w:tentative="1">
      <w:start w:val="1"/>
      <w:numFmt w:val="bullet"/>
      <w:lvlText w:val=""/>
      <w:lvlJc w:val="left"/>
      <w:pPr>
        <w:ind w:left="3640" w:hanging="360"/>
      </w:pPr>
      <w:rPr>
        <w:rFonts w:ascii="Symbol" w:hAnsi="Symbol" w:hint="default"/>
      </w:rPr>
    </w:lvl>
    <w:lvl w:ilvl="4" w:tplc="041A0003" w:tentative="1">
      <w:start w:val="1"/>
      <w:numFmt w:val="bullet"/>
      <w:lvlText w:val="o"/>
      <w:lvlJc w:val="left"/>
      <w:pPr>
        <w:ind w:left="4360" w:hanging="360"/>
      </w:pPr>
      <w:rPr>
        <w:rFonts w:ascii="Courier New" w:hAnsi="Courier New" w:cs="Courier New" w:hint="default"/>
      </w:rPr>
    </w:lvl>
    <w:lvl w:ilvl="5" w:tplc="041A0005" w:tentative="1">
      <w:start w:val="1"/>
      <w:numFmt w:val="bullet"/>
      <w:lvlText w:val=""/>
      <w:lvlJc w:val="left"/>
      <w:pPr>
        <w:ind w:left="5080" w:hanging="360"/>
      </w:pPr>
      <w:rPr>
        <w:rFonts w:ascii="Wingdings" w:hAnsi="Wingdings" w:hint="default"/>
      </w:rPr>
    </w:lvl>
    <w:lvl w:ilvl="6" w:tplc="041A0001" w:tentative="1">
      <w:start w:val="1"/>
      <w:numFmt w:val="bullet"/>
      <w:lvlText w:val=""/>
      <w:lvlJc w:val="left"/>
      <w:pPr>
        <w:ind w:left="5800" w:hanging="360"/>
      </w:pPr>
      <w:rPr>
        <w:rFonts w:ascii="Symbol" w:hAnsi="Symbol" w:hint="default"/>
      </w:rPr>
    </w:lvl>
    <w:lvl w:ilvl="7" w:tplc="041A0003" w:tentative="1">
      <w:start w:val="1"/>
      <w:numFmt w:val="bullet"/>
      <w:lvlText w:val="o"/>
      <w:lvlJc w:val="left"/>
      <w:pPr>
        <w:ind w:left="6520" w:hanging="360"/>
      </w:pPr>
      <w:rPr>
        <w:rFonts w:ascii="Courier New" w:hAnsi="Courier New" w:cs="Courier New" w:hint="default"/>
      </w:rPr>
    </w:lvl>
    <w:lvl w:ilvl="8" w:tplc="041A0005" w:tentative="1">
      <w:start w:val="1"/>
      <w:numFmt w:val="bullet"/>
      <w:lvlText w:val=""/>
      <w:lvlJc w:val="left"/>
      <w:pPr>
        <w:ind w:left="7240" w:hanging="360"/>
      </w:pPr>
      <w:rPr>
        <w:rFonts w:ascii="Wingdings" w:hAnsi="Wingdings" w:hint="default"/>
      </w:rPr>
    </w:lvl>
  </w:abstractNum>
  <w:abstractNum w:abstractNumId="8" w15:restartNumberingAfterBreak="0">
    <w:nsid w:val="2D5A194E"/>
    <w:multiLevelType w:val="hybridMultilevel"/>
    <w:tmpl w:val="EB4ECE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2F114A1"/>
    <w:multiLevelType w:val="hybridMultilevel"/>
    <w:tmpl w:val="3D24181C"/>
    <w:lvl w:ilvl="0" w:tplc="C7464852">
      <w:start w:val="1"/>
      <w:numFmt w:val="decimal"/>
      <w:lvlText w:val="(%1)"/>
      <w:lvlJc w:val="left"/>
      <w:pPr>
        <w:ind w:left="720" w:hanging="360"/>
      </w:pPr>
      <w:rPr>
        <w:rFonts w:hint="default"/>
        <w:b w:val="0"/>
        <w:color w:val="auto"/>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E10620"/>
    <w:multiLevelType w:val="hybridMultilevel"/>
    <w:tmpl w:val="F89C35B2"/>
    <w:lvl w:ilvl="0" w:tplc="233C141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3E63F50"/>
    <w:multiLevelType w:val="hybridMultilevel"/>
    <w:tmpl w:val="C6808F14"/>
    <w:lvl w:ilvl="0" w:tplc="C08A285C">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9F6959"/>
    <w:multiLevelType w:val="multilevel"/>
    <w:tmpl w:val="F4922B24"/>
    <w:lvl w:ilvl="0">
      <w:start w:val="1"/>
      <w:numFmt w:val="upperRoman"/>
      <w:pStyle w:val="HeadingA"/>
      <w:lvlText w:val="%1."/>
      <w:lvlJc w:val="right"/>
      <w:pPr>
        <w:ind w:left="720" w:hanging="360"/>
      </w:p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13" w15:restartNumberingAfterBreak="0">
    <w:nsid w:val="4341477D"/>
    <w:multiLevelType w:val="hybridMultilevel"/>
    <w:tmpl w:val="E66EBC10"/>
    <w:lvl w:ilvl="0" w:tplc="1F240D8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B85AC6"/>
    <w:multiLevelType w:val="hybridMultilevel"/>
    <w:tmpl w:val="3488CC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A0414C"/>
    <w:multiLevelType w:val="multilevel"/>
    <w:tmpl w:val="0A688CDE"/>
    <w:lvl w:ilvl="0">
      <w:start w:val="1"/>
      <w:numFmt w:val="decimal"/>
      <w:pStyle w:val="Heading1"/>
      <w:lvlText w:val="%1"/>
      <w:lvlJc w:val="left"/>
      <w:pPr>
        <w:ind w:left="432" w:hanging="432"/>
      </w:pPr>
      <w:rPr>
        <w:rFonts w:hint="default"/>
        <w:sz w:val="22"/>
      </w:rPr>
    </w:lvl>
    <w:lvl w:ilvl="1">
      <w:start w:val="1"/>
      <w:numFmt w:val="decimalZero"/>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62457F4"/>
    <w:multiLevelType w:val="multilevel"/>
    <w:tmpl w:val="8104EB96"/>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1212EF"/>
    <w:multiLevelType w:val="hybridMultilevel"/>
    <w:tmpl w:val="7F0C6DA6"/>
    <w:lvl w:ilvl="0" w:tplc="04D246A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89B0A2F"/>
    <w:multiLevelType w:val="multilevel"/>
    <w:tmpl w:val="2B6AEE3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DE0451"/>
    <w:multiLevelType w:val="hybridMultilevel"/>
    <w:tmpl w:val="FB8269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065CAC"/>
    <w:multiLevelType w:val="hybridMultilevel"/>
    <w:tmpl w:val="33BC1DBE"/>
    <w:lvl w:ilvl="0" w:tplc="041A0001">
      <w:start w:val="1"/>
      <w:numFmt w:val="bullet"/>
      <w:lvlText w:val=""/>
      <w:lvlJc w:val="left"/>
      <w:pPr>
        <w:tabs>
          <w:tab w:val="num" w:pos="1152"/>
        </w:tabs>
        <w:ind w:left="1152" w:hanging="360"/>
      </w:pPr>
      <w:rPr>
        <w:rFonts w:ascii="Symbol" w:hAnsi="Symbol" w:hint="default"/>
      </w:rPr>
    </w:lvl>
    <w:lvl w:ilvl="1" w:tplc="041A0003" w:tentative="1">
      <w:start w:val="1"/>
      <w:numFmt w:val="bullet"/>
      <w:lvlText w:val="o"/>
      <w:lvlJc w:val="left"/>
      <w:pPr>
        <w:tabs>
          <w:tab w:val="num" w:pos="1872"/>
        </w:tabs>
        <w:ind w:left="1872" w:hanging="360"/>
      </w:pPr>
      <w:rPr>
        <w:rFonts w:ascii="Courier New" w:hAnsi="Courier New" w:cs="Courier New" w:hint="default"/>
      </w:rPr>
    </w:lvl>
    <w:lvl w:ilvl="2" w:tplc="041A0005" w:tentative="1">
      <w:start w:val="1"/>
      <w:numFmt w:val="bullet"/>
      <w:lvlText w:val=""/>
      <w:lvlJc w:val="left"/>
      <w:pPr>
        <w:tabs>
          <w:tab w:val="num" w:pos="2592"/>
        </w:tabs>
        <w:ind w:left="2592" w:hanging="360"/>
      </w:pPr>
      <w:rPr>
        <w:rFonts w:ascii="Wingdings" w:hAnsi="Wingdings" w:hint="default"/>
      </w:rPr>
    </w:lvl>
    <w:lvl w:ilvl="3" w:tplc="041A0001" w:tentative="1">
      <w:start w:val="1"/>
      <w:numFmt w:val="bullet"/>
      <w:lvlText w:val=""/>
      <w:lvlJc w:val="left"/>
      <w:pPr>
        <w:tabs>
          <w:tab w:val="num" w:pos="3312"/>
        </w:tabs>
        <w:ind w:left="3312" w:hanging="360"/>
      </w:pPr>
      <w:rPr>
        <w:rFonts w:ascii="Symbol" w:hAnsi="Symbol" w:hint="default"/>
      </w:rPr>
    </w:lvl>
    <w:lvl w:ilvl="4" w:tplc="041A0003" w:tentative="1">
      <w:start w:val="1"/>
      <w:numFmt w:val="bullet"/>
      <w:lvlText w:val="o"/>
      <w:lvlJc w:val="left"/>
      <w:pPr>
        <w:tabs>
          <w:tab w:val="num" w:pos="4032"/>
        </w:tabs>
        <w:ind w:left="4032" w:hanging="360"/>
      </w:pPr>
      <w:rPr>
        <w:rFonts w:ascii="Courier New" w:hAnsi="Courier New" w:cs="Courier New" w:hint="default"/>
      </w:rPr>
    </w:lvl>
    <w:lvl w:ilvl="5" w:tplc="041A0005" w:tentative="1">
      <w:start w:val="1"/>
      <w:numFmt w:val="bullet"/>
      <w:lvlText w:val=""/>
      <w:lvlJc w:val="left"/>
      <w:pPr>
        <w:tabs>
          <w:tab w:val="num" w:pos="4752"/>
        </w:tabs>
        <w:ind w:left="4752" w:hanging="360"/>
      </w:pPr>
      <w:rPr>
        <w:rFonts w:ascii="Wingdings" w:hAnsi="Wingdings" w:hint="default"/>
      </w:rPr>
    </w:lvl>
    <w:lvl w:ilvl="6" w:tplc="041A0001" w:tentative="1">
      <w:start w:val="1"/>
      <w:numFmt w:val="bullet"/>
      <w:lvlText w:val=""/>
      <w:lvlJc w:val="left"/>
      <w:pPr>
        <w:tabs>
          <w:tab w:val="num" w:pos="5472"/>
        </w:tabs>
        <w:ind w:left="5472" w:hanging="360"/>
      </w:pPr>
      <w:rPr>
        <w:rFonts w:ascii="Symbol" w:hAnsi="Symbol" w:hint="default"/>
      </w:rPr>
    </w:lvl>
    <w:lvl w:ilvl="7" w:tplc="041A0003" w:tentative="1">
      <w:start w:val="1"/>
      <w:numFmt w:val="bullet"/>
      <w:lvlText w:val="o"/>
      <w:lvlJc w:val="left"/>
      <w:pPr>
        <w:tabs>
          <w:tab w:val="num" w:pos="6192"/>
        </w:tabs>
        <w:ind w:left="6192" w:hanging="360"/>
      </w:pPr>
      <w:rPr>
        <w:rFonts w:ascii="Courier New" w:hAnsi="Courier New" w:cs="Courier New" w:hint="default"/>
      </w:rPr>
    </w:lvl>
    <w:lvl w:ilvl="8" w:tplc="041A0005" w:tentative="1">
      <w:start w:val="1"/>
      <w:numFmt w:val="bullet"/>
      <w:lvlText w:val=""/>
      <w:lvlJc w:val="left"/>
      <w:pPr>
        <w:tabs>
          <w:tab w:val="num" w:pos="6912"/>
        </w:tabs>
        <w:ind w:left="6912" w:hanging="360"/>
      </w:pPr>
      <w:rPr>
        <w:rFonts w:ascii="Wingdings" w:hAnsi="Wingdings" w:hint="default"/>
      </w:rPr>
    </w:lvl>
  </w:abstractNum>
  <w:abstractNum w:abstractNumId="21" w15:restartNumberingAfterBreak="0">
    <w:nsid w:val="638A6911"/>
    <w:multiLevelType w:val="hybridMultilevel"/>
    <w:tmpl w:val="F04ADA9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5653DE"/>
    <w:multiLevelType w:val="hybridMultilevel"/>
    <w:tmpl w:val="EC1C703E"/>
    <w:lvl w:ilvl="0" w:tplc="233C141A">
      <w:start w:val="1"/>
      <w:numFmt w:val="bullet"/>
      <w:lvlText w:val="-"/>
      <w:lvlJc w:val="left"/>
      <w:pPr>
        <w:ind w:left="1480" w:hanging="360"/>
      </w:pPr>
      <w:rPr>
        <w:rFonts w:ascii="Calibri" w:hAnsi="Calibri" w:hint="default"/>
      </w:rPr>
    </w:lvl>
    <w:lvl w:ilvl="1" w:tplc="041A0003" w:tentative="1">
      <w:start w:val="1"/>
      <w:numFmt w:val="bullet"/>
      <w:lvlText w:val="o"/>
      <w:lvlJc w:val="left"/>
      <w:pPr>
        <w:ind w:left="2200" w:hanging="360"/>
      </w:pPr>
      <w:rPr>
        <w:rFonts w:ascii="Courier New" w:hAnsi="Courier New" w:cs="Courier New" w:hint="default"/>
      </w:rPr>
    </w:lvl>
    <w:lvl w:ilvl="2" w:tplc="041A0005" w:tentative="1">
      <w:start w:val="1"/>
      <w:numFmt w:val="bullet"/>
      <w:lvlText w:val=""/>
      <w:lvlJc w:val="left"/>
      <w:pPr>
        <w:ind w:left="2920" w:hanging="360"/>
      </w:pPr>
      <w:rPr>
        <w:rFonts w:ascii="Wingdings" w:hAnsi="Wingdings" w:hint="default"/>
      </w:rPr>
    </w:lvl>
    <w:lvl w:ilvl="3" w:tplc="041A0001" w:tentative="1">
      <w:start w:val="1"/>
      <w:numFmt w:val="bullet"/>
      <w:lvlText w:val=""/>
      <w:lvlJc w:val="left"/>
      <w:pPr>
        <w:ind w:left="3640" w:hanging="360"/>
      </w:pPr>
      <w:rPr>
        <w:rFonts w:ascii="Symbol" w:hAnsi="Symbol" w:hint="default"/>
      </w:rPr>
    </w:lvl>
    <w:lvl w:ilvl="4" w:tplc="041A0003" w:tentative="1">
      <w:start w:val="1"/>
      <w:numFmt w:val="bullet"/>
      <w:lvlText w:val="o"/>
      <w:lvlJc w:val="left"/>
      <w:pPr>
        <w:ind w:left="4360" w:hanging="360"/>
      </w:pPr>
      <w:rPr>
        <w:rFonts w:ascii="Courier New" w:hAnsi="Courier New" w:cs="Courier New" w:hint="default"/>
      </w:rPr>
    </w:lvl>
    <w:lvl w:ilvl="5" w:tplc="041A0005" w:tentative="1">
      <w:start w:val="1"/>
      <w:numFmt w:val="bullet"/>
      <w:lvlText w:val=""/>
      <w:lvlJc w:val="left"/>
      <w:pPr>
        <w:ind w:left="5080" w:hanging="360"/>
      </w:pPr>
      <w:rPr>
        <w:rFonts w:ascii="Wingdings" w:hAnsi="Wingdings" w:hint="default"/>
      </w:rPr>
    </w:lvl>
    <w:lvl w:ilvl="6" w:tplc="041A0001" w:tentative="1">
      <w:start w:val="1"/>
      <w:numFmt w:val="bullet"/>
      <w:lvlText w:val=""/>
      <w:lvlJc w:val="left"/>
      <w:pPr>
        <w:ind w:left="5800" w:hanging="360"/>
      </w:pPr>
      <w:rPr>
        <w:rFonts w:ascii="Symbol" w:hAnsi="Symbol" w:hint="default"/>
      </w:rPr>
    </w:lvl>
    <w:lvl w:ilvl="7" w:tplc="041A0003" w:tentative="1">
      <w:start w:val="1"/>
      <w:numFmt w:val="bullet"/>
      <w:lvlText w:val="o"/>
      <w:lvlJc w:val="left"/>
      <w:pPr>
        <w:ind w:left="6520" w:hanging="360"/>
      </w:pPr>
      <w:rPr>
        <w:rFonts w:ascii="Courier New" w:hAnsi="Courier New" w:cs="Courier New" w:hint="default"/>
      </w:rPr>
    </w:lvl>
    <w:lvl w:ilvl="8" w:tplc="041A0005" w:tentative="1">
      <w:start w:val="1"/>
      <w:numFmt w:val="bullet"/>
      <w:lvlText w:val=""/>
      <w:lvlJc w:val="left"/>
      <w:pPr>
        <w:ind w:left="7240" w:hanging="360"/>
      </w:pPr>
      <w:rPr>
        <w:rFonts w:ascii="Wingdings" w:hAnsi="Wingdings" w:hint="default"/>
      </w:rPr>
    </w:lvl>
  </w:abstractNum>
  <w:abstractNum w:abstractNumId="23" w15:restartNumberingAfterBreak="0">
    <w:nsid w:val="6A9B0259"/>
    <w:multiLevelType w:val="hybridMultilevel"/>
    <w:tmpl w:val="CB786AF0"/>
    <w:lvl w:ilvl="0" w:tplc="1C2E7F44">
      <w:numFmt w:val="bullet"/>
      <w:lvlText w:val="-"/>
      <w:lvlJc w:val="left"/>
      <w:pPr>
        <w:ind w:left="1789" w:hanging="360"/>
      </w:pPr>
      <w:rPr>
        <w:rFonts w:ascii="Times New Roman" w:eastAsia="Times New Roman" w:hAnsi="Times New Roman" w:cs="Times New Roman" w:hint="default"/>
      </w:rPr>
    </w:lvl>
    <w:lvl w:ilvl="1" w:tplc="041A0003">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24" w15:restartNumberingAfterBreak="0">
    <w:nsid w:val="6EF45760"/>
    <w:multiLevelType w:val="hybridMultilevel"/>
    <w:tmpl w:val="1C3C74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9D959E4"/>
    <w:multiLevelType w:val="hybridMultilevel"/>
    <w:tmpl w:val="B4DAB43A"/>
    <w:lvl w:ilvl="0" w:tplc="05A4B2AC">
      <w:start w:val="1"/>
      <w:numFmt w:val="lowerLetter"/>
      <w:lvlText w:val="%1)"/>
      <w:lvlJc w:val="left"/>
      <w:pPr>
        <w:ind w:left="780" w:hanging="360"/>
      </w:pPr>
      <w:rPr>
        <w:rFonts w:ascii="Arial" w:hAnsi="Arial" w:cs="Times New Roman" w:hint="default"/>
        <w:sz w:val="20"/>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15"/>
  </w:num>
  <w:num w:numId="2">
    <w:abstractNumId w:val="12"/>
  </w:num>
  <w:num w:numId="3">
    <w:abstractNumId w:val="16"/>
  </w:num>
  <w:num w:numId="4">
    <w:abstractNumId w:val="6"/>
  </w:num>
  <w:num w:numId="5">
    <w:abstractNumId w:val="7"/>
  </w:num>
  <w:num w:numId="6">
    <w:abstractNumId w:val="24"/>
  </w:num>
  <w:num w:numId="7">
    <w:abstractNumId w:val="3"/>
  </w:num>
  <w:num w:numId="8">
    <w:abstractNumId w:val="14"/>
  </w:num>
  <w:num w:numId="9">
    <w:abstractNumId w:val="5"/>
  </w:num>
  <w:num w:numId="10">
    <w:abstractNumId w:val="10"/>
  </w:num>
  <w:num w:numId="11">
    <w:abstractNumId w:val="18"/>
  </w:num>
  <w:num w:numId="12">
    <w:abstractNumId w:val="4"/>
  </w:num>
  <w:num w:numId="13">
    <w:abstractNumId w:val="22"/>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0"/>
  </w:num>
  <w:num w:numId="19">
    <w:abstractNumId w:val="25"/>
  </w:num>
  <w:num w:numId="20">
    <w:abstractNumId w:val="8"/>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23"/>
  </w:num>
  <w:num w:numId="29">
    <w:abstractNumId w:val="9"/>
  </w:num>
  <w:num w:numId="30">
    <w:abstractNumId w:val="11"/>
  </w:num>
  <w:num w:numId="31">
    <w:abstractNumId w:val="17"/>
  </w:num>
  <w:num w:numId="32">
    <w:abstractNumId w:val="19"/>
  </w:num>
  <w:num w:numId="3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A"/>
    <w:rsid w:val="000010CE"/>
    <w:rsid w:val="00002EEC"/>
    <w:rsid w:val="000101CF"/>
    <w:rsid w:val="000112AC"/>
    <w:rsid w:val="000219C8"/>
    <w:rsid w:val="00022129"/>
    <w:rsid w:val="00033658"/>
    <w:rsid w:val="000357CC"/>
    <w:rsid w:val="0003677B"/>
    <w:rsid w:val="0004145C"/>
    <w:rsid w:val="0004145E"/>
    <w:rsid w:val="00056118"/>
    <w:rsid w:val="000567D0"/>
    <w:rsid w:val="00057C28"/>
    <w:rsid w:val="00060BD1"/>
    <w:rsid w:val="000610A3"/>
    <w:rsid w:val="00063CC0"/>
    <w:rsid w:val="00064D66"/>
    <w:rsid w:val="000653C7"/>
    <w:rsid w:val="00065BA2"/>
    <w:rsid w:val="00080AB8"/>
    <w:rsid w:val="00091C96"/>
    <w:rsid w:val="000A11B2"/>
    <w:rsid w:val="000A17AB"/>
    <w:rsid w:val="000A2DA9"/>
    <w:rsid w:val="000A3360"/>
    <w:rsid w:val="000B1F6C"/>
    <w:rsid w:val="000C102F"/>
    <w:rsid w:val="000C1ED6"/>
    <w:rsid w:val="000C54D4"/>
    <w:rsid w:val="000C7371"/>
    <w:rsid w:val="000C77EA"/>
    <w:rsid w:val="000D4163"/>
    <w:rsid w:val="000D6272"/>
    <w:rsid w:val="000D6F9B"/>
    <w:rsid w:val="000D78CD"/>
    <w:rsid w:val="000E0BD7"/>
    <w:rsid w:val="000E1544"/>
    <w:rsid w:val="000F1430"/>
    <w:rsid w:val="00102571"/>
    <w:rsid w:val="00106A24"/>
    <w:rsid w:val="00113BFC"/>
    <w:rsid w:val="00120240"/>
    <w:rsid w:val="001469F3"/>
    <w:rsid w:val="001522FF"/>
    <w:rsid w:val="00162463"/>
    <w:rsid w:val="00165847"/>
    <w:rsid w:val="00175AA0"/>
    <w:rsid w:val="00176EFD"/>
    <w:rsid w:val="001778A4"/>
    <w:rsid w:val="00180AB2"/>
    <w:rsid w:val="00186A66"/>
    <w:rsid w:val="00187BB0"/>
    <w:rsid w:val="001947DC"/>
    <w:rsid w:val="001953B2"/>
    <w:rsid w:val="0019715E"/>
    <w:rsid w:val="001B2D65"/>
    <w:rsid w:val="001B3993"/>
    <w:rsid w:val="001B729B"/>
    <w:rsid w:val="001B7A44"/>
    <w:rsid w:val="001C1807"/>
    <w:rsid w:val="001D2ABF"/>
    <w:rsid w:val="001D374C"/>
    <w:rsid w:val="001D3E9D"/>
    <w:rsid w:val="001D6B7B"/>
    <w:rsid w:val="001E014E"/>
    <w:rsid w:val="001E1D57"/>
    <w:rsid w:val="001E70F4"/>
    <w:rsid w:val="001F22B6"/>
    <w:rsid w:val="001F48B9"/>
    <w:rsid w:val="00201364"/>
    <w:rsid w:val="00205829"/>
    <w:rsid w:val="00206E4A"/>
    <w:rsid w:val="00211494"/>
    <w:rsid w:val="00212CDA"/>
    <w:rsid w:val="00214221"/>
    <w:rsid w:val="00223639"/>
    <w:rsid w:val="00227A87"/>
    <w:rsid w:val="002355BE"/>
    <w:rsid w:val="00235E06"/>
    <w:rsid w:val="00236AA6"/>
    <w:rsid w:val="00244C53"/>
    <w:rsid w:val="0024595E"/>
    <w:rsid w:val="00247A8C"/>
    <w:rsid w:val="002504F0"/>
    <w:rsid w:val="00251B2D"/>
    <w:rsid w:val="00253317"/>
    <w:rsid w:val="002600F3"/>
    <w:rsid w:val="0026083E"/>
    <w:rsid w:val="00263062"/>
    <w:rsid w:val="00263DE9"/>
    <w:rsid w:val="00267C2C"/>
    <w:rsid w:val="00270F8C"/>
    <w:rsid w:val="002730AC"/>
    <w:rsid w:val="00273564"/>
    <w:rsid w:val="00275BF5"/>
    <w:rsid w:val="00280BDF"/>
    <w:rsid w:val="00280C96"/>
    <w:rsid w:val="00280DDF"/>
    <w:rsid w:val="00284C12"/>
    <w:rsid w:val="00290BC6"/>
    <w:rsid w:val="00293F13"/>
    <w:rsid w:val="002A17FA"/>
    <w:rsid w:val="002A3C57"/>
    <w:rsid w:val="002B13A8"/>
    <w:rsid w:val="002B2E23"/>
    <w:rsid w:val="002C406B"/>
    <w:rsid w:val="002C5EB0"/>
    <w:rsid w:val="002C5ECC"/>
    <w:rsid w:val="002C628B"/>
    <w:rsid w:val="002C63D6"/>
    <w:rsid w:val="002E27E7"/>
    <w:rsid w:val="002F3600"/>
    <w:rsid w:val="002F37B0"/>
    <w:rsid w:val="00300B80"/>
    <w:rsid w:val="00307316"/>
    <w:rsid w:val="003123FD"/>
    <w:rsid w:val="00327841"/>
    <w:rsid w:val="003316D9"/>
    <w:rsid w:val="00332662"/>
    <w:rsid w:val="003340E7"/>
    <w:rsid w:val="0033595A"/>
    <w:rsid w:val="00340C77"/>
    <w:rsid w:val="00350C51"/>
    <w:rsid w:val="003573AE"/>
    <w:rsid w:val="00364544"/>
    <w:rsid w:val="0036729D"/>
    <w:rsid w:val="00371523"/>
    <w:rsid w:val="0037216F"/>
    <w:rsid w:val="00384108"/>
    <w:rsid w:val="0038413B"/>
    <w:rsid w:val="00390FC8"/>
    <w:rsid w:val="003917CA"/>
    <w:rsid w:val="003929E1"/>
    <w:rsid w:val="003A1A8C"/>
    <w:rsid w:val="003A48D0"/>
    <w:rsid w:val="003A544E"/>
    <w:rsid w:val="003B0288"/>
    <w:rsid w:val="003B2ECF"/>
    <w:rsid w:val="003B30BA"/>
    <w:rsid w:val="003C0998"/>
    <w:rsid w:val="003C1432"/>
    <w:rsid w:val="003C74C8"/>
    <w:rsid w:val="003D7DD4"/>
    <w:rsid w:val="003F430C"/>
    <w:rsid w:val="003F63DE"/>
    <w:rsid w:val="003F6DF7"/>
    <w:rsid w:val="00401186"/>
    <w:rsid w:val="00402746"/>
    <w:rsid w:val="00403730"/>
    <w:rsid w:val="004038C8"/>
    <w:rsid w:val="00403A52"/>
    <w:rsid w:val="00407F4A"/>
    <w:rsid w:val="00411567"/>
    <w:rsid w:val="004160D7"/>
    <w:rsid w:val="00417E81"/>
    <w:rsid w:val="00423190"/>
    <w:rsid w:val="00423A6B"/>
    <w:rsid w:val="0043127E"/>
    <w:rsid w:val="00433FB5"/>
    <w:rsid w:val="0043475C"/>
    <w:rsid w:val="00436A30"/>
    <w:rsid w:val="004559ED"/>
    <w:rsid w:val="00474794"/>
    <w:rsid w:val="00475C3B"/>
    <w:rsid w:val="00482F11"/>
    <w:rsid w:val="004869CD"/>
    <w:rsid w:val="00493E72"/>
    <w:rsid w:val="004947DF"/>
    <w:rsid w:val="0049493F"/>
    <w:rsid w:val="00494CC0"/>
    <w:rsid w:val="004A1CC9"/>
    <w:rsid w:val="004A488A"/>
    <w:rsid w:val="004B13B0"/>
    <w:rsid w:val="004B491D"/>
    <w:rsid w:val="004C3EE8"/>
    <w:rsid w:val="004C7839"/>
    <w:rsid w:val="004D2E6F"/>
    <w:rsid w:val="004D6A8D"/>
    <w:rsid w:val="004E1613"/>
    <w:rsid w:val="004F439D"/>
    <w:rsid w:val="004F69DA"/>
    <w:rsid w:val="004F7C45"/>
    <w:rsid w:val="00507305"/>
    <w:rsid w:val="005129BC"/>
    <w:rsid w:val="0051405D"/>
    <w:rsid w:val="00515402"/>
    <w:rsid w:val="00516245"/>
    <w:rsid w:val="005164D1"/>
    <w:rsid w:val="0052044C"/>
    <w:rsid w:val="00522682"/>
    <w:rsid w:val="00522DC9"/>
    <w:rsid w:val="005256B3"/>
    <w:rsid w:val="00525A4D"/>
    <w:rsid w:val="005266DB"/>
    <w:rsid w:val="005320FE"/>
    <w:rsid w:val="00542147"/>
    <w:rsid w:val="00546784"/>
    <w:rsid w:val="0055568D"/>
    <w:rsid w:val="00555789"/>
    <w:rsid w:val="00557413"/>
    <w:rsid w:val="00561539"/>
    <w:rsid w:val="00563544"/>
    <w:rsid w:val="005716B9"/>
    <w:rsid w:val="00573A1A"/>
    <w:rsid w:val="005812CD"/>
    <w:rsid w:val="00582B35"/>
    <w:rsid w:val="00592063"/>
    <w:rsid w:val="005957A2"/>
    <w:rsid w:val="005A1A06"/>
    <w:rsid w:val="005A4451"/>
    <w:rsid w:val="005B0F5F"/>
    <w:rsid w:val="005B2AF6"/>
    <w:rsid w:val="005C12A6"/>
    <w:rsid w:val="005C2E6F"/>
    <w:rsid w:val="005C3321"/>
    <w:rsid w:val="005C55DD"/>
    <w:rsid w:val="005C7052"/>
    <w:rsid w:val="005E542F"/>
    <w:rsid w:val="005E79AD"/>
    <w:rsid w:val="005F1FAE"/>
    <w:rsid w:val="005F2223"/>
    <w:rsid w:val="005F2281"/>
    <w:rsid w:val="005F57BD"/>
    <w:rsid w:val="006001FC"/>
    <w:rsid w:val="00601071"/>
    <w:rsid w:val="00601E82"/>
    <w:rsid w:val="00610CF5"/>
    <w:rsid w:val="00616F08"/>
    <w:rsid w:val="00621757"/>
    <w:rsid w:val="0062401A"/>
    <w:rsid w:val="0062491B"/>
    <w:rsid w:val="0062792A"/>
    <w:rsid w:val="00633A4F"/>
    <w:rsid w:val="006372FA"/>
    <w:rsid w:val="006376A0"/>
    <w:rsid w:val="00641B96"/>
    <w:rsid w:val="006436C7"/>
    <w:rsid w:val="0065039B"/>
    <w:rsid w:val="00650DDD"/>
    <w:rsid w:val="00653044"/>
    <w:rsid w:val="00656165"/>
    <w:rsid w:val="006650CC"/>
    <w:rsid w:val="00665DBC"/>
    <w:rsid w:val="00670CC5"/>
    <w:rsid w:val="00676AFE"/>
    <w:rsid w:val="00685744"/>
    <w:rsid w:val="00686C0F"/>
    <w:rsid w:val="00693DF3"/>
    <w:rsid w:val="006962F7"/>
    <w:rsid w:val="0069737D"/>
    <w:rsid w:val="006A6D38"/>
    <w:rsid w:val="006B1787"/>
    <w:rsid w:val="006B38DD"/>
    <w:rsid w:val="006C45D6"/>
    <w:rsid w:val="006C515B"/>
    <w:rsid w:val="006C5E6F"/>
    <w:rsid w:val="006D72B7"/>
    <w:rsid w:val="006E001B"/>
    <w:rsid w:val="006E5513"/>
    <w:rsid w:val="006E6B88"/>
    <w:rsid w:val="006F5412"/>
    <w:rsid w:val="007011C4"/>
    <w:rsid w:val="00703085"/>
    <w:rsid w:val="00711102"/>
    <w:rsid w:val="00716157"/>
    <w:rsid w:val="00716A8E"/>
    <w:rsid w:val="007174C9"/>
    <w:rsid w:val="0072425A"/>
    <w:rsid w:val="007428EA"/>
    <w:rsid w:val="00764F90"/>
    <w:rsid w:val="00766C1C"/>
    <w:rsid w:val="0077265E"/>
    <w:rsid w:val="00772C8B"/>
    <w:rsid w:val="0077378A"/>
    <w:rsid w:val="00781E9C"/>
    <w:rsid w:val="0078414A"/>
    <w:rsid w:val="00790D94"/>
    <w:rsid w:val="00791D51"/>
    <w:rsid w:val="007920C1"/>
    <w:rsid w:val="007925C2"/>
    <w:rsid w:val="007962A2"/>
    <w:rsid w:val="00797165"/>
    <w:rsid w:val="007A0C87"/>
    <w:rsid w:val="007A2D61"/>
    <w:rsid w:val="007A3B09"/>
    <w:rsid w:val="007A3BFA"/>
    <w:rsid w:val="007A45DF"/>
    <w:rsid w:val="007A7781"/>
    <w:rsid w:val="007B21C2"/>
    <w:rsid w:val="007B3065"/>
    <w:rsid w:val="007B49A2"/>
    <w:rsid w:val="007C1EDC"/>
    <w:rsid w:val="007C336E"/>
    <w:rsid w:val="007C52C2"/>
    <w:rsid w:val="007C64AE"/>
    <w:rsid w:val="007C77F0"/>
    <w:rsid w:val="007E7194"/>
    <w:rsid w:val="00802B10"/>
    <w:rsid w:val="0080442B"/>
    <w:rsid w:val="0081089D"/>
    <w:rsid w:val="008145F1"/>
    <w:rsid w:val="00816C07"/>
    <w:rsid w:val="008207EB"/>
    <w:rsid w:val="00830A77"/>
    <w:rsid w:val="008333D1"/>
    <w:rsid w:val="00844BCC"/>
    <w:rsid w:val="008542FF"/>
    <w:rsid w:val="00864A8F"/>
    <w:rsid w:val="00864D82"/>
    <w:rsid w:val="00867876"/>
    <w:rsid w:val="00877473"/>
    <w:rsid w:val="00881A17"/>
    <w:rsid w:val="00884A83"/>
    <w:rsid w:val="00885298"/>
    <w:rsid w:val="00886CC8"/>
    <w:rsid w:val="00890C1B"/>
    <w:rsid w:val="008A1DF1"/>
    <w:rsid w:val="008B0C12"/>
    <w:rsid w:val="008B0D99"/>
    <w:rsid w:val="008B5176"/>
    <w:rsid w:val="008C2ED8"/>
    <w:rsid w:val="008C4B92"/>
    <w:rsid w:val="008C4F1B"/>
    <w:rsid w:val="008C6B31"/>
    <w:rsid w:val="008D110C"/>
    <w:rsid w:val="008D1421"/>
    <w:rsid w:val="008D148E"/>
    <w:rsid w:val="008D1633"/>
    <w:rsid w:val="008D2872"/>
    <w:rsid w:val="008D3647"/>
    <w:rsid w:val="008D4C64"/>
    <w:rsid w:val="008E0D8C"/>
    <w:rsid w:val="008E2423"/>
    <w:rsid w:val="008E3192"/>
    <w:rsid w:val="008E4230"/>
    <w:rsid w:val="008E6551"/>
    <w:rsid w:val="008F0AA0"/>
    <w:rsid w:val="009000CE"/>
    <w:rsid w:val="009111B4"/>
    <w:rsid w:val="00914664"/>
    <w:rsid w:val="0091563D"/>
    <w:rsid w:val="00916196"/>
    <w:rsid w:val="00922222"/>
    <w:rsid w:val="009246C0"/>
    <w:rsid w:val="00925271"/>
    <w:rsid w:val="009275EB"/>
    <w:rsid w:val="00927780"/>
    <w:rsid w:val="009408BA"/>
    <w:rsid w:val="00941A73"/>
    <w:rsid w:val="00941CB5"/>
    <w:rsid w:val="00944E75"/>
    <w:rsid w:val="00953615"/>
    <w:rsid w:val="00954061"/>
    <w:rsid w:val="0095568C"/>
    <w:rsid w:val="00955F3D"/>
    <w:rsid w:val="00956CF4"/>
    <w:rsid w:val="00960C71"/>
    <w:rsid w:val="00964AAD"/>
    <w:rsid w:val="00966EDF"/>
    <w:rsid w:val="0097168F"/>
    <w:rsid w:val="0097342C"/>
    <w:rsid w:val="00976789"/>
    <w:rsid w:val="009769A1"/>
    <w:rsid w:val="00991F39"/>
    <w:rsid w:val="00992CE9"/>
    <w:rsid w:val="009938D4"/>
    <w:rsid w:val="00993A0F"/>
    <w:rsid w:val="00994E55"/>
    <w:rsid w:val="009A566A"/>
    <w:rsid w:val="009B015E"/>
    <w:rsid w:val="009B25CC"/>
    <w:rsid w:val="009B4C44"/>
    <w:rsid w:val="009B5282"/>
    <w:rsid w:val="009B543B"/>
    <w:rsid w:val="009B5FD3"/>
    <w:rsid w:val="009B6499"/>
    <w:rsid w:val="009C4642"/>
    <w:rsid w:val="009C6B31"/>
    <w:rsid w:val="009D3C6B"/>
    <w:rsid w:val="009E1EAE"/>
    <w:rsid w:val="009E318D"/>
    <w:rsid w:val="009E34FE"/>
    <w:rsid w:val="009E65DF"/>
    <w:rsid w:val="009F0815"/>
    <w:rsid w:val="009F2282"/>
    <w:rsid w:val="009F382E"/>
    <w:rsid w:val="009F4061"/>
    <w:rsid w:val="00A0314E"/>
    <w:rsid w:val="00A04084"/>
    <w:rsid w:val="00A042EA"/>
    <w:rsid w:val="00A07534"/>
    <w:rsid w:val="00A07BA0"/>
    <w:rsid w:val="00A223F1"/>
    <w:rsid w:val="00A238F8"/>
    <w:rsid w:val="00A31428"/>
    <w:rsid w:val="00A32DC4"/>
    <w:rsid w:val="00A34A4F"/>
    <w:rsid w:val="00A34F84"/>
    <w:rsid w:val="00A405D7"/>
    <w:rsid w:val="00A5036F"/>
    <w:rsid w:val="00A65DB7"/>
    <w:rsid w:val="00A7487F"/>
    <w:rsid w:val="00A76941"/>
    <w:rsid w:val="00A85720"/>
    <w:rsid w:val="00A8615A"/>
    <w:rsid w:val="00AB0578"/>
    <w:rsid w:val="00AC1A92"/>
    <w:rsid w:val="00AC6FF2"/>
    <w:rsid w:val="00AE2DE4"/>
    <w:rsid w:val="00AE465B"/>
    <w:rsid w:val="00AF1030"/>
    <w:rsid w:val="00AF3740"/>
    <w:rsid w:val="00AF55E3"/>
    <w:rsid w:val="00AF6348"/>
    <w:rsid w:val="00B248CC"/>
    <w:rsid w:val="00B33E89"/>
    <w:rsid w:val="00B340D2"/>
    <w:rsid w:val="00B37AA5"/>
    <w:rsid w:val="00B415B0"/>
    <w:rsid w:val="00B60BC0"/>
    <w:rsid w:val="00B84EDF"/>
    <w:rsid w:val="00B85349"/>
    <w:rsid w:val="00B85754"/>
    <w:rsid w:val="00B8725D"/>
    <w:rsid w:val="00B91FCC"/>
    <w:rsid w:val="00B94AE2"/>
    <w:rsid w:val="00BB0211"/>
    <w:rsid w:val="00BB77E0"/>
    <w:rsid w:val="00BC111E"/>
    <w:rsid w:val="00BC18D6"/>
    <w:rsid w:val="00BD2AF3"/>
    <w:rsid w:val="00BD4DA5"/>
    <w:rsid w:val="00BD5149"/>
    <w:rsid w:val="00BD6E02"/>
    <w:rsid w:val="00BF4484"/>
    <w:rsid w:val="00BF48BE"/>
    <w:rsid w:val="00BF5D65"/>
    <w:rsid w:val="00C142D0"/>
    <w:rsid w:val="00C15630"/>
    <w:rsid w:val="00C17761"/>
    <w:rsid w:val="00C238B3"/>
    <w:rsid w:val="00C23B4C"/>
    <w:rsid w:val="00C23F1E"/>
    <w:rsid w:val="00C32940"/>
    <w:rsid w:val="00C3497E"/>
    <w:rsid w:val="00C40089"/>
    <w:rsid w:val="00C464D6"/>
    <w:rsid w:val="00C53B05"/>
    <w:rsid w:val="00C65763"/>
    <w:rsid w:val="00C7035D"/>
    <w:rsid w:val="00C703DA"/>
    <w:rsid w:val="00C71806"/>
    <w:rsid w:val="00C74C4A"/>
    <w:rsid w:val="00C7775C"/>
    <w:rsid w:val="00C80CA6"/>
    <w:rsid w:val="00C878A4"/>
    <w:rsid w:val="00C96273"/>
    <w:rsid w:val="00CA02C5"/>
    <w:rsid w:val="00CA1262"/>
    <w:rsid w:val="00CA41CD"/>
    <w:rsid w:val="00CA7FA8"/>
    <w:rsid w:val="00CB23F6"/>
    <w:rsid w:val="00CB30BB"/>
    <w:rsid w:val="00CB505E"/>
    <w:rsid w:val="00CC138F"/>
    <w:rsid w:val="00CC7231"/>
    <w:rsid w:val="00CC79DB"/>
    <w:rsid w:val="00CD0DEE"/>
    <w:rsid w:val="00CD2DB5"/>
    <w:rsid w:val="00CE355F"/>
    <w:rsid w:val="00CE6AFD"/>
    <w:rsid w:val="00D00CFD"/>
    <w:rsid w:val="00D0579E"/>
    <w:rsid w:val="00D14322"/>
    <w:rsid w:val="00D143B8"/>
    <w:rsid w:val="00D243AF"/>
    <w:rsid w:val="00D31055"/>
    <w:rsid w:val="00D34FC1"/>
    <w:rsid w:val="00D40ADF"/>
    <w:rsid w:val="00D479ED"/>
    <w:rsid w:val="00D5412F"/>
    <w:rsid w:val="00D55F3A"/>
    <w:rsid w:val="00D61B27"/>
    <w:rsid w:val="00D62A4E"/>
    <w:rsid w:val="00D64C9D"/>
    <w:rsid w:val="00D65BD3"/>
    <w:rsid w:val="00D723F9"/>
    <w:rsid w:val="00D725E3"/>
    <w:rsid w:val="00D76788"/>
    <w:rsid w:val="00D9786B"/>
    <w:rsid w:val="00DA2C0E"/>
    <w:rsid w:val="00DA45AB"/>
    <w:rsid w:val="00DB2275"/>
    <w:rsid w:val="00DB3FB4"/>
    <w:rsid w:val="00DC71ED"/>
    <w:rsid w:val="00DD67C4"/>
    <w:rsid w:val="00DF1755"/>
    <w:rsid w:val="00E049C4"/>
    <w:rsid w:val="00E1788E"/>
    <w:rsid w:val="00E206A1"/>
    <w:rsid w:val="00E2322A"/>
    <w:rsid w:val="00E23D6C"/>
    <w:rsid w:val="00E3349D"/>
    <w:rsid w:val="00E3546A"/>
    <w:rsid w:val="00E37927"/>
    <w:rsid w:val="00E42A5E"/>
    <w:rsid w:val="00E451EA"/>
    <w:rsid w:val="00E46785"/>
    <w:rsid w:val="00E5215C"/>
    <w:rsid w:val="00E52EE2"/>
    <w:rsid w:val="00E53BE9"/>
    <w:rsid w:val="00E614A0"/>
    <w:rsid w:val="00E635A3"/>
    <w:rsid w:val="00E6441E"/>
    <w:rsid w:val="00E71C51"/>
    <w:rsid w:val="00E72BA0"/>
    <w:rsid w:val="00E72D72"/>
    <w:rsid w:val="00E81C32"/>
    <w:rsid w:val="00E84C03"/>
    <w:rsid w:val="00E86D6E"/>
    <w:rsid w:val="00E9056A"/>
    <w:rsid w:val="00E90E1B"/>
    <w:rsid w:val="00E94667"/>
    <w:rsid w:val="00E96C4D"/>
    <w:rsid w:val="00E97BEB"/>
    <w:rsid w:val="00EB343A"/>
    <w:rsid w:val="00EB5C7C"/>
    <w:rsid w:val="00ED048B"/>
    <w:rsid w:val="00ED14B2"/>
    <w:rsid w:val="00EE0DEB"/>
    <w:rsid w:val="00EE73E3"/>
    <w:rsid w:val="00EF0918"/>
    <w:rsid w:val="00EF3877"/>
    <w:rsid w:val="00EF39F6"/>
    <w:rsid w:val="00EF638D"/>
    <w:rsid w:val="00F00B2A"/>
    <w:rsid w:val="00F04E47"/>
    <w:rsid w:val="00F059EF"/>
    <w:rsid w:val="00F0675B"/>
    <w:rsid w:val="00F06EC6"/>
    <w:rsid w:val="00F11959"/>
    <w:rsid w:val="00F2034E"/>
    <w:rsid w:val="00F24F69"/>
    <w:rsid w:val="00F32D90"/>
    <w:rsid w:val="00F331DD"/>
    <w:rsid w:val="00F338A0"/>
    <w:rsid w:val="00F37C3F"/>
    <w:rsid w:val="00F43C74"/>
    <w:rsid w:val="00F4480A"/>
    <w:rsid w:val="00F519B5"/>
    <w:rsid w:val="00F524E8"/>
    <w:rsid w:val="00F56886"/>
    <w:rsid w:val="00F62BA4"/>
    <w:rsid w:val="00F643BD"/>
    <w:rsid w:val="00F7169B"/>
    <w:rsid w:val="00F83AB9"/>
    <w:rsid w:val="00F8517B"/>
    <w:rsid w:val="00F857FE"/>
    <w:rsid w:val="00F87777"/>
    <w:rsid w:val="00F9040F"/>
    <w:rsid w:val="00F979BC"/>
    <w:rsid w:val="00FA018D"/>
    <w:rsid w:val="00FA2D19"/>
    <w:rsid w:val="00FA52C6"/>
    <w:rsid w:val="00FA5363"/>
    <w:rsid w:val="00FA547E"/>
    <w:rsid w:val="00FB0CDC"/>
    <w:rsid w:val="00FB398F"/>
    <w:rsid w:val="00FB4826"/>
    <w:rsid w:val="00FB6AEC"/>
    <w:rsid w:val="00FB7BB2"/>
    <w:rsid w:val="00FC0CA3"/>
    <w:rsid w:val="00FC555C"/>
    <w:rsid w:val="00FD5097"/>
    <w:rsid w:val="00FE07E5"/>
    <w:rsid w:val="00FE0A05"/>
    <w:rsid w:val="00FE1236"/>
    <w:rsid w:val="00FE7E9A"/>
    <w:rsid w:val="00FF1E16"/>
    <w:rsid w:val="00FF67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98DC3"/>
  <w15:chartTrackingRefBased/>
  <w15:docId w15:val="{6E0AAF50-2C65-4A51-A770-2EC047F7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23F6"/>
    <w:rPr>
      <w:rFonts w:ascii="Arial" w:hAnsi="Arial"/>
      <w:szCs w:val="22"/>
      <w:lang w:eastAsia="en-US"/>
    </w:rPr>
  </w:style>
  <w:style w:type="paragraph" w:styleId="Heading1">
    <w:name w:val="heading 1"/>
    <w:basedOn w:val="Normal"/>
    <w:next w:val="Normal"/>
    <w:link w:val="Heading1Char"/>
    <w:uiPriority w:val="9"/>
    <w:qFormat/>
    <w:rsid w:val="0065304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304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3044"/>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5304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304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304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5304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5304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304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841"/>
    <w:rPr>
      <w:rFonts w:ascii="Tahoma" w:hAnsi="Tahoma" w:cs="Tahoma"/>
      <w:sz w:val="16"/>
      <w:szCs w:val="16"/>
    </w:rPr>
  </w:style>
  <w:style w:type="character" w:customStyle="1" w:styleId="BalloonTextChar">
    <w:name w:val="Balloon Text Char"/>
    <w:link w:val="BalloonText"/>
    <w:uiPriority w:val="99"/>
    <w:semiHidden/>
    <w:rsid w:val="00327841"/>
    <w:rPr>
      <w:rFonts w:ascii="Tahoma" w:hAnsi="Tahoma" w:cs="Tahoma"/>
      <w:sz w:val="16"/>
      <w:szCs w:val="16"/>
    </w:rPr>
  </w:style>
  <w:style w:type="table" w:styleId="TableGrid">
    <w:name w:val="Table Grid"/>
    <w:basedOn w:val="TableNormal"/>
    <w:uiPriority w:val="59"/>
    <w:rsid w:val="00212C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372FA"/>
    <w:pPr>
      <w:tabs>
        <w:tab w:val="center" w:pos="4536"/>
        <w:tab w:val="right" w:pos="9072"/>
      </w:tabs>
    </w:pPr>
  </w:style>
  <w:style w:type="character" w:customStyle="1" w:styleId="HeaderChar">
    <w:name w:val="Header Char"/>
    <w:link w:val="Header"/>
    <w:uiPriority w:val="99"/>
    <w:rsid w:val="006372FA"/>
    <w:rPr>
      <w:rFonts w:ascii="Arial" w:hAnsi="Arial"/>
      <w:szCs w:val="22"/>
      <w:lang w:eastAsia="en-US"/>
    </w:rPr>
  </w:style>
  <w:style w:type="paragraph" w:styleId="Footer">
    <w:name w:val="footer"/>
    <w:basedOn w:val="Normal"/>
    <w:link w:val="FooterChar"/>
    <w:uiPriority w:val="99"/>
    <w:unhideWhenUsed/>
    <w:rsid w:val="006372FA"/>
    <w:pPr>
      <w:tabs>
        <w:tab w:val="center" w:pos="4536"/>
        <w:tab w:val="right" w:pos="9072"/>
      </w:tabs>
    </w:pPr>
  </w:style>
  <w:style w:type="character" w:customStyle="1" w:styleId="FooterChar">
    <w:name w:val="Footer Char"/>
    <w:link w:val="Footer"/>
    <w:uiPriority w:val="99"/>
    <w:rsid w:val="006372FA"/>
    <w:rPr>
      <w:rFonts w:ascii="Arial" w:hAnsi="Arial"/>
      <w:szCs w:val="22"/>
      <w:lang w:eastAsia="en-US"/>
    </w:rPr>
  </w:style>
  <w:style w:type="character" w:styleId="Hyperlink">
    <w:name w:val="Hyperlink"/>
    <w:uiPriority w:val="99"/>
    <w:unhideWhenUsed/>
    <w:rsid w:val="00187BB0"/>
    <w:rPr>
      <w:color w:val="0563C1"/>
      <w:u w:val="single"/>
    </w:rPr>
  </w:style>
  <w:style w:type="character" w:styleId="UnresolvedMention">
    <w:name w:val="Unresolved Mention"/>
    <w:uiPriority w:val="99"/>
    <w:semiHidden/>
    <w:unhideWhenUsed/>
    <w:rsid w:val="00187BB0"/>
    <w:rPr>
      <w:color w:val="808080"/>
      <w:shd w:val="clear" w:color="auto" w:fill="E6E6E6"/>
    </w:rPr>
  </w:style>
  <w:style w:type="paragraph" w:styleId="ListParagraph">
    <w:name w:val="List Paragraph"/>
    <w:basedOn w:val="Normal"/>
    <w:link w:val="ListParagraphChar"/>
    <w:qFormat/>
    <w:rsid w:val="00A223F1"/>
    <w:pPr>
      <w:ind w:left="720"/>
      <w:contextualSpacing/>
    </w:pPr>
  </w:style>
  <w:style w:type="character" w:customStyle="1" w:styleId="Heading1Char">
    <w:name w:val="Heading 1 Char"/>
    <w:basedOn w:val="DefaultParagraphFont"/>
    <w:link w:val="Heading1"/>
    <w:uiPriority w:val="9"/>
    <w:rsid w:val="00653044"/>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65304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653044"/>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653044"/>
    <w:rPr>
      <w:rFonts w:asciiTheme="majorHAnsi" w:eastAsiaTheme="majorEastAsia" w:hAnsiTheme="majorHAnsi" w:cstheme="majorBidi"/>
      <w:i/>
      <w:iCs/>
      <w:color w:val="2F5496" w:themeColor="accent1" w:themeShade="BF"/>
      <w:szCs w:val="22"/>
      <w:lang w:eastAsia="en-US"/>
    </w:rPr>
  </w:style>
  <w:style w:type="character" w:customStyle="1" w:styleId="Heading5Char">
    <w:name w:val="Heading 5 Char"/>
    <w:basedOn w:val="DefaultParagraphFont"/>
    <w:link w:val="Heading5"/>
    <w:uiPriority w:val="9"/>
    <w:semiHidden/>
    <w:rsid w:val="00653044"/>
    <w:rPr>
      <w:rFonts w:asciiTheme="majorHAnsi" w:eastAsiaTheme="majorEastAsia" w:hAnsiTheme="majorHAnsi" w:cstheme="majorBidi"/>
      <w:color w:val="2F5496" w:themeColor="accent1" w:themeShade="BF"/>
      <w:szCs w:val="22"/>
      <w:lang w:eastAsia="en-US"/>
    </w:rPr>
  </w:style>
  <w:style w:type="character" w:customStyle="1" w:styleId="Heading6Char">
    <w:name w:val="Heading 6 Char"/>
    <w:basedOn w:val="DefaultParagraphFont"/>
    <w:link w:val="Heading6"/>
    <w:uiPriority w:val="9"/>
    <w:semiHidden/>
    <w:rsid w:val="00653044"/>
    <w:rPr>
      <w:rFonts w:asciiTheme="majorHAnsi" w:eastAsiaTheme="majorEastAsia" w:hAnsiTheme="majorHAnsi" w:cstheme="majorBidi"/>
      <w:color w:val="1F3763" w:themeColor="accent1" w:themeShade="7F"/>
      <w:szCs w:val="22"/>
      <w:lang w:eastAsia="en-US"/>
    </w:rPr>
  </w:style>
  <w:style w:type="character" w:customStyle="1" w:styleId="Heading7Char">
    <w:name w:val="Heading 7 Char"/>
    <w:basedOn w:val="DefaultParagraphFont"/>
    <w:link w:val="Heading7"/>
    <w:uiPriority w:val="9"/>
    <w:semiHidden/>
    <w:rsid w:val="00653044"/>
    <w:rPr>
      <w:rFonts w:asciiTheme="majorHAnsi" w:eastAsiaTheme="majorEastAsia" w:hAnsiTheme="majorHAnsi" w:cstheme="majorBidi"/>
      <w:i/>
      <w:iCs/>
      <w:color w:val="1F3763" w:themeColor="accent1" w:themeShade="7F"/>
      <w:szCs w:val="22"/>
      <w:lang w:eastAsia="en-US"/>
    </w:rPr>
  </w:style>
  <w:style w:type="character" w:customStyle="1" w:styleId="Heading8Char">
    <w:name w:val="Heading 8 Char"/>
    <w:basedOn w:val="DefaultParagraphFont"/>
    <w:link w:val="Heading8"/>
    <w:uiPriority w:val="9"/>
    <w:semiHidden/>
    <w:rsid w:val="0065304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53044"/>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Heading1"/>
    <w:link w:val="Style1Char"/>
    <w:qFormat/>
    <w:rsid w:val="00653044"/>
    <w:rPr>
      <w:rFonts w:asciiTheme="minorHAnsi" w:hAnsiTheme="minorHAnsi"/>
      <w:sz w:val="24"/>
    </w:rPr>
  </w:style>
  <w:style w:type="paragraph" w:customStyle="1" w:styleId="HeadingA">
    <w:name w:val="Heading A"/>
    <w:basedOn w:val="Normal"/>
    <w:link w:val="HeadingAChar"/>
    <w:qFormat/>
    <w:rsid w:val="00402746"/>
    <w:pPr>
      <w:numPr>
        <w:numId w:val="2"/>
      </w:numPr>
      <w:spacing w:before="360" w:after="360"/>
    </w:pPr>
    <w:rPr>
      <w:rFonts w:ascii="Calibri" w:hAnsi="Calibri" w:cs="Calibri"/>
      <w:b/>
      <w:color w:val="2F5496" w:themeColor="accent1" w:themeShade="BF"/>
      <w:sz w:val="22"/>
    </w:rPr>
  </w:style>
  <w:style w:type="character" w:customStyle="1" w:styleId="Style1Char">
    <w:name w:val="Style1 Char"/>
    <w:basedOn w:val="Heading1Char"/>
    <w:link w:val="Style1"/>
    <w:rsid w:val="00653044"/>
    <w:rPr>
      <w:rFonts w:asciiTheme="minorHAnsi" w:eastAsiaTheme="majorEastAsia" w:hAnsiTheme="minorHAnsi" w:cstheme="majorBidi"/>
      <w:color w:val="2F5496" w:themeColor="accent1" w:themeShade="BF"/>
      <w:sz w:val="24"/>
      <w:szCs w:val="32"/>
      <w:lang w:eastAsia="en-US"/>
    </w:rPr>
  </w:style>
  <w:style w:type="character" w:customStyle="1" w:styleId="HeadingAChar">
    <w:name w:val="Heading A Char"/>
    <w:basedOn w:val="Heading1Char"/>
    <w:link w:val="HeadingA"/>
    <w:rsid w:val="00402746"/>
    <w:rPr>
      <w:rFonts w:asciiTheme="majorHAnsi" w:eastAsiaTheme="majorEastAsia" w:hAnsiTheme="majorHAnsi" w:cs="Calibri"/>
      <w:b/>
      <w:color w:val="2F5496" w:themeColor="accent1" w:themeShade="BF"/>
      <w:sz w:val="22"/>
      <w:szCs w:val="22"/>
      <w:lang w:eastAsia="en-US"/>
    </w:rPr>
  </w:style>
  <w:style w:type="character" w:customStyle="1" w:styleId="CharStyle3">
    <w:name w:val="Char Style 3"/>
    <w:basedOn w:val="DefaultParagraphFont"/>
    <w:link w:val="Style2"/>
    <w:rsid w:val="00EE73E3"/>
    <w:rPr>
      <w:sz w:val="17"/>
      <w:szCs w:val="17"/>
      <w:shd w:val="clear" w:color="auto" w:fill="FFFFFF"/>
    </w:rPr>
  </w:style>
  <w:style w:type="character" w:customStyle="1" w:styleId="CharStyle31">
    <w:name w:val="Char Style 31"/>
    <w:basedOn w:val="DefaultParagraphFont"/>
    <w:link w:val="Style30"/>
    <w:rsid w:val="00EE73E3"/>
    <w:rPr>
      <w:sz w:val="22"/>
      <w:szCs w:val="22"/>
      <w:shd w:val="clear" w:color="auto" w:fill="FFFFFF"/>
    </w:rPr>
  </w:style>
  <w:style w:type="paragraph" w:customStyle="1" w:styleId="Style2">
    <w:name w:val="Style 2"/>
    <w:basedOn w:val="Normal"/>
    <w:link w:val="CharStyle3"/>
    <w:qFormat/>
    <w:rsid w:val="00EE73E3"/>
    <w:pPr>
      <w:widowControl w:val="0"/>
      <w:shd w:val="clear" w:color="auto" w:fill="FFFFFF"/>
      <w:spacing w:line="188" w:lineRule="exact"/>
    </w:pPr>
    <w:rPr>
      <w:rFonts w:ascii="Calibri" w:hAnsi="Calibri"/>
      <w:sz w:val="17"/>
      <w:szCs w:val="17"/>
      <w:lang w:eastAsia="hr-HR"/>
    </w:rPr>
  </w:style>
  <w:style w:type="paragraph" w:customStyle="1" w:styleId="Style30">
    <w:name w:val="Style 30"/>
    <w:basedOn w:val="Normal"/>
    <w:link w:val="CharStyle31"/>
    <w:qFormat/>
    <w:rsid w:val="00EE73E3"/>
    <w:pPr>
      <w:widowControl w:val="0"/>
      <w:shd w:val="clear" w:color="auto" w:fill="FFFFFF"/>
      <w:spacing w:before="220" w:after="120" w:line="274" w:lineRule="exact"/>
      <w:ind w:hanging="640"/>
      <w:jc w:val="both"/>
    </w:pPr>
    <w:rPr>
      <w:rFonts w:ascii="Calibri" w:hAnsi="Calibri"/>
      <w:sz w:val="22"/>
      <w:lang w:eastAsia="hr-HR"/>
    </w:rPr>
  </w:style>
  <w:style w:type="character" w:customStyle="1" w:styleId="CharStyle9">
    <w:name w:val="Char Style 9"/>
    <w:basedOn w:val="DefaultParagraphFont"/>
    <w:link w:val="Style8"/>
    <w:locked/>
    <w:rsid w:val="00D725E3"/>
    <w:rPr>
      <w:b/>
      <w:bCs/>
      <w:shd w:val="clear" w:color="auto" w:fill="FFFFFF"/>
    </w:rPr>
  </w:style>
  <w:style w:type="paragraph" w:customStyle="1" w:styleId="Style8">
    <w:name w:val="Style 8"/>
    <w:basedOn w:val="Normal"/>
    <w:link w:val="CharStyle9"/>
    <w:qFormat/>
    <w:rsid w:val="00D725E3"/>
    <w:pPr>
      <w:widowControl w:val="0"/>
      <w:shd w:val="clear" w:color="auto" w:fill="FFFFFF"/>
      <w:spacing w:before="680" w:after="140" w:line="442" w:lineRule="exact"/>
      <w:jc w:val="center"/>
      <w:outlineLvl w:val="2"/>
    </w:pPr>
    <w:rPr>
      <w:rFonts w:ascii="Calibri" w:hAnsi="Calibri"/>
      <w:b/>
      <w:bCs/>
      <w:szCs w:val="20"/>
      <w:lang w:eastAsia="hr-HR"/>
    </w:rPr>
  </w:style>
  <w:style w:type="character" w:customStyle="1" w:styleId="CharStyle11">
    <w:name w:val="Char Style 11"/>
    <w:basedOn w:val="DefaultParagraphFont"/>
    <w:link w:val="Style10"/>
    <w:locked/>
    <w:rsid w:val="00D725E3"/>
    <w:rPr>
      <w:sz w:val="21"/>
      <w:szCs w:val="21"/>
      <w:shd w:val="clear" w:color="auto" w:fill="FFFFFF"/>
    </w:rPr>
  </w:style>
  <w:style w:type="paragraph" w:customStyle="1" w:styleId="Style10">
    <w:name w:val="Style 10"/>
    <w:basedOn w:val="Normal"/>
    <w:link w:val="CharStyle11"/>
    <w:qFormat/>
    <w:rsid w:val="00D725E3"/>
    <w:pPr>
      <w:widowControl w:val="0"/>
      <w:shd w:val="clear" w:color="auto" w:fill="FFFFFF"/>
      <w:spacing w:before="140" w:after="140" w:line="283" w:lineRule="exact"/>
      <w:ind w:hanging="420"/>
      <w:jc w:val="both"/>
    </w:pPr>
    <w:rPr>
      <w:rFonts w:ascii="Calibri" w:hAnsi="Calibri"/>
      <w:sz w:val="21"/>
      <w:szCs w:val="21"/>
      <w:lang w:eastAsia="hr-HR"/>
    </w:rPr>
  </w:style>
  <w:style w:type="character" w:customStyle="1" w:styleId="CharStyle14">
    <w:name w:val="Char Style 14"/>
    <w:basedOn w:val="DefaultParagraphFont"/>
    <w:link w:val="Style13"/>
    <w:locked/>
    <w:rsid w:val="00D725E3"/>
    <w:rPr>
      <w:b/>
      <w:bCs/>
      <w:sz w:val="21"/>
      <w:szCs w:val="21"/>
      <w:shd w:val="clear" w:color="auto" w:fill="FFFFFF"/>
    </w:rPr>
  </w:style>
  <w:style w:type="paragraph" w:customStyle="1" w:styleId="Style13">
    <w:name w:val="Style 13"/>
    <w:basedOn w:val="Normal"/>
    <w:link w:val="CharStyle14"/>
    <w:rsid w:val="00D725E3"/>
    <w:pPr>
      <w:widowControl w:val="0"/>
      <w:shd w:val="clear" w:color="auto" w:fill="FFFFFF"/>
      <w:spacing w:before="360" w:after="140" w:line="232" w:lineRule="exact"/>
      <w:jc w:val="both"/>
    </w:pPr>
    <w:rPr>
      <w:rFonts w:ascii="Calibri" w:hAnsi="Calibri"/>
      <w:b/>
      <w:bCs/>
      <w:sz w:val="21"/>
      <w:szCs w:val="21"/>
      <w:lang w:eastAsia="hr-HR"/>
    </w:rPr>
  </w:style>
  <w:style w:type="character" w:customStyle="1" w:styleId="CharStyle16">
    <w:name w:val="Char Style 16"/>
    <w:basedOn w:val="DefaultParagraphFont"/>
    <w:link w:val="Style15"/>
    <w:locked/>
    <w:rsid w:val="00D725E3"/>
    <w:rPr>
      <w:shd w:val="clear" w:color="auto" w:fill="FFFFFF"/>
    </w:rPr>
  </w:style>
  <w:style w:type="paragraph" w:customStyle="1" w:styleId="Style15">
    <w:name w:val="Style 15"/>
    <w:basedOn w:val="Normal"/>
    <w:link w:val="CharStyle16"/>
    <w:rsid w:val="00D725E3"/>
    <w:pPr>
      <w:widowControl w:val="0"/>
      <w:shd w:val="clear" w:color="auto" w:fill="FFFFFF"/>
      <w:spacing w:before="1920" w:line="222" w:lineRule="exact"/>
      <w:jc w:val="both"/>
    </w:pPr>
    <w:rPr>
      <w:rFonts w:ascii="Calibri" w:hAnsi="Calibri"/>
      <w:szCs w:val="20"/>
      <w:lang w:eastAsia="hr-HR"/>
    </w:rPr>
  </w:style>
  <w:style w:type="character" w:customStyle="1" w:styleId="CharStyle12">
    <w:name w:val="Char Style 12"/>
    <w:basedOn w:val="CharStyle11"/>
    <w:semiHidden/>
    <w:rsid w:val="00D725E3"/>
    <w:rPr>
      <w:rFonts w:ascii="Times New Roman" w:eastAsia="Times New Roman" w:hAnsi="Times New Roman" w:cs="Times New Roman" w:hint="default"/>
      <w:b/>
      <w:bCs/>
      <w:color w:val="000000"/>
      <w:spacing w:val="0"/>
      <w:w w:val="100"/>
      <w:position w:val="0"/>
      <w:sz w:val="21"/>
      <w:szCs w:val="21"/>
      <w:shd w:val="clear" w:color="auto" w:fill="FFFFFF"/>
      <w:lang w:val="hr-HR" w:eastAsia="hr-HR" w:bidi="hr-HR"/>
    </w:rPr>
  </w:style>
  <w:style w:type="paragraph" w:styleId="FootnoteText">
    <w:name w:val="footnote text"/>
    <w:basedOn w:val="Normal"/>
    <w:link w:val="FootnoteTextChar"/>
    <w:uiPriority w:val="99"/>
    <w:unhideWhenUsed/>
    <w:rsid w:val="00E90E1B"/>
    <w:rPr>
      <w:szCs w:val="20"/>
    </w:rPr>
  </w:style>
  <w:style w:type="character" w:customStyle="1" w:styleId="FootnoteTextChar">
    <w:name w:val="Footnote Text Char"/>
    <w:basedOn w:val="DefaultParagraphFont"/>
    <w:link w:val="FootnoteText"/>
    <w:uiPriority w:val="99"/>
    <w:rsid w:val="00E90E1B"/>
    <w:rPr>
      <w:rFonts w:ascii="Arial" w:hAnsi="Arial"/>
      <w:lang w:eastAsia="en-US"/>
    </w:rPr>
  </w:style>
  <w:style w:type="character" w:styleId="FootnoteReference">
    <w:name w:val="footnote reference"/>
    <w:basedOn w:val="DefaultParagraphFont"/>
    <w:uiPriority w:val="99"/>
    <w:unhideWhenUsed/>
    <w:rsid w:val="00E90E1B"/>
    <w:rPr>
      <w:vertAlign w:val="superscript"/>
    </w:rPr>
  </w:style>
  <w:style w:type="paragraph" w:customStyle="1" w:styleId="StyleNormalWebVerdana10pt">
    <w:name w:val="Style Normal (Web) + Verdana 10 pt"/>
    <w:basedOn w:val="NormalWeb"/>
    <w:rsid w:val="001B2D65"/>
    <w:pPr>
      <w:spacing w:before="100" w:beforeAutospacing="1" w:after="100" w:afterAutospacing="1"/>
      <w:jc w:val="both"/>
    </w:pPr>
    <w:rPr>
      <w:rFonts w:eastAsia="Times New Roman"/>
      <w:lang w:eastAsia="hr-HR"/>
    </w:rPr>
  </w:style>
  <w:style w:type="paragraph" w:styleId="NormalWeb">
    <w:name w:val="Normal (Web)"/>
    <w:basedOn w:val="Normal"/>
    <w:uiPriority w:val="99"/>
    <w:semiHidden/>
    <w:unhideWhenUsed/>
    <w:rsid w:val="001B2D65"/>
    <w:rPr>
      <w:rFonts w:ascii="Times New Roman" w:hAnsi="Times New Roman"/>
      <w:sz w:val="24"/>
      <w:szCs w:val="24"/>
    </w:rPr>
  </w:style>
  <w:style w:type="paragraph" w:styleId="BodyText">
    <w:name w:val="Body Text"/>
    <w:basedOn w:val="Normal"/>
    <w:link w:val="BodyTextChar"/>
    <w:uiPriority w:val="1"/>
    <w:qFormat/>
    <w:rsid w:val="00CA41CD"/>
    <w:pPr>
      <w:widowControl w:val="0"/>
      <w:autoSpaceDE w:val="0"/>
      <w:autoSpaceDN w:val="0"/>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CA41CD"/>
    <w:rPr>
      <w:rFonts w:ascii="Times New Roman" w:eastAsia="Times New Roman" w:hAnsi="Times New Roman"/>
      <w:sz w:val="21"/>
      <w:szCs w:val="21"/>
      <w:lang w:val="en-US" w:eastAsia="en-US"/>
    </w:rPr>
  </w:style>
  <w:style w:type="paragraph" w:customStyle="1" w:styleId="TableParagraph">
    <w:name w:val="Table Paragraph"/>
    <w:basedOn w:val="Normal"/>
    <w:uiPriority w:val="1"/>
    <w:qFormat/>
    <w:rsid w:val="00E9056A"/>
    <w:pPr>
      <w:widowControl w:val="0"/>
      <w:autoSpaceDE w:val="0"/>
      <w:autoSpaceDN w:val="0"/>
    </w:pPr>
    <w:rPr>
      <w:rFonts w:ascii="Calibri" w:hAnsi="Calibri" w:cs="Calibri"/>
      <w:sz w:val="22"/>
      <w:lang w:val="en-US"/>
    </w:rPr>
  </w:style>
  <w:style w:type="character" w:styleId="CommentReference">
    <w:name w:val="annotation reference"/>
    <w:basedOn w:val="DefaultParagraphFont"/>
    <w:uiPriority w:val="99"/>
    <w:semiHidden/>
    <w:unhideWhenUsed/>
    <w:rsid w:val="003F63DE"/>
    <w:rPr>
      <w:sz w:val="16"/>
      <w:szCs w:val="16"/>
    </w:rPr>
  </w:style>
  <w:style w:type="paragraph" w:styleId="CommentText">
    <w:name w:val="annotation text"/>
    <w:basedOn w:val="Normal"/>
    <w:link w:val="CommentTextChar"/>
    <w:uiPriority w:val="99"/>
    <w:semiHidden/>
    <w:unhideWhenUsed/>
    <w:rsid w:val="003F63DE"/>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3F63DE"/>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4C3EE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F5D65"/>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F5D65"/>
    <w:rPr>
      <w:rFonts w:ascii="Arial" w:eastAsiaTheme="minorHAnsi" w:hAnsi="Arial" w:cstheme="minorBidi"/>
      <w:b/>
      <w:bCs/>
      <w:lang w:eastAsia="en-US"/>
    </w:rPr>
  </w:style>
  <w:style w:type="paragraph" w:styleId="TOCHeading">
    <w:name w:val="TOC Heading"/>
    <w:basedOn w:val="Heading1"/>
    <w:next w:val="Normal"/>
    <w:uiPriority w:val="39"/>
    <w:unhideWhenUsed/>
    <w:qFormat/>
    <w:rsid w:val="000610A3"/>
    <w:pPr>
      <w:numPr>
        <w:numId w:val="0"/>
      </w:numPr>
      <w:spacing w:line="259" w:lineRule="auto"/>
      <w:outlineLvl w:val="9"/>
    </w:pPr>
    <w:rPr>
      <w:lang w:eastAsia="hr-HR"/>
    </w:rPr>
  </w:style>
  <w:style w:type="paragraph" w:styleId="TOC2">
    <w:name w:val="toc 2"/>
    <w:basedOn w:val="Normal"/>
    <w:next w:val="Normal"/>
    <w:autoRedefine/>
    <w:uiPriority w:val="39"/>
    <w:unhideWhenUsed/>
    <w:rsid w:val="00493E72"/>
    <w:pPr>
      <w:numPr>
        <w:ilvl w:val="1"/>
        <w:numId w:val="12"/>
      </w:numPr>
      <w:tabs>
        <w:tab w:val="left" w:pos="1276"/>
        <w:tab w:val="right" w:leader="dot" w:pos="9017"/>
      </w:tabs>
      <w:spacing w:after="100" w:line="259" w:lineRule="auto"/>
      <w:ind w:left="1276" w:hanging="567"/>
    </w:pPr>
    <w:rPr>
      <w:rFonts w:asciiTheme="minorHAnsi" w:eastAsiaTheme="minorEastAsia" w:hAnsiTheme="minorHAnsi"/>
      <w:sz w:val="22"/>
      <w:lang w:eastAsia="hr-HR"/>
    </w:rPr>
  </w:style>
  <w:style w:type="paragraph" w:styleId="TOC1">
    <w:name w:val="toc 1"/>
    <w:basedOn w:val="Normal"/>
    <w:next w:val="Normal"/>
    <w:autoRedefine/>
    <w:uiPriority w:val="39"/>
    <w:unhideWhenUsed/>
    <w:rsid w:val="0003677B"/>
    <w:pPr>
      <w:numPr>
        <w:numId w:val="12"/>
      </w:numPr>
      <w:tabs>
        <w:tab w:val="left" w:pos="709"/>
        <w:tab w:val="right" w:leader="dot" w:pos="9017"/>
      </w:tabs>
      <w:spacing w:after="100" w:line="259" w:lineRule="auto"/>
      <w:ind w:left="709" w:hanging="425"/>
    </w:pPr>
    <w:rPr>
      <w:rFonts w:eastAsiaTheme="minorEastAsia" w:cs="Arial"/>
      <w:b/>
      <w:noProof/>
      <w:szCs w:val="20"/>
      <w:lang w:eastAsia="hr-HR"/>
    </w:rPr>
  </w:style>
  <w:style w:type="paragraph" w:styleId="TOC3">
    <w:name w:val="toc 3"/>
    <w:basedOn w:val="Normal"/>
    <w:next w:val="Normal"/>
    <w:autoRedefine/>
    <w:uiPriority w:val="39"/>
    <w:unhideWhenUsed/>
    <w:rsid w:val="00493E72"/>
    <w:pPr>
      <w:numPr>
        <w:ilvl w:val="2"/>
        <w:numId w:val="12"/>
      </w:numPr>
      <w:tabs>
        <w:tab w:val="left" w:pos="1276"/>
        <w:tab w:val="right" w:leader="dot" w:pos="9017"/>
      </w:tabs>
      <w:spacing w:after="100" w:line="259" w:lineRule="auto"/>
      <w:ind w:left="1843" w:hanging="578"/>
    </w:pPr>
    <w:rPr>
      <w:rFonts w:asciiTheme="minorHAnsi" w:eastAsiaTheme="minorEastAsia" w:hAnsiTheme="minorHAnsi"/>
      <w:sz w:val="22"/>
      <w:lang w:eastAsia="hr-HR"/>
    </w:rPr>
  </w:style>
  <w:style w:type="character" w:customStyle="1" w:styleId="Style11pt">
    <w:name w:val="Style 11 pt"/>
    <w:rsid w:val="007011C4"/>
    <w:rPr>
      <w:sz w:val="22"/>
    </w:rPr>
  </w:style>
  <w:style w:type="paragraph" w:styleId="BodyText2">
    <w:name w:val="Body Text 2"/>
    <w:basedOn w:val="Normal"/>
    <w:link w:val="BodyText2Char"/>
    <w:uiPriority w:val="99"/>
    <w:semiHidden/>
    <w:unhideWhenUsed/>
    <w:rsid w:val="00515402"/>
    <w:pPr>
      <w:spacing w:after="120" w:line="480" w:lineRule="auto"/>
    </w:pPr>
  </w:style>
  <w:style w:type="character" w:customStyle="1" w:styleId="BodyText2Char">
    <w:name w:val="Body Text 2 Char"/>
    <w:basedOn w:val="DefaultParagraphFont"/>
    <w:link w:val="BodyText2"/>
    <w:uiPriority w:val="99"/>
    <w:semiHidden/>
    <w:rsid w:val="00515402"/>
    <w:rPr>
      <w:rFonts w:ascii="Arial" w:hAnsi="Arial"/>
      <w:szCs w:val="22"/>
      <w:lang w:eastAsia="en-US"/>
    </w:rPr>
  </w:style>
  <w:style w:type="character" w:customStyle="1" w:styleId="ListParagraphChar">
    <w:name w:val="List Paragraph Char"/>
    <w:link w:val="ListParagraph"/>
    <w:uiPriority w:val="34"/>
    <w:locked/>
    <w:rsid w:val="008207EB"/>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45758">
      <w:bodyDiv w:val="1"/>
      <w:marLeft w:val="0"/>
      <w:marRight w:val="0"/>
      <w:marTop w:val="0"/>
      <w:marBottom w:val="0"/>
      <w:divBdr>
        <w:top w:val="none" w:sz="0" w:space="0" w:color="auto"/>
        <w:left w:val="none" w:sz="0" w:space="0" w:color="auto"/>
        <w:bottom w:val="none" w:sz="0" w:space="0" w:color="auto"/>
        <w:right w:val="none" w:sz="0" w:space="0" w:color="auto"/>
      </w:divBdr>
    </w:div>
    <w:div w:id="740325550">
      <w:bodyDiv w:val="1"/>
      <w:marLeft w:val="0"/>
      <w:marRight w:val="0"/>
      <w:marTop w:val="0"/>
      <w:marBottom w:val="0"/>
      <w:divBdr>
        <w:top w:val="none" w:sz="0" w:space="0" w:color="auto"/>
        <w:left w:val="none" w:sz="0" w:space="0" w:color="auto"/>
        <w:bottom w:val="none" w:sz="0" w:space="0" w:color="auto"/>
        <w:right w:val="none" w:sz="0" w:space="0" w:color="auto"/>
      </w:divBdr>
    </w:div>
    <w:div w:id="1272394768">
      <w:bodyDiv w:val="1"/>
      <w:marLeft w:val="0"/>
      <w:marRight w:val="0"/>
      <w:marTop w:val="0"/>
      <w:marBottom w:val="0"/>
      <w:divBdr>
        <w:top w:val="none" w:sz="0" w:space="0" w:color="auto"/>
        <w:left w:val="none" w:sz="0" w:space="0" w:color="auto"/>
        <w:bottom w:val="none" w:sz="0" w:space="0" w:color="auto"/>
        <w:right w:val="none" w:sz="0" w:space="0" w:color="auto"/>
      </w:divBdr>
    </w:div>
    <w:div w:id="19398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legal-content/HR/TXT/PDF/?uri=OJ:C:2014:249:FULL&amp;from=H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hbor.hr/naslovnica/hbor/pravilnici-akt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A3E3EEDDDF784D965E25CA454D7777" ma:contentTypeVersion="4" ma:contentTypeDescription="Create a new document." ma:contentTypeScope="" ma:versionID="3ca675721a32351100106c7714f4b04d">
  <xsd:schema xmlns:xsd="http://www.w3.org/2001/XMLSchema" xmlns:xs="http://www.w3.org/2001/XMLSchema" xmlns:p="http://schemas.microsoft.com/office/2006/metadata/properties" xmlns:ns1="http://schemas.microsoft.com/sharepoint/v3" xmlns:ns2="f6970d82-b2bc-46f6-a600-68a1b7dafbf6" xmlns:ns3="6362655e-7e43-4194-9ba1-8b445c91ca7b" targetNamespace="http://schemas.microsoft.com/office/2006/metadata/properties" ma:root="true" ma:fieldsID="a2b4e1ed659ea3fd6d50e0c029609292" ns1:_="" ns2:_="" ns3:_="">
    <xsd:import namespace="http://schemas.microsoft.com/sharepoint/v3"/>
    <xsd:import namespace="f6970d82-b2bc-46f6-a600-68a1b7dafbf6"/>
    <xsd:import namespace="6362655e-7e43-4194-9ba1-8b445c91ca7b"/>
    <xsd:element name="properties">
      <xsd:complexType>
        <xsd:sequence>
          <xsd:element name="documentManagement">
            <xsd:complexType>
              <xsd:all>
                <xsd:element ref="ns1:PublishingStartDate" minOccurs="0"/>
                <xsd:element ref="ns1:PublishingExpirationDate" minOccurs="0"/>
                <xsd:element ref="ns2:Komentari"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970d82-b2bc-46f6-a600-68a1b7dafbf6" elementFormDefault="qualified">
    <xsd:import namespace="http://schemas.microsoft.com/office/2006/documentManagement/types"/>
    <xsd:import namespace="http://schemas.microsoft.com/office/infopath/2007/PartnerControls"/>
    <xsd:element name="Komentari" ma:index="10" nillable="true" ma:displayName="Komentari" ma:internalName="Komentari">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2655e-7e43-4194-9ba1-8b445c91ca7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upa xmlns="201fdfdc-fa83-4dd8-96d3-937cb92e1f30" xsi:nil="true"/>
    <Datum_x0020_a_x017e_uriranja xmlns="201fdfdc-fa83-4dd8-96d3-937cb92e1f30">2018-07-27T11:43:25+00:00</Datum_x0020_a_x017e_uriranja>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7E81E4F14E694BACBEAA6A0C78BAB7" ma:contentTypeVersion="5" ma:contentTypeDescription="Create a new document." ma:contentTypeScope="" ma:versionID="e5df061a451de94a132eead74d4f5f9f">
  <xsd:schema xmlns:xsd="http://www.w3.org/2001/XMLSchema" xmlns:xs="http://www.w3.org/2001/XMLSchema" xmlns:p="http://schemas.microsoft.com/office/2006/metadata/properties" xmlns:ns1="http://schemas.microsoft.com/sharepoint/v3" xmlns:ns2="201fdfdc-fa83-4dd8-96d3-937cb92e1f30" xmlns:ns3="ce2119df-ad70-4e17-a861-7fe3b76723af" targetNamespace="http://schemas.microsoft.com/office/2006/metadata/properties" ma:root="true" ma:fieldsID="431e45bf2a32bf1e260e3b4c5a8c2209" ns1:_="" ns2:_="" ns3:_="">
    <xsd:import namespace="http://schemas.microsoft.com/sharepoint/v3"/>
    <xsd:import namespace="201fdfdc-fa83-4dd8-96d3-937cb92e1f30"/>
    <xsd:import namespace="ce2119df-ad70-4e17-a861-7fe3b76723af"/>
    <xsd:element name="properties">
      <xsd:complexType>
        <xsd:sequence>
          <xsd:element name="documentManagement">
            <xsd:complexType>
              <xsd:all>
                <xsd:element ref="ns1:PublishingStartDate" minOccurs="0"/>
                <xsd:element ref="ns1:PublishingExpirationDate" minOccurs="0"/>
                <xsd:element ref="ns2:Grupa" minOccurs="0"/>
                <xsd:element ref="ns2:Datum_x0020_a_x017e_uriranj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fdfdc-fa83-4dd8-96d3-937cb92e1f30" elementFormDefault="qualified">
    <xsd:import namespace="http://schemas.microsoft.com/office/2006/documentManagement/types"/>
    <xsd:import namespace="http://schemas.microsoft.com/office/infopath/2007/PartnerControls"/>
    <xsd:element name="Grupa" ma:index="10" nillable="true" ma:displayName="Grupa" ma:format="Dropdown" ma:internalName="Grupa">
      <xsd:simpleType>
        <xsd:restriction base="dms:Choice">
          <xsd:enumeration value="Organizacijska struktura"/>
        </xsd:restriction>
      </xsd:simpleType>
    </xsd:element>
    <xsd:element name="Datum_x0020_a_x017e_uriranja" ma:index="11" nillable="true" ma:displayName="Datum ažuriranja" ma:default="[today]" ma:format="DateOnly" ma:internalName="Datum_x0020_a_x017e_uriranj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2119df-ad70-4e17-a861-7fe3b76723a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9F1C-ED2D-4FE4-A686-DA61FAF4BF87}">
  <ds:schemaRefs>
    <ds:schemaRef ds:uri="http://schemas.microsoft.com/sharepoint/v3/contenttype/forms"/>
  </ds:schemaRefs>
</ds:datastoreItem>
</file>

<file path=customXml/itemProps2.xml><?xml version="1.0" encoding="utf-8"?>
<ds:datastoreItem xmlns:ds="http://schemas.openxmlformats.org/officeDocument/2006/customXml" ds:itemID="{39F03E03-CCC4-4194-BCDC-E8BED1B9A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970d82-b2bc-46f6-a600-68a1b7dafbf6"/>
    <ds:schemaRef ds:uri="6362655e-7e43-4194-9ba1-8b445c91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EFC5A-1FF9-45BF-9DE1-FE7B99501A1D}">
  <ds:schemaRefs>
    <ds:schemaRef ds:uri="http://schemas.microsoft.com/office/2006/metadata/properties"/>
    <ds:schemaRef ds:uri="http://schemas.microsoft.com/office/infopath/2007/PartnerControls"/>
    <ds:schemaRef ds:uri="201fdfdc-fa83-4dd8-96d3-937cb92e1f30"/>
    <ds:schemaRef ds:uri="http://schemas.microsoft.com/sharepoint/v3"/>
  </ds:schemaRefs>
</ds:datastoreItem>
</file>

<file path=customXml/itemProps4.xml><?xml version="1.0" encoding="utf-8"?>
<ds:datastoreItem xmlns:ds="http://schemas.openxmlformats.org/officeDocument/2006/customXml" ds:itemID="{0E664CCE-C2BD-41CC-B4F9-B741FD8A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1fdfdc-fa83-4dd8-96d3-937cb92e1f30"/>
    <ds:schemaRef ds:uri="ce2119df-ad70-4e17-a861-7fe3b7672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B2B2CD-9826-4E9E-8E74-957A0478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3300</Words>
  <Characters>18811</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cp:keywords/>
  <cp:lastModifiedBy>Andrea Milić</cp:lastModifiedBy>
  <cp:revision>4</cp:revision>
  <cp:lastPrinted>2019-12-03T14:09:00Z</cp:lastPrinted>
  <dcterms:created xsi:type="dcterms:W3CDTF">2020-08-03T09:26:00Z</dcterms:created>
  <dcterms:modified xsi:type="dcterms:W3CDTF">2020-08-13T08:03:00Z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0x010100F27E81E4F14E694BACBEAA6A0C78BAB7</vt:lpwstr>
  </property>
</Properties>
</file>