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A471" w14:textId="77777777" w:rsidR="00350409" w:rsidRPr="001E0C3A" w:rsidRDefault="00350409" w:rsidP="00350409">
      <w:pPr>
        <w:tabs>
          <w:tab w:val="left" w:pos="7726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W w:w="9630" w:type="dxa"/>
        <w:tblInd w:w="-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840"/>
      </w:tblGrid>
      <w:tr w:rsidR="00350409" w:rsidRPr="001E0C3A" w14:paraId="4ADEAFB5" w14:textId="77777777" w:rsidTr="008E36E1">
        <w:trPr>
          <w:tblHeader/>
        </w:trPr>
        <w:tc>
          <w:tcPr>
            <w:tcW w:w="2790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6D60" w14:textId="77777777" w:rsidR="00350409" w:rsidRPr="00634DB8" w:rsidRDefault="00350409" w:rsidP="008E36E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684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CC1F" w14:textId="77777777" w:rsidR="00350409" w:rsidRPr="00A94E25" w:rsidRDefault="00350409" w:rsidP="008E36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A94E25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Osnovne karakteristike Programa kojeg će provoditi HBOR</w:t>
            </w:r>
          </w:p>
        </w:tc>
      </w:tr>
      <w:tr w:rsidR="00350409" w:rsidRPr="001E0C3A" w14:paraId="2BA78EA7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82B3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Naziv programa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05F7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Program dodjele državnih potpora sektoru mora, prometa, prometne infrastrukture i povezanim djelatnostima u aktualnoj pandemiji COVID-a 19, Mjera A i Mjera B (u daljnjem tekstu: Program).</w:t>
            </w:r>
          </w:p>
        </w:tc>
      </w:tr>
      <w:tr w:rsidR="00350409" w:rsidRPr="001E0C3A" w14:paraId="6E2E3E12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5FCD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Cilj Programa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3217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Osigurati financijsku podršku poduzetnicima koji obavljaju djelatnosti u sektoru mora, prometa, prometne infrastrukture i s njima povezanim djelatnostima radi ublažavanja posljedica krize uzrokovane pandemijom COVID-19 na njihovo poslovanje.</w:t>
            </w:r>
          </w:p>
        </w:tc>
      </w:tr>
      <w:tr w:rsidR="00350409" w:rsidRPr="001E0C3A" w14:paraId="139380E9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2EB3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Pravni temelj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827D" w14:textId="77777777" w:rsidR="00350409" w:rsidRPr="003C16FA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Odluka Vlade Republike Hrvatske o usvajanju Programa dodjele državnih potpora sektoru mora, prometa, prometne infrastrukture i povezanim djelatnostima u aktualnoj pandemiji COVID-a 19, od 2. 7. 2020.</w:t>
            </w:r>
          </w:p>
          <w:p w14:paraId="6886B9D1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Program je odobren od strane Europske komisije 30. 6. 2020., a sukladno Komunikaciji Komisije - Privremenom okviru za mjere državne potpore u svrhu podrške gospodarstvu u aktualnoj pandemiji COVID-19, od 19. 3. 2020. i njezinim izmjenama od 3. 4. 2020. i 8. 5. 2020.</w:t>
            </w:r>
          </w:p>
        </w:tc>
      </w:tr>
      <w:tr w:rsidR="00350409" w:rsidRPr="001E0C3A" w14:paraId="5415A66A" w14:textId="77777777" w:rsidTr="008E36E1">
        <w:trPr>
          <w:trHeight w:val="392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3966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Provoditelj Programa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ADDC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HBOR za velike poduzetnike i </w:t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>HAMAG-BICRO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za male i srednje poduzetnike, kao agenti Ministarstva mora, prometa i infrastrukture (u daljnjem tekstu: MMPI).</w:t>
            </w:r>
          </w:p>
        </w:tc>
      </w:tr>
      <w:tr w:rsidR="00350409" w:rsidRPr="001E0C3A" w14:paraId="7F28617E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1403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bookmarkStart w:id="1" w:name="_Hlk36135153"/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Vrsta državne potpore 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9953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Izdavanje jamstva u ime i za račun Republike Hrvatske za nove kredite za  likvidnost za rješavanje problema izazvanih krizom kao posljedicom pandemije COVID-19. Mjera se ne odnosi na već postojeće kredite za likvidnost.</w:t>
            </w:r>
          </w:p>
          <w:p w14:paraId="0B70BDA7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Jamstvo je bezuvjetno, neopozivo i na prvi poziv.</w:t>
            </w:r>
          </w:p>
        </w:tc>
      </w:tr>
      <w:tr w:rsidR="00350409" w:rsidRPr="001E0C3A" w14:paraId="0D7EA0CA" w14:textId="77777777" w:rsidTr="008E36E1">
        <w:trPr>
          <w:trHeight w:val="490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16F5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Trajanje Programa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9C55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Kreditori mogu podnositi zahtjeve za jamstvom </w:t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 xml:space="preserve">u HBOR 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od dana stupanja na snagu Programa do kraja važenja Programa, uz uvjet da jamstvo mora biti  izdano do 31. 12. 2020.</w:t>
            </w:r>
          </w:p>
          <w:p w14:paraId="0A5C2EDE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Zahtjevi Kreditora obrađivat će se prema redoslijedu zaprimanja i sukladno tome će se alocirati sredstva predviđena za provođenje Programa do njihova iskorištenja.</w:t>
            </w:r>
          </w:p>
        </w:tc>
      </w:tr>
      <w:tr w:rsidR="00350409" w:rsidRPr="001E0C3A" w14:paraId="54F99724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2A51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Pokriće jamstvom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4376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Jamstvo će pokrivati najviše 90% glavnice pojedinačnog kredita </w:t>
            </w:r>
          </w:p>
          <w:p w14:paraId="4AFFDE22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(gubitke proporcionalno sukladno visini pokrića jamstvom i pod istim uvjetima (pari </w:t>
            </w:r>
            <w:proofErr w:type="spellStart"/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passu</w:t>
            </w:r>
            <w:proofErr w:type="spellEnd"/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) snosi Kreditor i MMPI).</w:t>
            </w:r>
          </w:p>
        </w:tc>
      </w:tr>
      <w:tr w:rsidR="00350409" w:rsidRPr="001E0C3A" w14:paraId="2F055381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349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Rok podnošenja poziva na plaćanje po jamstvu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6DE0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Poziv na plaćanje po izdanom jamstvu Kreditor može podnijeti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HBOR-u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</w:p>
          <w:p w14:paraId="0C2A19B9" w14:textId="77777777" w:rsidR="00350409" w:rsidRPr="00634DB8" w:rsidRDefault="00350409" w:rsidP="00350409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dan nakon dana dospijeća posljednje rate/anuiteta kredita po ugovoru o kreditu, ili</w:t>
            </w:r>
          </w:p>
          <w:p w14:paraId="46297E89" w14:textId="77777777" w:rsidR="00350409" w:rsidRPr="00634DB8" w:rsidRDefault="00350409" w:rsidP="00350409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danom otkaza ili raskida ugovora o kreditu, ili</w:t>
            </w:r>
          </w:p>
          <w:p w14:paraId="40E82DAE" w14:textId="77777777" w:rsidR="00350409" w:rsidRPr="00634DB8" w:rsidRDefault="00350409" w:rsidP="00350409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danom otvaranja stečaja nad Korisnikom kredita,</w:t>
            </w:r>
          </w:p>
          <w:p w14:paraId="262D32DF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ovisno o tome koji od navedenih događaja nastupi ranije, a najkasnije u roku od 120 dana od nastupa navedenih događaja.</w:t>
            </w:r>
          </w:p>
        </w:tc>
      </w:tr>
      <w:tr w:rsidR="00350409" w:rsidRPr="001E0C3A" w14:paraId="023FEA68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4211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Postupak podnošenja poziva na plaćanje po jamstvu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8DF3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Kreditor je obvezan </w:t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 xml:space="preserve">HBOR-u 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dostaviti u fizičkom pisanom obliku sljedeću dokumentaciju: </w:t>
            </w:r>
          </w:p>
          <w:p w14:paraId="61C25BD9" w14:textId="77777777" w:rsidR="00350409" w:rsidRPr="00634DB8" w:rsidRDefault="00350409" w:rsidP="0035040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poziv za plaćanje potpisan od osobe ovlaštene za zastupanje Kreditora (ili posebno ovlaštene za poduzimanje navedenog posla), kojim će izrijekom izjaviti da je istekao dan dospijeća posljednje rate/anuiteta kredita, i/ili da je ugovor o kreditu s Korisnikom kredita otkazan/raskinut i/ili da je otvoren stečaj nad Korisnikom kredita (ovisno o tome koji od navedenih događaja nastupi ranije) sa točnim datumom nastupa predmetne činjenice te će izrijekom izjaviti da iznos čije plaćanje se zahtijeva nije drukčije naplaćen, te će u pozivu na plaćanje biti naznačeno stanje duga na dan nastupa predmetnog događaja; </w:t>
            </w:r>
          </w:p>
          <w:p w14:paraId="784A72FD" w14:textId="77777777" w:rsidR="00350409" w:rsidRPr="00634DB8" w:rsidRDefault="00350409" w:rsidP="0035040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izvadak iz poslovnih knjiga Kreditora sa stanjem za isplatu dokumentiranih nenaplaćenih tražbina na ime glavnice za koju se jamči.</w:t>
            </w:r>
          </w:p>
          <w:p w14:paraId="5B2A565C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50409" w:rsidRPr="001E0C3A" w14:paraId="2A0049A7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493B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Rok za plaćanje po pozivu na plaćanje jamstva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5825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U roku od 60 dana od dana zaprimanja poziva na plaćanje po jamstvu.</w:t>
            </w:r>
          </w:p>
        </w:tc>
      </w:tr>
      <w:tr w:rsidR="00350409" w:rsidRPr="001E0C3A" w14:paraId="548C03CD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46B6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Plaćanje po jamstvu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930D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Isplatu po jamstvu vrši MMPI u korist računa Kreditora u kunama. Za kredite uz valutnu klauzulu isplata se vrši u kunama po srednjem tečaju Hrvatske narodne banke dan isplate.</w:t>
            </w:r>
          </w:p>
          <w:p w14:paraId="534D38E1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bookmarkEnd w:id="1"/>
      <w:tr w:rsidR="00350409" w:rsidRPr="001E0C3A" w14:paraId="5DEEFFD3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B72D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Namjena kredita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FBCE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Novi krediti za likvidnost za rješavanje problema izazvanih krizom kao posljedicom pandemije COVID-19.</w:t>
            </w:r>
          </w:p>
          <w:p w14:paraId="42B61276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50409" w:rsidRPr="001E0C3A" w14:paraId="23D5667C" w14:textId="77777777" w:rsidTr="008E36E1">
        <w:trPr>
          <w:trHeight w:val="384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1C04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Kreditori /korisnici jamstva 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A18B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Banke u Republici Hrvatskoj koje posluju u skladu sa Zakonom o kreditnim institucijama i HBOR.</w:t>
            </w:r>
          </w:p>
          <w:p w14:paraId="1A860E0A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Kreditori su dužni HBOR-u nedvojbeno dokazati da su prednosti iz jamstva u najvećoj mogućoj mjeri prenijeli na Korisnike kredita, na način da su za Korisnike kredita osigurale povoljnije uvjete kredita od uobičajenih (primjerice u obliku davanja većeg volumena kredita, preuzimanja rizičnijeg portfelja, sniženih kamatnih stopa i/ili nižih zahtjeva za instrumente osiguranja i sl.).</w:t>
            </w:r>
          </w:p>
        </w:tc>
      </w:tr>
      <w:tr w:rsidR="00350409" w:rsidRPr="001E0C3A" w14:paraId="3172F014" w14:textId="77777777" w:rsidTr="008E36E1">
        <w:trPr>
          <w:trHeight w:val="866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5626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Prihvatljivi Korisnici kredita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C4FF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Poduzetnici registrirani u R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epublici 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rvatskoj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, bez obzira na pravni oblik:</w:t>
            </w:r>
          </w:p>
          <w:p w14:paraId="496458A2" w14:textId="77777777" w:rsidR="00350409" w:rsidRPr="00634DB8" w:rsidRDefault="00350409" w:rsidP="0035040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koji su po veličini veliki poduzetnici (sukladno definiciji EU</w:t>
            </w:r>
            <w:r w:rsidRPr="00634DB8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29A90B35" w14:textId="77777777" w:rsidR="00350409" w:rsidRPr="00634DB8" w:rsidRDefault="00350409" w:rsidP="0035040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>koji nisu u teškoćama i/ili nisu bili u teškoćama na 31. 12. 2019.</w:t>
            </w:r>
            <w:r w:rsidRPr="00634DB8">
              <w:rPr>
                <w:rFonts w:ascii="Arial" w:eastAsia="Calibri" w:hAnsi="Arial" w:cs="Arial"/>
                <w:sz w:val="18"/>
                <w:szCs w:val="18"/>
                <w:vertAlign w:val="superscript"/>
                <w:lang w:eastAsia="zh-CN"/>
              </w:rPr>
              <w:footnoteReference w:id="2"/>
            </w: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551FA740" w14:textId="77777777" w:rsidR="00350409" w:rsidRPr="00634DB8" w:rsidRDefault="00350409" w:rsidP="0035040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su suočeni s manjkom likvidnosti jer je njihova poslovna aktivnost smanjena ili u cijelosti obustavljena zbog izvanrednih okolnosti prouzročenih pandemijom COVID-a 19, odnosno ako su suočeni s poteškoćama u poslovanju koje su posljedica te pandemije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</w:p>
          <w:p w14:paraId="3A602887" w14:textId="77777777" w:rsidR="00350409" w:rsidRPr="00634DB8" w:rsidRDefault="00350409" w:rsidP="0035040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koji su ostvarili značajan pad poslovnih prihoda u odgovarajućem razdoblju 2020. godine u odnosu na isto razdoblje 2019. godine; i/ili</w:t>
            </w:r>
          </w:p>
          <w:p w14:paraId="15FF9A90" w14:textId="77777777" w:rsidR="00350409" w:rsidRPr="00634DB8" w:rsidRDefault="00350409" w:rsidP="0035040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koji na temelju pokazatelja poslovanja u prvih šest mjeseci 2020. mogu  očekivati ostvarenje poslovnih prihoda za 2020. godinu na razini koja je značajno niža (najmanje 20%) od poslovnih prihoda ostvarenih u 2019. godini; i/ili</w:t>
            </w:r>
          </w:p>
          <w:p w14:paraId="09D93FC9" w14:textId="77777777" w:rsidR="00350409" w:rsidRPr="00634DB8" w:rsidRDefault="00350409" w:rsidP="0035040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koji su ostvarili fizički pad prometa i/ili prijevoza putnika i robe, rezervacija putovanja i turističkih posjeta i slično u 2020. godini u odnosu na isto razdoblje 2019. godine; i/ili</w:t>
            </w:r>
          </w:p>
          <w:p w14:paraId="6E70C1B5" w14:textId="77777777" w:rsidR="00350409" w:rsidRPr="00634DB8" w:rsidRDefault="00350409" w:rsidP="00350409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kojima su otkazani ili na duže vrijeme odgođeni (na najmanje godinu dana) ranije ugovoreni i planirani poslovi i/ili druge poslovne aktivnosti sukladno poslovnim planovima za 2020. godinu</w:t>
            </w:r>
          </w:p>
          <w:p w14:paraId="76C425BA" w14:textId="77777777" w:rsidR="00350409" w:rsidRPr="00634DB8" w:rsidRDefault="00350409" w:rsidP="0035040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koji ne podliježu neizvršenom nalogu za povrat potpore na temelju prethodne odluke Europske komisije kojom se potpora ocjenjuje nezakonitom i nespojivom s unutarnjim tržištem.</w:t>
            </w:r>
          </w:p>
          <w:p w14:paraId="5DE83CD7" w14:textId="77777777" w:rsidR="00350409" w:rsidRPr="00634DB8" w:rsidRDefault="00350409" w:rsidP="00350409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koji nisu u 2020. godini isplatili dobit/dividendu iz prethodnih razdoblja, osim ako se ne radi o zakonskoj obvezi.</w:t>
            </w:r>
          </w:p>
        </w:tc>
      </w:tr>
      <w:tr w:rsidR="00350409" w:rsidRPr="001E0C3A" w14:paraId="7F541163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F4B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Prihvatljiva djelatnost Korisnika kredita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936D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Subjekt kojemu je kao osnovna djelatnost registrirana neka od sljedećih djelatnosti (NKD 2007.):</w:t>
            </w:r>
          </w:p>
          <w:p w14:paraId="6F6A7265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42.91 Gradnja vodnih građevina</w:t>
            </w:r>
          </w:p>
          <w:p w14:paraId="61B37690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49.10 Željeznički prijevoz putnika, međugradski</w:t>
            </w:r>
          </w:p>
          <w:p w14:paraId="3CD8657A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49.20 Željeznički prijevoz robe</w:t>
            </w:r>
          </w:p>
          <w:p w14:paraId="54B9DA20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49.31 Gradski i prigradski kopneni prijevoz putnika </w:t>
            </w:r>
          </w:p>
          <w:p w14:paraId="78F1F189" w14:textId="77777777" w:rsidR="00350409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49.39 Ostali kopneni prijevoz (ne obuhvaća taksi službu)</w:t>
            </w:r>
          </w:p>
          <w:p w14:paraId="74CC14E5" w14:textId="77777777" w:rsidR="00EE01D7" w:rsidRPr="00634DB8" w:rsidRDefault="00EE01D7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49.41 </w:t>
            </w:r>
            <w:r w:rsidRPr="00EE01D7">
              <w:rPr>
                <w:rFonts w:ascii="Arial" w:hAnsi="Arial" w:cs="Arial"/>
                <w:sz w:val="18"/>
                <w:szCs w:val="18"/>
                <w:lang w:eastAsia="zh-CN"/>
              </w:rPr>
              <w:t>Cestovni prijevoz robe</w:t>
            </w:r>
          </w:p>
          <w:p w14:paraId="544A8668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50.10 Pomorski i obalni prijevoz putnika</w:t>
            </w:r>
          </w:p>
          <w:p w14:paraId="4A132F4E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50.30 Prijevoz putnika unutarnjim vodnim putovima</w:t>
            </w:r>
          </w:p>
          <w:p w14:paraId="5D0A8FE9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50.40 Prijevoz robe unutarnjim vodnim putovima</w:t>
            </w:r>
          </w:p>
          <w:p w14:paraId="793FCFE8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51.10 Zračni prijevoz putnika</w:t>
            </w:r>
          </w:p>
          <w:p w14:paraId="2017F790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51.21 Zračni prijevoz robe</w:t>
            </w:r>
          </w:p>
          <w:p w14:paraId="52810197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50.20 Pomorski i obalni prijevoz robe</w:t>
            </w:r>
          </w:p>
          <w:p w14:paraId="3A26D320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52.10 Skladištenje robe</w:t>
            </w:r>
          </w:p>
          <w:p w14:paraId="7E7E4139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52.2 Uslužne djelatnosti u prometu</w:t>
            </w:r>
          </w:p>
          <w:p w14:paraId="4C99164D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77.34 Iznajmljivanje i davanje u zakup (leasing) plovnih prijevoznih sredstava</w:t>
            </w:r>
          </w:p>
          <w:p w14:paraId="27F965B6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79.11 Djelatnost putničkih agencija (povezane s nautičkim prometom)</w:t>
            </w:r>
          </w:p>
          <w:p w14:paraId="25BFB383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79.12 Djelatnost organizatora putovanja (turoperatori) ako su povezane s nautičkim prometom</w:t>
            </w:r>
          </w:p>
          <w:p w14:paraId="46566B80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93.29 Luke nautičkog turizma</w:t>
            </w:r>
          </w:p>
          <w:p w14:paraId="7C66EF34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3F398B3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Program se primjenjuje i na djelatnosti:</w:t>
            </w:r>
          </w:p>
          <w:p w14:paraId="0335D9C8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08.1 Vađenje kamena, pijeska i gline</w:t>
            </w:r>
          </w:p>
          <w:p w14:paraId="43F07D76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30.11 Gradnja brodova i plutajućih objekata</w:t>
            </w:r>
          </w:p>
          <w:p w14:paraId="7C09ED5C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33.15 Popravak i održavanje brodova i čamaca</w:t>
            </w:r>
          </w:p>
          <w:p w14:paraId="23E3DCEF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43.1 Uklanjanje građevina i pripremni radovi na gradilištu</w:t>
            </w:r>
          </w:p>
          <w:p w14:paraId="779F6FB3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3A8D0CAE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koje se odnose na gradnju, tehničko unapređenje, prometno-tehničku modernizaciju vodnih putova, tehničko održavanje i osposobljavanje vodnih putova i objekata sigurnosti plovidbe onesposobljenih zbog elementarnih nepogoda. </w:t>
            </w:r>
          </w:p>
          <w:p w14:paraId="502C435B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D20D339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Nisu prihvatljive djelatnosti poljoprivrede, ribarstva i akvakulture. </w:t>
            </w:r>
          </w:p>
        </w:tc>
      </w:tr>
      <w:tr w:rsidR="00350409" w:rsidRPr="001E0C3A" w14:paraId="6AF5D850" w14:textId="77777777" w:rsidTr="008E36E1"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0171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Instrumenti osiguranja kredita</w:t>
            </w:r>
          </w:p>
        </w:tc>
        <w:tc>
          <w:tcPr>
            <w:tcW w:w="6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3D44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HBOR neće od Kreditora zahtijevati pribavljanje posebnih instrumenata osiguranja osim onih određenih odlukom Kreditora, odnosno onih koje će Kreditor ugovoriti po ugovoru o kreditu. </w:t>
            </w:r>
          </w:p>
          <w:p w14:paraId="117B4527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U regresnoj naplati priljevi iz svih instrumenata osiguranja ugovorenih po ugovoru o kreditu, će se dijeliti između Republike Hrvatske i Kreditora pro rata sukladno razini pokrića jamstvo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(najviše 90:10).</w:t>
            </w:r>
          </w:p>
          <w:p w14:paraId="4118AEC7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50409" w:rsidRPr="001E0C3A" w14:paraId="7F2C0CB4" w14:textId="77777777" w:rsidTr="008E36E1"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74F6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Proces izdavanja jamstva</w:t>
            </w:r>
          </w:p>
        </w:tc>
        <w:tc>
          <w:tcPr>
            <w:tcW w:w="6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03F7" w14:textId="77777777" w:rsidR="00350409" w:rsidRPr="00634DB8" w:rsidRDefault="00350409" w:rsidP="00350409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Korisnik kredita podnosi Kreditoru zahtjev za odobrenje kredita uz korištenje jamstva HBOR-a</w:t>
            </w:r>
          </w:p>
          <w:p w14:paraId="4FA10BA6" w14:textId="77777777" w:rsidR="00350409" w:rsidRPr="00634DB8" w:rsidRDefault="00350409" w:rsidP="00350409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Kreditor dostavlja HBOR-u Odluku o odobrenju kredita, zahtjev za jamstvo i propisanu dokumentaciju </w:t>
            </w:r>
          </w:p>
          <w:p w14:paraId="7048AEE0" w14:textId="77777777" w:rsidR="00350409" w:rsidRPr="00634DB8" w:rsidRDefault="00350409" w:rsidP="00350409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Stručne službe HBOR-a obrađuju zahtjev za jamstvo</w:t>
            </w:r>
          </w:p>
          <w:p w14:paraId="2F69C3D5" w14:textId="77777777" w:rsidR="00350409" w:rsidRPr="00634DB8" w:rsidRDefault="00350409" w:rsidP="00350409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HBOR i MMPI donose odluku o jamstvu</w:t>
            </w:r>
          </w:p>
          <w:p w14:paraId="078A90FC" w14:textId="77777777" w:rsidR="00350409" w:rsidRPr="00634DB8" w:rsidRDefault="00350409" w:rsidP="00350409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HBOR obavještava Kreditora o odluci o jamstvu</w:t>
            </w:r>
          </w:p>
          <w:p w14:paraId="69E8B56A" w14:textId="77777777" w:rsidR="00350409" w:rsidRPr="00634DB8" w:rsidRDefault="00350409" w:rsidP="00350409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U slučaju donošenja pozitivne odluke o jamstvu:</w:t>
            </w:r>
          </w:p>
          <w:p w14:paraId="1F84813F" w14:textId="77777777" w:rsidR="00DE60B3" w:rsidRDefault="00350409" w:rsidP="0035040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Korisnik kredita zaključuje ugovor o kreditu s Kreditorom te provodi instrumente osiguranja povrata kredita</w:t>
            </w:r>
          </w:p>
          <w:p w14:paraId="395F0A48" w14:textId="77777777" w:rsidR="00350409" w:rsidRPr="00634DB8" w:rsidRDefault="00DE60B3" w:rsidP="0035040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Korisnik kredita dostavlja HBOR-u presliku ugovora o kreditu</w:t>
            </w:r>
            <w:r w:rsidR="00350409"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E1A2F12" w14:textId="77777777" w:rsidR="00350409" w:rsidRPr="00634DB8" w:rsidRDefault="00350409" w:rsidP="0035040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HBOR zaključuje ugovor o jamstvu s Kreditorom i Korisnikom kredita</w:t>
            </w:r>
          </w:p>
          <w:p w14:paraId="1D8C80E2" w14:textId="77777777" w:rsidR="00350409" w:rsidRPr="00634DB8" w:rsidRDefault="00350409" w:rsidP="0035040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Korisniku kredita se dostavlja račun za naknadu za jamstvo. Naknada za izdavanje jamstva naplaćuje se sukladno Programu</w:t>
            </w:r>
          </w:p>
          <w:p w14:paraId="3239328C" w14:textId="77777777" w:rsidR="00350409" w:rsidRPr="00634DB8" w:rsidRDefault="00350409" w:rsidP="0035040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Korisnik kredita može platiti naknadu za jamstvo iz prvog korištenja kredita, u protivnom </w:t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 xml:space="preserve">jamstvo stupa na snagu tek nakon što Korisnik kredita plati naknadu </w:t>
            </w:r>
          </w:p>
          <w:p w14:paraId="5754F388" w14:textId="77777777" w:rsidR="00350409" w:rsidRPr="00634DB8" w:rsidRDefault="00350409" w:rsidP="0035040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HBOR obavještava Kreditora da je od strane Korisnika kredita plaćena naknada za jamstvo</w:t>
            </w:r>
          </w:p>
          <w:p w14:paraId="710F9DF7" w14:textId="77777777" w:rsidR="00350409" w:rsidRPr="00634DB8" w:rsidRDefault="00350409" w:rsidP="00350409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Kreditor plasira sredstva kredita.</w:t>
            </w:r>
          </w:p>
        </w:tc>
      </w:tr>
      <w:tr w:rsidR="00350409" w:rsidRPr="001E0C3A" w14:paraId="0F3F2389" w14:textId="77777777" w:rsidTr="008E36E1"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5EE2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Regresna naplata po jamstvu</w:t>
            </w:r>
          </w:p>
        </w:tc>
        <w:tc>
          <w:tcPr>
            <w:tcW w:w="6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E9EE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Regresnu naplatu vodi Kreditor za cijelu tražbinu (svoju i tražbinu Republike Hrvatske) koja će se dijeliti između Republike Hrvatske i Kreditora pro rata sukladno razini pokrića jamstvom (najviše 90:10)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350409" w:rsidRPr="001E0C3A" w14:paraId="2330127E" w14:textId="77777777" w:rsidTr="008E36E1"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EA9B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F9C1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50409" w:rsidRPr="001E0C3A" w14:paraId="464FD4DF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3A27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9D7F" w14:textId="77777777" w:rsidR="00350409" w:rsidRPr="00634DB8" w:rsidRDefault="00350409" w:rsidP="008E36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Posebne karakteristike svake od mjera Programa</w:t>
            </w:r>
          </w:p>
        </w:tc>
      </w:tr>
      <w:tr w:rsidR="00350409" w:rsidRPr="001E0C3A" w14:paraId="3C6DB6D1" w14:textId="77777777" w:rsidTr="008E36E1">
        <w:trPr>
          <w:trHeight w:val="450"/>
        </w:trPr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50A4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Mjera A, </w:t>
            </w:r>
            <w:r w:rsidRPr="003C16FA">
              <w:rPr>
                <w:rFonts w:ascii="Arial" w:hAnsi="Arial" w:cs="Arial"/>
                <w:b/>
                <w:bCs/>
                <w:sz w:val="18"/>
                <w:szCs w:val="18"/>
              </w:rPr>
              <w:t>iz odjeljka „3.1. Ograničeni iznosi potpore“</w:t>
            </w: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976B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Ukupan iznos jamstava iznosi  200.000.000,00 HRK (HBOR i HAMAG</w:t>
            </w:r>
            <w:r w:rsidRPr="003C16F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-</w:t>
            </w: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BICRO) </w:t>
            </w:r>
          </w:p>
        </w:tc>
      </w:tr>
      <w:tr w:rsidR="00350409" w:rsidRPr="001E0C3A" w14:paraId="5D330456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4CB0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Iznos jamstva po Korisniku kredita 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D0D5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Na temelju dostavljenog zahtjeva za sredstvima likvidnosti, sukladno potrebama Korisnika kredita. Najveći iznos jamstva može iznositi 800.000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,00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EUR. Za kredite u kunama za izračun u EUR-ima koristi se srednji tečaj Hrvatske narodne banke na dan donošenja odluke o odobrenju kredita.</w:t>
            </w:r>
          </w:p>
          <w:p w14:paraId="761D4D7F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50409" w:rsidRPr="001E0C3A" w14:paraId="22202C4E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332F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Valuta kredita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40AF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Krediti u kunama, te krediti uz valutnu klauzulu u eurima.</w:t>
            </w:r>
          </w:p>
        </w:tc>
      </w:tr>
      <w:tr w:rsidR="00350409" w:rsidRPr="001E0C3A" w14:paraId="40BC22D4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5EB0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Ročnost kredita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622C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>Najmanje 1 godina, a najdulje 5 godina. Računa se od dana zaključenja ugovora o kreditu do krajnjeg roka otplate kredita.</w:t>
            </w:r>
          </w:p>
        </w:tc>
      </w:tr>
      <w:tr w:rsidR="00350409" w:rsidRPr="001E0C3A" w14:paraId="606FC65C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E7C6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Kamatna stopa na kredit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58B8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Određuje ju Kreditor, može iznositi najviše 2% </w:t>
            </w:r>
            <w:proofErr w:type="spellStart"/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>p.a</w:t>
            </w:r>
            <w:proofErr w:type="spellEnd"/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>.</w:t>
            </w:r>
          </w:p>
          <w:p w14:paraId="771050C0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U slučaju varijabilne kamatne stope, ista u trenutku odobrenja kredita ne može iznositi više od 2%, odnosno Kreditor ne smije tijekom otplate kredita povećavati maržu na ugovorenu referentnu stopu.</w:t>
            </w:r>
          </w:p>
          <w:p w14:paraId="47F6C1A6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ind w:left="32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350409" w:rsidRPr="001E0C3A" w14:paraId="7D96643F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9515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Naknada za jamstvo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226A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0,2% na nominalni (neto) iznos jamstva, neovisno o trajanju jamstva i visini pokrića jamstvom. </w:t>
            </w:r>
          </w:p>
          <w:p w14:paraId="452A29E7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ind w:left="321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350409" w:rsidRPr="001E0C3A" w14:paraId="44090BC3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C338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Naplata naknade za jamstvo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F86A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Obračunava ju HBOR i naplaćuje u kunama po srednjem tečaju Hrvatske narodne banke na dan izdavanja računa, od Korisnika kredita jednokratno za cijelo razdoblje trajanja jamstva. </w:t>
            </w:r>
          </w:p>
          <w:p w14:paraId="184FAF69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Naknada može biti plaćena iz kredita, prilikom prvog korištenja kredita, u protivnom </w:t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 xml:space="preserve">jamstvo stupa na snagu tek nakon što 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Korisnik kredita</w:t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plati naknadu za jamstvo</w:t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50409" w:rsidRPr="001E0C3A" w14:paraId="4274DE11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0FA8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Kombiniranje mjere A s ostalim mjerama iz Privremenog okvira 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7561" w14:textId="77777777" w:rsidR="00350409" w:rsidRPr="00917A92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917A9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Privremene mjere potpore obuhvaćene ovim Programom mogu se zbrajati s potporom na temelju uredbi o de </w:t>
            </w:r>
            <w:proofErr w:type="spellStart"/>
            <w:r w:rsidRPr="00917A92">
              <w:rPr>
                <w:rFonts w:ascii="Arial" w:eastAsia="Calibri" w:hAnsi="Arial" w:cs="Arial"/>
                <w:sz w:val="18"/>
                <w:szCs w:val="18"/>
                <w:lang w:eastAsia="zh-CN"/>
              </w:rPr>
              <w:t>minimis</w:t>
            </w:r>
            <w:proofErr w:type="spellEnd"/>
            <w:r w:rsidRPr="00917A9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potporama ili s potporama na temelju uredbi o skupnom izuzeću ako se poštuju odredbe i pravila o zbrajanju iz tih uredbi.</w:t>
            </w:r>
          </w:p>
          <w:p w14:paraId="63D1B971" w14:textId="77777777" w:rsidR="00350409" w:rsidRPr="00917A92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7FC40E85" w14:textId="77777777" w:rsidR="00350409" w:rsidRPr="00917A92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917A92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Jamstva iz odjeljka 3.1. Privremenog okvira (Mjera A) mogu se zbrajati s potporama dodijeljenima temeljem ostalih odjeljaka Privremenog okvira, odobrenim od strane EK, pod uvjetom da se poštuju odredbe u predmetnim odjeljcima.  </w:t>
            </w:r>
          </w:p>
          <w:p w14:paraId="1F6E08CB" w14:textId="77777777" w:rsidR="00350409" w:rsidRPr="00917A92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5B540C9E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917A92">
              <w:rPr>
                <w:rFonts w:ascii="Arial" w:eastAsia="Calibri" w:hAnsi="Arial" w:cs="Arial"/>
                <w:sz w:val="18"/>
                <w:szCs w:val="18"/>
                <w:lang w:eastAsia="zh-CN"/>
              </w:rPr>
              <w:t>Ukoliko korisnik primi potporu u više navrata ili u više oblika temeljem Mjere A ili potporu temeljem ostalih mjera koje je odobrila EK pod odjeljkom 3.1. Privremenog okvira, ukupan dopušteni maksimalni iznos potpore po poduzetniku ne smije prijeći iznose navedene u točki 22. (a) Privremenog okvira</w:t>
            </w: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350409" w:rsidRPr="001E0C3A" w14:paraId="37B2B5CD" w14:textId="77777777" w:rsidTr="008E36E1">
        <w:tc>
          <w:tcPr>
            <w:tcW w:w="27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15C2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Mjera B, iz odjeljka „3.2.</w:t>
            </w:r>
            <w:r w:rsidRPr="003C16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Potpora u obliku jamstava za zajmove“</w:t>
            </w:r>
          </w:p>
        </w:tc>
        <w:tc>
          <w:tcPr>
            <w:tcW w:w="6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7650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Ukupan iznos jamstava iznosi 400.000.000,00 HRK (HBOR i HAMAG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-</w:t>
            </w:r>
            <w:r w:rsidRPr="00634DB8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 xml:space="preserve">BICRO). </w:t>
            </w:r>
          </w:p>
        </w:tc>
      </w:tr>
      <w:tr w:rsidR="00350409" w:rsidRPr="001E0C3A" w14:paraId="2B7435BD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5209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bookmarkStart w:id="2" w:name="_Hlk36070156"/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Iznos jamstva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i kredita </w:t>
            </w: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po Korisniku kredita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17EF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>Za kredite s rokom dospijeća do 31. 12. 2020. i nakon tog datuma, najmanji iznos jamstva mora biti veći od 800.000,00 EUR (z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a kredite u kunama za izračun  koristi se srednji tečaj Hrvatske narodne banke na dan donošenja odluke o odobrenju kredita)</w:t>
            </w: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, a najveći iznos </w:t>
            </w:r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>kredita</w:t>
            </w: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po Korisniku kredita ne smije prijeći: </w:t>
            </w:r>
          </w:p>
          <w:p w14:paraId="1FF7FE8C" w14:textId="77777777" w:rsidR="00350409" w:rsidRPr="00634DB8" w:rsidRDefault="00350409" w:rsidP="00350409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dvostruke godišnje rashode Korisnika kredita za plaće zaposlenika (uključujući doprinose za socijalno osiguranje i trošak osoblja zaposlenog na lokaciji poduzetnika, ali formalno na platnoj listi </w:t>
            </w:r>
            <w:proofErr w:type="spellStart"/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podugovaratelja</w:t>
            </w:r>
            <w:proofErr w:type="spellEnd"/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) za 2019. ili za zadnju dostupnu godinu. U slučaju poduzetnika osnovanih 1. siječnja 2019. ili nakon tog datuma, najviši iznos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kredita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ne smije biti veći 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od procijenjenih godišnjih rashoda za plaće za prve dvije godine poslovanja ili</w:t>
            </w:r>
          </w:p>
          <w:p w14:paraId="07ED08B8" w14:textId="77777777" w:rsidR="00350409" w:rsidRPr="00634DB8" w:rsidRDefault="00350409" w:rsidP="00350409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25% ukupnog prometa korisnika u 2019. godini.</w:t>
            </w:r>
          </w:p>
        </w:tc>
      </w:tr>
      <w:bookmarkEnd w:id="2"/>
      <w:tr w:rsidR="00350409" w:rsidRPr="001E0C3A" w14:paraId="3FBB3747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64A9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6870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50409" w:rsidRPr="001E0C3A" w14:paraId="516E7D8B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672D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Valuta kredita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EEA8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Krediti u kunama, te krediti uz valutnu klauzulu u eurima</w:t>
            </w:r>
            <w:r w:rsidRPr="00634DB8" w:rsidDel="009F381A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350409" w:rsidRPr="001E0C3A" w14:paraId="3C5FB5C8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2786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Ročnost kredita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F3FB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Najdulje 6 godina. R</w:t>
            </w: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>ačuna se kao razdoblje od dana zaključenja ugovora o kreditu do krajnjeg roka otplate kredita.</w:t>
            </w:r>
          </w:p>
        </w:tc>
      </w:tr>
      <w:tr w:rsidR="00350409" w:rsidRPr="001E0C3A" w14:paraId="4CA82B6A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D8C14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AD9C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50409" w:rsidRPr="001E0C3A" w14:paraId="184AF0C4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5128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Kamatna stopa na kredit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4898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Određuje ju Kreditor, može iznositi najviše 2% </w:t>
            </w:r>
            <w:proofErr w:type="spellStart"/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>p.a</w:t>
            </w:r>
            <w:proofErr w:type="spellEnd"/>
            <w:r w:rsidRPr="00634DB8">
              <w:rPr>
                <w:rFonts w:ascii="Arial" w:eastAsia="Calibri" w:hAnsi="Arial" w:cs="Arial"/>
                <w:sz w:val="18"/>
                <w:szCs w:val="18"/>
                <w:lang w:eastAsia="zh-CN"/>
              </w:rPr>
              <w:t>.</w:t>
            </w:r>
          </w:p>
          <w:p w14:paraId="5651B99F" w14:textId="77777777" w:rsidR="00350409" w:rsidRPr="00634DB8" w:rsidDel="009F381A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U slučaju varijabilne kamatne stope, ista u trenutku odobrenja kredita ne može iznositi više od 2%, odnosno Kreditor ne smije tijekom otplate kredita povećavati maržu na ugovorenu referentnu stopu.</w:t>
            </w:r>
          </w:p>
        </w:tc>
      </w:tr>
      <w:tr w:rsidR="00350409" w:rsidRPr="001E0C3A" w14:paraId="3CF12EEE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472E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Naknada za jamstvo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5720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Obračunava se na nominalni (neto) iznos jamstva, za prvu godinu trajanja jamstva 50 baznih bodova, od druge do treće godine 100 baznih bodova i od četvrte do šeste godine 200 baznih bodova.</w:t>
            </w:r>
            <w:r w:rsidR="00CD670D">
              <w:rPr>
                <w:rFonts w:ascii="Arial" w:hAnsi="Arial" w:cs="Arial"/>
                <w:sz w:val="18"/>
                <w:szCs w:val="18"/>
                <w:lang w:eastAsia="zh-CN"/>
              </w:rPr>
              <w:t xml:space="preserve"> Naknada se obračunava </w:t>
            </w:r>
            <w:r w:rsidR="00CD670D" w:rsidRPr="002A743F">
              <w:rPr>
                <w:rFonts w:ascii="Arial" w:hAnsi="Arial" w:cs="Arial"/>
                <w:sz w:val="18"/>
                <w:szCs w:val="18"/>
                <w:lang w:eastAsia="zh-CN"/>
              </w:rPr>
              <w:t>na stanje neto jamstva sukladno otplatnom planu kredita uz metodu 30/360 dana temeljem indikativnog otplatnog plana kredita.</w:t>
            </w:r>
          </w:p>
        </w:tc>
      </w:tr>
      <w:tr w:rsidR="00350409" w:rsidRPr="001E0C3A" w14:paraId="5594F4A7" w14:textId="77777777" w:rsidTr="008E36E1"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452B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Naplata naknade za jamstvo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3AE4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Obračunava ju HBOR i naplaćuje u kunama po srednjem tečaju HNB-a na dan izdavanja računa od Korisnika kredita jednokratno za cijelo razdoblje trajanja jamstva.</w:t>
            </w:r>
          </w:p>
          <w:p w14:paraId="3394267A" w14:textId="77777777" w:rsidR="00350409" w:rsidRPr="00634DB8" w:rsidRDefault="00350409" w:rsidP="008E36E1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Naknada može biti plaćena iz kredita, prilikom prvog korištenja kredita, u protivnom </w:t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 xml:space="preserve">jamstvo stupa na snagu tek nakon što 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>Korisnik kredita plati naknadu za jamstvo</w:t>
            </w:r>
            <w:r w:rsidRPr="003C16FA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  <w:r w:rsidRPr="00634DB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50409" w:rsidRPr="001E0C3A" w14:paraId="54A9E10E" w14:textId="77777777" w:rsidTr="008E36E1"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9ECE" w14:textId="77777777" w:rsidR="00350409" w:rsidRPr="00634DB8" w:rsidRDefault="00350409" w:rsidP="008E36E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634DB8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Kombiniranje mjere B s ostalim mjerama iz Privremenog okvira </w:t>
            </w:r>
          </w:p>
        </w:tc>
        <w:tc>
          <w:tcPr>
            <w:tcW w:w="6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3381" w14:textId="77777777" w:rsidR="00350409" w:rsidRPr="00917A92" w:rsidRDefault="00350409" w:rsidP="008E36E1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17A92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Privremene mjere potpore obuhvaćene ovim Programom mogu se zbrajati s potporom na temelju uredbi o de </w:t>
            </w:r>
            <w:proofErr w:type="spellStart"/>
            <w:r w:rsidRPr="00917A92">
              <w:rPr>
                <w:rFonts w:ascii="Arial" w:hAnsi="Arial" w:cs="Arial"/>
                <w:sz w:val="18"/>
                <w:szCs w:val="18"/>
                <w:lang w:eastAsia="zh-CN"/>
              </w:rPr>
              <w:t>minimis</w:t>
            </w:r>
            <w:proofErr w:type="spellEnd"/>
            <w:r w:rsidRPr="00917A9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potporama ili s potporama na temelju uredbi o skupnom izuzeću  ako se poštuju odredbe i pravila o zbrajanju iz tih uredbi.</w:t>
            </w:r>
          </w:p>
          <w:p w14:paraId="0163C092" w14:textId="77777777" w:rsidR="00350409" w:rsidRPr="00917A92" w:rsidRDefault="00350409" w:rsidP="008E36E1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17A92">
              <w:rPr>
                <w:rFonts w:ascii="Arial" w:hAnsi="Arial" w:cs="Arial"/>
                <w:sz w:val="18"/>
                <w:szCs w:val="18"/>
                <w:lang w:eastAsia="zh-CN"/>
              </w:rPr>
              <w:t>Jamstva iz odjeljka 3.2. Privremenog okvira (Mjera B) mogu se zbrajati s potporama dodijeljenima temeljem ostalih odjeljaka Privremenog okvira, odobrenim od strane EK, pod uvjetom da se poštuju odredbe u predmetnim odjeljcima</w:t>
            </w:r>
          </w:p>
          <w:p w14:paraId="6ADF594F" w14:textId="77777777" w:rsidR="00350409" w:rsidRPr="00917A92" w:rsidRDefault="00350409" w:rsidP="008E36E1">
            <w:p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17A92">
              <w:rPr>
                <w:rFonts w:ascii="Arial" w:hAnsi="Arial" w:cs="Arial"/>
                <w:sz w:val="18"/>
                <w:szCs w:val="18"/>
                <w:lang w:eastAsia="zh-CN"/>
              </w:rPr>
              <w:t xml:space="preserve">Jamstvo po Mjeri B ne može biti dodijeljeno za kredite po kojima je već dodijeljena potpora u obliku subvencioniranih kamatnih stopa (odjeljak 3.3. Privremenog okvira). Korisnik kredita može koristiti potpore u obliku jamstva po Mjeri B u slučaju da je primio potporu u obliku subvencioniranih kamatnih stopa (odjeljak 3.3. Privremenog okvira) po drugim kreditima, pod uvjetom da ukupan iznos kredita po obje mjere ne prelazi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najveći iznos kredita, odnosno </w:t>
            </w:r>
            <w:r w:rsidRPr="00917A92">
              <w:rPr>
                <w:rFonts w:ascii="Arial" w:hAnsi="Arial" w:cs="Arial"/>
                <w:sz w:val="18"/>
                <w:szCs w:val="18"/>
                <w:lang w:eastAsia="zh-CN"/>
              </w:rPr>
              <w:t>iznos definiran točkom 25. (d) ili točkom 27. (d) Privremenog okvira – COVID -19.</w:t>
            </w:r>
          </w:p>
          <w:p w14:paraId="1572155A" w14:textId="77777777" w:rsidR="00350409" w:rsidRPr="00634DB8" w:rsidRDefault="00350409" w:rsidP="008E36E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D4D66">
              <w:rPr>
                <w:rFonts w:ascii="Arial" w:hAnsi="Arial" w:cs="Arial"/>
                <w:sz w:val="18"/>
                <w:szCs w:val="18"/>
                <w:lang w:eastAsia="zh-CN"/>
              </w:rPr>
              <w:t>Korisnik kredita može istovremeno koristiti više mjera potpore temeljem Programa usklađenih s odjeljkom 3.2. Privremenog okvira, pod uvjetom da ukupan iznos kredita korisnika ne prelazi maksimalne dopuštene iznose navede u točki 25.(d) Privremenog okvira.</w:t>
            </w:r>
          </w:p>
        </w:tc>
      </w:tr>
    </w:tbl>
    <w:p w14:paraId="142BBB3E" w14:textId="77777777" w:rsidR="006E13FC" w:rsidRDefault="006E13FC"/>
    <w:sectPr w:rsidR="006E13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2204" w14:textId="77777777" w:rsidR="003741A1" w:rsidRDefault="003741A1" w:rsidP="00350409">
      <w:r>
        <w:separator/>
      </w:r>
    </w:p>
  </w:endnote>
  <w:endnote w:type="continuationSeparator" w:id="0">
    <w:p w14:paraId="555183D6" w14:textId="77777777" w:rsidR="003741A1" w:rsidRDefault="003741A1" w:rsidP="0035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56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90524" w14:textId="77777777" w:rsidR="005E0D01" w:rsidRDefault="005E0D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7304A" w14:textId="77777777" w:rsidR="005E0D01" w:rsidRDefault="005E0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F172" w14:textId="77777777" w:rsidR="003741A1" w:rsidRDefault="003741A1" w:rsidP="00350409">
      <w:r>
        <w:separator/>
      </w:r>
    </w:p>
  </w:footnote>
  <w:footnote w:type="continuationSeparator" w:id="0">
    <w:p w14:paraId="77BE9E98" w14:textId="77777777" w:rsidR="003741A1" w:rsidRDefault="003741A1" w:rsidP="00350409">
      <w:r>
        <w:continuationSeparator/>
      </w:r>
    </w:p>
  </w:footnote>
  <w:footnote w:id="1">
    <w:p w14:paraId="79D87AC8" w14:textId="77777777" w:rsidR="00350409" w:rsidRPr="00A94E25" w:rsidRDefault="00350409" w:rsidP="00350409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94E25">
        <w:rPr>
          <w:rStyle w:val="FootnoteReference"/>
          <w:rFonts w:ascii="Arial" w:hAnsi="Arial" w:cs="Arial"/>
          <w:sz w:val="16"/>
          <w:szCs w:val="16"/>
        </w:rPr>
        <w:footnoteRef/>
      </w:r>
      <w:r w:rsidRPr="00A94E25">
        <w:rPr>
          <w:rFonts w:ascii="Arial" w:hAnsi="Arial" w:cs="Arial"/>
          <w:sz w:val="16"/>
          <w:szCs w:val="16"/>
        </w:rPr>
        <w:t xml:space="preserve"> Veličina poduzetnika (mikro, mali, srednji ili veliki) sukladno definiciji EU:</w:t>
      </w:r>
    </w:p>
    <w:p w14:paraId="00EB49F7" w14:textId="77777777" w:rsidR="00350409" w:rsidRPr="00A94E25" w:rsidRDefault="00350409" w:rsidP="00350409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94E25">
        <w:rPr>
          <w:rFonts w:ascii="Arial" w:hAnsi="Arial" w:cs="Arial"/>
          <w:sz w:val="16"/>
          <w:szCs w:val="16"/>
        </w:rPr>
        <w:t>mikro poduzetnik ima manje od 10 zaposlenih te godišnji promet (ukupni prihod) i/ili godišnju bilancu do 2 milijuna EUR-a;</w:t>
      </w:r>
    </w:p>
    <w:p w14:paraId="5D812D38" w14:textId="77777777" w:rsidR="00350409" w:rsidRPr="00A94E25" w:rsidRDefault="00350409" w:rsidP="00350409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94E25">
        <w:rPr>
          <w:rFonts w:ascii="Arial" w:hAnsi="Arial" w:cs="Arial"/>
          <w:sz w:val="16"/>
          <w:szCs w:val="16"/>
        </w:rPr>
        <w:t>mali poduzetnik ima manje od 50 zaposlenih te godišnji promet (ukupni prihod) i/ili godišnju bilancu do 10 milijuna EUR-a;</w:t>
      </w:r>
    </w:p>
    <w:p w14:paraId="3FB0A8CB" w14:textId="77777777" w:rsidR="00350409" w:rsidRPr="00A94E25" w:rsidRDefault="00350409" w:rsidP="00350409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94E25">
        <w:rPr>
          <w:rFonts w:ascii="Arial" w:hAnsi="Arial" w:cs="Arial"/>
          <w:sz w:val="16"/>
          <w:szCs w:val="16"/>
        </w:rPr>
        <w:t>srednji poduzetnik ima manje od 250 zaposlenih te godišnji promet (ukupni prihod) 50 milijuna EUR i/ili godišnju bilancu do 43 milijuna EUR-a.</w:t>
      </w:r>
    </w:p>
  </w:footnote>
  <w:footnote w:id="2">
    <w:p w14:paraId="774844D1" w14:textId="77777777" w:rsidR="00350409" w:rsidRPr="00812735" w:rsidRDefault="00350409" w:rsidP="00350409">
      <w:pPr>
        <w:pStyle w:val="FootnoteText"/>
        <w:rPr>
          <w:rFonts w:cs="Arial"/>
          <w:sz w:val="16"/>
          <w:szCs w:val="16"/>
        </w:rPr>
      </w:pPr>
      <w:r w:rsidRPr="00A94E25">
        <w:rPr>
          <w:rStyle w:val="FootnoteReference"/>
          <w:rFonts w:ascii="Arial" w:hAnsi="Arial" w:cs="Arial"/>
          <w:sz w:val="16"/>
          <w:szCs w:val="16"/>
        </w:rPr>
        <w:footnoteRef/>
      </w:r>
      <w:r w:rsidRPr="00A94E25">
        <w:rPr>
          <w:rFonts w:ascii="Arial" w:hAnsi="Arial" w:cs="Arial"/>
          <w:sz w:val="16"/>
          <w:szCs w:val="16"/>
        </w:rPr>
        <w:t xml:space="preserve"> Prema definiciji poduzetnika u teškoćama sukladno Uredbi Komisije br. 651/2014.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8A0"/>
    <w:multiLevelType w:val="hybridMultilevel"/>
    <w:tmpl w:val="7A581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53DE"/>
    <w:multiLevelType w:val="hybridMultilevel"/>
    <w:tmpl w:val="657A53F2"/>
    <w:lvl w:ilvl="0" w:tplc="BD6A3480">
      <w:start w:val="800"/>
      <w:numFmt w:val="bullet"/>
      <w:lvlText w:val="-"/>
      <w:lvlJc w:val="left"/>
      <w:pPr>
        <w:ind w:left="68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" w15:restartNumberingAfterBreak="0">
    <w:nsid w:val="3E34107B"/>
    <w:multiLevelType w:val="hybridMultilevel"/>
    <w:tmpl w:val="BEF65478"/>
    <w:lvl w:ilvl="0" w:tplc="314EC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70F7"/>
    <w:multiLevelType w:val="hybridMultilevel"/>
    <w:tmpl w:val="E3FCB9C2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12C5F"/>
    <w:multiLevelType w:val="hybridMultilevel"/>
    <w:tmpl w:val="DE8EAAE6"/>
    <w:lvl w:ilvl="0" w:tplc="18829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2AA3"/>
    <w:multiLevelType w:val="hybridMultilevel"/>
    <w:tmpl w:val="C25AAC0A"/>
    <w:lvl w:ilvl="0" w:tplc="18829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93E66"/>
    <w:multiLevelType w:val="hybridMultilevel"/>
    <w:tmpl w:val="3A4A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BCF"/>
    <w:multiLevelType w:val="hybridMultilevel"/>
    <w:tmpl w:val="EFBC8B60"/>
    <w:lvl w:ilvl="0" w:tplc="19FC44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81ACC"/>
    <w:multiLevelType w:val="hybridMultilevel"/>
    <w:tmpl w:val="88103A8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09"/>
    <w:rsid w:val="0000627F"/>
    <w:rsid w:val="000B1348"/>
    <w:rsid w:val="000D3F6E"/>
    <w:rsid w:val="002A743F"/>
    <w:rsid w:val="002E1016"/>
    <w:rsid w:val="00350409"/>
    <w:rsid w:val="003741A1"/>
    <w:rsid w:val="005E0D01"/>
    <w:rsid w:val="006E13FC"/>
    <w:rsid w:val="008B430D"/>
    <w:rsid w:val="00926722"/>
    <w:rsid w:val="00C2193A"/>
    <w:rsid w:val="00CD670D"/>
    <w:rsid w:val="00DE60B3"/>
    <w:rsid w:val="00E543F2"/>
    <w:rsid w:val="00E84102"/>
    <w:rsid w:val="00EE01D7"/>
    <w:rsid w:val="00FC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27AE"/>
  <w15:chartTrackingRefBased/>
  <w15:docId w15:val="{DDC1D6C3-8E73-4B07-98B9-2F654BF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04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409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rsid w:val="00350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0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0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E0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0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0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 Franić Vedrana</dc:creator>
  <cp:keywords/>
  <dc:description/>
  <cp:lastModifiedBy>Perišić Branka</cp:lastModifiedBy>
  <cp:revision>2</cp:revision>
  <cp:lastPrinted>2020-09-01T06:48:00Z</cp:lastPrinted>
  <dcterms:created xsi:type="dcterms:W3CDTF">2020-09-01T07:04:00Z</dcterms:created>
  <dcterms:modified xsi:type="dcterms:W3CDTF">2020-09-01T07:04:00Z</dcterms:modified>
</cp:coreProperties>
</file>