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2396" w14:textId="77777777" w:rsidR="0055662B" w:rsidRDefault="0055662B" w:rsidP="00F51E3C">
      <w:pPr>
        <w:jc w:val="both"/>
        <w:rPr>
          <w:b/>
          <w:bCs/>
          <w:color w:val="666666"/>
          <w:u w:val="single"/>
        </w:rPr>
      </w:pPr>
      <w:bookmarkStart w:id="0" w:name="_GoBack"/>
      <w:bookmarkEnd w:id="0"/>
    </w:p>
    <w:p w14:paraId="4170106D" w14:textId="77777777" w:rsidR="00AD672E" w:rsidRPr="0055662B" w:rsidRDefault="00AD672E" w:rsidP="00F51E3C">
      <w:pPr>
        <w:jc w:val="both"/>
        <w:rPr>
          <w:b/>
          <w:bCs/>
          <w:color w:val="666666"/>
          <w:u w:val="single"/>
        </w:rPr>
      </w:pPr>
    </w:p>
    <w:p w14:paraId="47177513" w14:textId="0A5DD2DD" w:rsidR="00CB08F9" w:rsidRPr="00D15E02" w:rsidRDefault="00CB08F9" w:rsidP="00F51E3C">
      <w:pPr>
        <w:jc w:val="center"/>
        <w:rPr>
          <w:rFonts w:ascii="Calibri" w:hAnsi="Calibri"/>
          <w:b/>
          <w:bCs/>
          <w:sz w:val="28"/>
          <w:szCs w:val="28"/>
        </w:rPr>
      </w:pPr>
      <w:r w:rsidRPr="00D15E02">
        <w:rPr>
          <w:rFonts w:ascii="Calibri" w:hAnsi="Calibri"/>
          <w:b/>
          <w:bCs/>
          <w:sz w:val="28"/>
          <w:szCs w:val="28"/>
        </w:rPr>
        <w:t xml:space="preserve">PROGRAM </w:t>
      </w:r>
      <w:r w:rsidR="0029546E">
        <w:rPr>
          <w:rFonts w:ascii="Calibri" w:hAnsi="Calibri"/>
          <w:b/>
          <w:bCs/>
          <w:sz w:val="28"/>
          <w:szCs w:val="28"/>
        </w:rPr>
        <w:t xml:space="preserve">POJEDINAČNOG I </w:t>
      </w:r>
      <w:r w:rsidRPr="00D15E02">
        <w:rPr>
          <w:rFonts w:ascii="Calibri" w:hAnsi="Calibri"/>
          <w:b/>
          <w:bCs/>
          <w:sz w:val="28"/>
          <w:szCs w:val="28"/>
        </w:rPr>
        <w:t xml:space="preserve">PORTFELJNOG OSIGURANJA KREDITA ZA LIKVIDNOST </w:t>
      </w:r>
      <w:r w:rsidR="0029546E">
        <w:rPr>
          <w:rFonts w:ascii="Calibri" w:hAnsi="Calibri"/>
          <w:b/>
          <w:bCs/>
          <w:sz w:val="28"/>
          <w:szCs w:val="28"/>
        </w:rPr>
        <w:t xml:space="preserve">I </w:t>
      </w:r>
      <w:r w:rsidR="00556415">
        <w:rPr>
          <w:rFonts w:ascii="Calibri" w:hAnsi="Calibri"/>
          <w:b/>
          <w:bCs/>
          <w:sz w:val="28"/>
          <w:szCs w:val="28"/>
        </w:rPr>
        <w:t xml:space="preserve">ULAGANJA </w:t>
      </w:r>
      <w:r w:rsidRPr="00D15E02">
        <w:rPr>
          <w:rFonts w:ascii="Calibri" w:hAnsi="Calibri"/>
          <w:b/>
          <w:bCs/>
          <w:sz w:val="28"/>
          <w:szCs w:val="28"/>
        </w:rPr>
        <w:t>IZVOZNIKA</w:t>
      </w:r>
      <w:r w:rsidR="00304D63">
        <w:rPr>
          <w:rFonts w:ascii="Calibri" w:hAnsi="Calibri"/>
          <w:b/>
          <w:bCs/>
          <w:sz w:val="28"/>
          <w:szCs w:val="28"/>
        </w:rPr>
        <w:t xml:space="preserve"> COVID 19 </w:t>
      </w:r>
    </w:p>
    <w:p w14:paraId="574A542D" w14:textId="29E695AC" w:rsidR="009D049A" w:rsidRPr="00D15E02" w:rsidRDefault="009D049A" w:rsidP="00F51E3C">
      <w:pPr>
        <w:jc w:val="both"/>
        <w:rPr>
          <w:b/>
          <w:bCs/>
          <w:sz w:val="26"/>
          <w:szCs w:val="26"/>
        </w:rPr>
      </w:pPr>
    </w:p>
    <w:p w14:paraId="598C2A0D" w14:textId="77777777" w:rsidR="00AD672E" w:rsidRPr="00D15E02" w:rsidRDefault="00AD672E" w:rsidP="00F51E3C">
      <w:pPr>
        <w:jc w:val="both"/>
        <w:rPr>
          <w:b/>
          <w:bCs/>
          <w:sz w:val="26"/>
          <w:szCs w:val="26"/>
        </w:rPr>
      </w:pPr>
    </w:p>
    <w:p w14:paraId="76F7A6CC" w14:textId="77777777" w:rsidR="0095279F" w:rsidRPr="002F3CC7" w:rsidRDefault="0095279F" w:rsidP="00F51E3C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A7502F2" w14:textId="7D48100B" w:rsidR="008963EF" w:rsidRPr="00D15E02" w:rsidRDefault="008C2BCD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15E02">
        <w:rPr>
          <w:rFonts w:asciiTheme="minorHAnsi" w:eastAsia="Calibri" w:hAnsiTheme="minorHAnsi" w:cstheme="minorHAnsi"/>
          <w:b/>
          <w:bCs/>
          <w:lang w:eastAsia="en-US"/>
        </w:rPr>
        <w:t>Opis i cilj mjer</w:t>
      </w:r>
      <w:r w:rsidR="0035558B">
        <w:rPr>
          <w:rFonts w:asciiTheme="minorHAnsi" w:eastAsia="Calibri" w:hAnsiTheme="minorHAnsi" w:cstheme="minorHAnsi"/>
          <w:b/>
          <w:bCs/>
          <w:lang w:eastAsia="en-US"/>
        </w:rPr>
        <w:t>a</w:t>
      </w:r>
      <w:r w:rsidRPr="00D15E02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05822542" w14:textId="3FCFF7A0" w:rsidR="008C2BCD" w:rsidRPr="00D15E02" w:rsidRDefault="008C2BCD" w:rsidP="00F51E3C">
      <w:pPr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 xml:space="preserve">Portfeljno </w:t>
      </w:r>
      <w:r w:rsidR="0029546E">
        <w:rPr>
          <w:rFonts w:asciiTheme="minorHAnsi" w:eastAsia="Calibri" w:hAnsiTheme="minorHAnsi" w:cstheme="minorHAnsi"/>
          <w:lang w:eastAsia="en-US"/>
        </w:rPr>
        <w:t xml:space="preserve">i pojedinačno </w:t>
      </w:r>
      <w:r w:rsidRPr="00D15E02">
        <w:rPr>
          <w:rFonts w:asciiTheme="minorHAnsi" w:eastAsia="Calibri" w:hAnsiTheme="minorHAnsi" w:cstheme="minorHAnsi"/>
          <w:lang w:eastAsia="en-US"/>
        </w:rPr>
        <w:t xml:space="preserve">osiguranje (garancija) kredita za likvidnost izvoznika, alat </w:t>
      </w:r>
      <w:r w:rsidR="006310C9">
        <w:rPr>
          <w:rFonts w:asciiTheme="minorHAnsi" w:eastAsia="Calibri" w:hAnsiTheme="minorHAnsi" w:cstheme="minorHAnsi"/>
          <w:lang w:eastAsia="en-US"/>
        </w:rPr>
        <w:t xml:space="preserve">je </w:t>
      </w:r>
      <w:r w:rsidRPr="00D15E02">
        <w:rPr>
          <w:rFonts w:asciiTheme="minorHAnsi" w:eastAsia="Calibri" w:hAnsiTheme="minorHAnsi" w:cstheme="minorHAnsi"/>
          <w:lang w:eastAsia="en-US"/>
        </w:rPr>
        <w:t xml:space="preserve">koji će omogućiti bankama da osiguraju dovoljnu likvidnost na tržištu za izvoznike koji se suočavaju s nedostatkom sredstava za likvidnost.  </w:t>
      </w:r>
    </w:p>
    <w:p w14:paraId="4EDBE4F4" w14:textId="66306A6F" w:rsidR="00E06E15" w:rsidRDefault="00E06E15" w:rsidP="00F51E3C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2D53F59F" w14:textId="47A6E658" w:rsidR="0029546E" w:rsidRDefault="00313F9A">
      <w:pPr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 xml:space="preserve">Portfeljno </w:t>
      </w:r>
      <w:r>
        <w:rPr>
          <w:rFonts w:asciiTheme="minorHAnsi" w:eastAsia="Calibri" w:hAnsiTheme="minorHAnsi" w:cstheme="minorHAnsi"/>
          <w:lang w:eastAsia="en-US"/>
        </w:rPr>
        <w:t xml:space="preserve">i pojedinačno </w:t>
      </w:r>
      <w:r w:rsidRPr="00D15E02">
        <w:rPr>
          <w:rFonts w:asciiTheme="minorHAnsi" w:eastAsia="Calibri" w:hAnsiTheme="minorHAnsi" w:cstheme="minorHAnsi"/>
          <w:lang w:eastAsia="en-US"/>
        </w:rPr>
        <w:t xml:space="preserve">osiguranje (garancija) </w:t>
      </w:r>
      <w:r w:rsidR="004267A4">
        <w:rPr>
          <w:rFonts w:asciiTheme="minorHAnsi" w:eastAsia="Calibri" w:hAnsiTheme="minorHAnsi" w:cstheme="minorHAnsi"/>
          <w:lang w:eastAsia="en-US"/>
        </w:rPr>
        <w:t xml:space="preserve">kredita za ulaganja u osnovna sredstva </w:t>
      </w:r>
      <w:r w:rsidRPr="00D15E02">
        <w:rPr>
          <w:rFonts w:asciiTheme="minorHAnsi" w:eastAsia="Calibri" w:hAnsiTheme="minorHAnsi" w:cstheme="minorHAnsi"/>
          <w:lang w:eastAsia="en-US"/>
        </w:rPr>
        <w:t>izvoznika</w:t>
      </w:r>
      <w:r>
        <w:rPr>
          <w:rFonts w:asciiTheme="minorHAnsi" w:eastAsia="Calibri" w:hAnsiTheme="minorHAnsi" w:cstheme="minorHAnsi"/>
          <w:lang w:eastAsia="en-US"/>
        </w:rPr>
        <w:t xml:space="preserve"> omogućit će izvoznicima </w:t>
      </w:r>
      <w:r w:rsidR="004267A4">
        <w:rPr>
          <w:rFonts w:asciiTheme="minorHAnsi" w:eastAsia="Calibri" w:hAnsiTheme="minorHAnsi" w:cstheme="minorHAnsi"/>
          <w:lang w:eastAsia="en-US"/>
        </w:rPr>
        <w:t>ulaganja</w:t>
      </w:r>
      <w:r>
        <w:rPr>
          <w:rFonts w:asciiTheme="minorHAnsi" w:eastAsia="Calibri" w:hAnsiTheme="minorHAnsi" w:cstheme="minorHAnsi"/>
          <w:lang w:eastAsia="en-US"/>
        </w:rPr>
        <w:t xml:space="preserve"> u osnovna sredstva koj</w:t>
      </w:r>
      <w:r w:rsidR="004267A4">
        <w:rPr>
          <w:rFonts w:asciiTheme="minorHAnsi" w:eastAsia="Calibri" w:hAnsiTheme="minorHAnsi" w:cstheme="minorHAnsi"/>
          <w:lang w:eastAsia="en-US"/>
        </w:rPr>
        <w:t>a</w:t>
      </w:r>
      <w:r>
        <w:rPr>
          <w:rFonts w:asciiTheme="minorHAnsi" w:eastAsia="Calibri" w:hAnsiTheme="minorHAnsi" w:cstheme="minorHAnsi"/>
          <w:lang w:eastAsia="en-US"/>
        </w:rPr>
        <w:t xml:space="preserve"> su otežan</w:t>
      </w:r>
      <w:r w:rsidR="004267A4">
        <w:rPr>
          <w:rFonts w:asciiTheme="minorHAnsi" w:eastAsia="Calibri" w:hAnsiTheme="minorHAnsi" w:cstheme="minorHAnsi"/>
          <w:lang w:eastAsia="en-US"/>
        </w:rPr>
        <w:t>a</w:t>
      </w:r>
      <w:r>
        <w:rPr>
          <w:rFonts w:asciiTheme="minorHAnsi" w:eastAsia="Calibri" w:hAnsiTheme="minorHAnsi" w:cstheme="minorHAnsi"/>
          <w:lang w:eastAsia="en-US"/>
        </w:rPr>
        <w:t xml:space="preserve"> u okolnostima krize uzrokovane COVID-om 19.</w:t>
      </w:r>
    </w:p>
    <w:p w14:paraId="68DF9D6D" w14:textId="003B0B7E" w:rsidR="0035558B" w:rsidRDefault="0035558B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7434A255" w14:textId="59E1DE69" w:rsidR="0035558B" w:rsidRDefault="0035558B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Dodjela </w:t>
      </w:r>
      <w:r w:rsidRPr="002451B4">
        <w:rPr>
          <w:rFonts w:asciiTheme="minorHAnsi" w:eastAsia="Calibri" w:hAnsiTheme="minorHAnsi" w:cstheme="minorHAnsi"/>
          <w:lang w:eastAsia="en-US"/>
        </w:rPr>
        <w:t xml:space="preserve">izravnih bespovratnih sredstava </w:t>
      </w:r>
      <w:r w:rsidR="00866A8A">
        <w:rPr>
          <w:rFonts w:asciiTheme="minorHAnsi" w:eastAsia="Calibri" w:hAnsiTheme="minorHAnsi" w:cstheme="minorHAnsi"/>
          <w:lang w:eastAsia="en-US"/>
        </w:rPr>
        <w:t>omogućit će</w:t>
      </w:r>
      <w:r w:rsidR="00866A8A" w:rsidRPr="002451B4">
        <w:rPr>
          <w:rFonts w:asciiTheme="minorHAnsi" w:eastAsia="Calibri" w:hAnsiTheme="minorHAnsi" w:cstheme="minorHAnsi"/>
          <w:lang w:eastAsia="en-US"/>
        </w:rPr>
        <w:t xml:space="preserve"> </w:t>
      </w:r>
      <w:r w:rsidRPr="002451B4">
        <w:rPr>
          <w:rFonts w:asciiTheme="minorHAnsi" w:eastAsia="Calibri" w:hAnsiTheme="minorHAnsi" w:cstheme="minorHAnsi"/>
          <w:lang w:eastAsia="en-US"/>
        </w:rPr>
        <w:t xml:space="preserve">pokriće iznosa premija osiguranja za predmetna pojedinačna i </w:t>
      </w:r>
      <w:proofErr w:type="spellStart"/>
      <w:r w:rsidRPr="002451B4">
        <w:rPr>
          <w:rFonts w:asciiTheme="minorHAnsi" w:eastAsia="Calibri" w:hAnsiTheme="minorHAnsi" w:cstheme="minorHAnsi"/>
          <w:lang w:eastAsia="en-US"/>
        </w:rPr>
        <w:t>portfeljna</w:t>
      </w:r>
      <w:proofErr w:type="spellEnd"/>
      <w:r w:rsidRPr="002451B4">
        <w:rPr>
          <w:rFonts w:asciiTheme="minorHAnsi" w:eastAsia="Calibri" w:hAnsiTheme="minorHAnsi" w:cstheme="minorHAnsi"/>
          <w:lang w:eastAsia="en-US"/>
        </w:rPr>
        <w:t xml:space="preserve"> osiguranja kredit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2451B4">
        <w:rPr>
          <w:rFonts w:asciiTheme="minorHAnsi" w:eastAsia="Calibri" w:hAnsiTheme="minorHAnsi" w:cstheme="minorHAnsi"/>
          <w:lang w:eastAsia="en-US"/>
        </w:rPr>
        <w:t xml:space="preserve"> </w:t>
      </w:r>
      <w:r w:rsidRPr="00AA41ED">
        <w:rPr>
          <w:rFonts w:asciiTheme="minorHAnsi" w:eastAsia="Calibri" w:hAnsiTheme="minorHAnsi" w:cstheme="minorHAnsi"/>
          <w:bCs/>
          <w:lang w:eastAsia="en-US"/>
        </w:rPr>
        <w:t>za likvidnost</w:t>
      </w:r>
      <w:r>
        <w:rPr>
          <w:rFonts w:asciiTheme="minorHAnsi" w:eastAsia="Calibri" w:hAnsiTheme="minorHAnsi" w:cstheme="minorHAnsi"/>
          <w:bCs/>
          <w:lang w:eastAsia="en-US"/>
        </w:rPr>
        <w:t xml:space="preserve"> i kredita za ulaganja u osnovna sredstva.</w:t>
      </w:r>
    </w:p>
    <w:p w14:paraId="5D889733" w14:textId="77777777" w:rsidR="0035558B" w:rsidRDefault="0035558B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157DBDA5" w14:textId="7CC16BDC" w:rsidR="008C2BCD" w:rsidRPr="00D15E02" w:rsidRDefault="008C2BCD" w:rsidP="00F51E3C">
      <w:pPr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Cilj ov</w:t>
      </w:r>
      <w:r w:rsidR="000B6BB9">
        <w:rPr>
          <w:rFonts w:asciiTheme="minorHAnsi" w:eastAsia="Calibri" w:hAnsiTheme="minorHAnsi" w:cstheme="minorHAnsi"/>
          <w:lang w:eastAsia="en-US"/>
        </w:rPr>
        <w:t>ih</w:t>
      </w:r>
      <w:r w:rsidRPr="00D15E02">
        <w:rPr>
          <w:rFonts w:asciiTheme="minorHAnsi" w:eastAsia="Calibri" w:hAnsiTheme="minorHAnsi" w:cstheme="minorHAnsi"/>
          <w:lang w:eastAsia="en-US"/>
        </w:rPr>
        <w:t xml:space="preserve"> mjer</w:t>
      </w:r>
      <w:r w:rsidR="000B6BB9">
        <w:rPr>
          <w:rFonts w:asciiTheme="minorHAnsi" w:eastAsia="Calibri" w:hAnsiTheme="minorHAnsi" w:cstheme="minorHAnsi"/>
          <w:lang w:eastAsia="en-US"/>
        </w:rPr>
        <w:t>a</w:t>
      </w:r>
      <w:r w:rsidRPr="00D15E02">
        <w:rPr>
          <w:rFonts w:asciiTheme="minorHAnsi" w:eastAsia="Calibri" w:hAnsiTheme="minorHAnsi" w:cstheme="minorHAnsi"/>
          <w:lang w:eastAsia="en-US"/>
        </w:rPr>
        <w:t xml:space="preserve"> je olakšati </w:t>
      </w:r>
      <w:r w:rsidR="00C55025" w:rsidRPr="00D15E02">
        <w:rPr>
          <w:rFonts w:asciiTheme="minorHAnsi" w:eastAsia="Calibri" w:hAnsiTheme="minorHAnsi" w:cstheme="minorHAnsi"/>
          <w:lang w:eastAsia="en-US"/>
        </w:rPr>
        <w:t xml:space="preserve">pristup vanjskom financiranju za poduzeća izvoznike u razdoblju kad je normalno funkcioniranje tržišta teško poremećeno zbog pandemije uzrokovane COVID-19 virusom. </w:t>
      </w:r>
    </w:p>
    <w:p w14:paraId="33271F8F" w14:textId="7EF281A5" w:rsidR="00E06E15" w:rsidRPr="002F3CC7" w:rsidRDefault="00E06E15" w:rsidP="00F51E3C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386488D5" w14:textId="278189E4" w:rsidR="00E06E15" w:rsidRPr="00D15E02" w:rsidRDefault="00C55025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15E02">
        <w:rPr>
          <w:rFonts w:asciiTheme="minorHAnsi" w:eastAsia="Calibri" w:hAnsiTheme="minorHAnsi" w:cstheme="minorHAnsi"/>
          <w:b/>
          <w:bCs/>
          <w:lang w:eastAsia="en-US"/>
        </w:rPr>
        <w:t>EU pravna osnova za državne potpore</w:t>
      </w:r>
    </w:p>
    <w:p w14:paraId="0139E6D6" w14:textId="491E59E1" w:rsidR="00E06E15" w:rsidRPr="00D15E02" w:rsidRDefault="00C55025" w:rsidP="00646C70">
      <w:pPr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Privremeni okvir</w:t>
      </w:r>
      <w:r w:rsidR="00A3678C">
        <w:rPr>
          <w:rFonts w:asciiTheme="minorHAnsi" w:eastAsia="Calibri" w:hAnsiTheme="minorHAnsi" w:cstheme="minorHAnsi"/>
          <w:lang w:eastAsia="en-US"/>
        </w:rPr>
        <w:t xml:space="preserve"> </w:t>
      </w:r>
      <w:r w:rsidR="00A3678C" w:rsidRPr="00AC7981">
        <w:rPr>
          <w:rFonts w:asciiTheme="minorHAnsi" w:eastAsia="Calibri" w:hAnsiTheme="minorHAnsi" w:cstheme="minorHAnsi"/>
          <w:lang w:eastAsia="en-US"/>
        </w:rPr>
        <w:t>za mjere državne potpore u svrhu podrške gospodarstvu u aktualnoj pandemiji covida-19</w:t>
      </w:r>
      <w:r w:rsidR="00646C70">
        <w:rPr>
          <w:rFonts w:asciiTheme="minorHAnsi" w:eastAsia="Calibri" w:hAnsiTheme="minorHAnsi" w:cstheme="minorHAnsi"/>
          <w:lang w:eastAsia="en-US"/>
        </w:rPr>
        <w:t xml:space="preserve"> </w:t>
      </w:r>
      <w:r w:rsidR="00646C70" w:rsidRPr="00646C70">
        <w:rPr>
          <w:rFonts w:asciiTheme="minorHAnsi" w:eastAsia="Calibri" w:hAnsiTheme="minorHAnsi" w:cstheme="minorHAnsi"/>
          <w:lang w:eastAsia="en-US"/>
        </w:rPr>
        <w:t xml:space="preserve">(SL C 91I, 20.3.2020.) </w:t>
      </w:r>
      <w:r w:rsidR="00646C70">
        <w:rPr>
          <w:rFonts w:asciiTheme="minorHAnsi" w:eastAsia="Calibri" w:hAnsiTheme="minorHAnsi" w:cstheme="minorHAnsi"/>
          <w:lang w:eastAsia="en-US"/>
        </w:rPr>
        <w:t xml:space="preserve">sa svim naknadnim izmjenama i dopunama zaključno s </w:t>
      </w:r>
      <w:r w:rsidR="004F70E0">
        <w:rPr>
          <w:rFonts w:asciiTheme="minorHAnsi" w:eastAsia="Calibri" w:hAnsiTheme="minorHAnsi" w:cstheme="minorHAnsi"/>
          <w:lang w:eastAsia="en-US"/>
        </w:rPr>
        <w:t>Četvrtom</w:t>
      </w:r>
      <w:r w:rsidR="004F70E0" w:rsidRPr="00646C70">
        <w:rPr>
          <w:rFonts w:asciiTheme="minorHAnsi" w:eastAsia="Calibri" w:hAnsiTheme="minorHAnsi" w:cstheme="minorHAnsi"/>
          <w:lang w:eastAsia="en-US"/>
        </w:rPr>
        <w:t xml:space="preserve"> </w:t>
      </w:r>
      <w:r w:rsidR="00646C70" w:rsidRPr="00646C70">
        <w:rPr>
          <w:rFonts w:asciiTheme="minorHAnsi" w:eastAsia="Calibri" w:hAnsiTheme="minorHAnsi" w:cstheme="minorHAnsi"/>
          <w:lang w:eastAsia="en-US"/>
        </w:rPr>
        <w:t xml:space="preserve">izmjenom privremenog okvira za mjere državne potpore u svrhu podrške gospodarstvu u aktualnoj pandemiji COVID-a 19 (SL C </w:t>
      </w:r>
      <w:r w:rsidR="00870A52">
        <w:rPr>
          <w:rFonts w:asciiTheme="minorHAnsi" w:eastAsia="Calibri" w:hAnsiTheme="minorHAnsi" w:cstheme="minorHAnsi"/>
          <w:lang w:eastAsia="en-US"/>
        </w:rPr>
        <w:t>340I</w:t>
      </w:r>
      <w:r w:rsidR="00646C70" w:rsidRPr="00646C70">
        <w:rPr>
          <w:rFonts w:asciiTheme="minorHAnsi" w:eastAsia="Calibri" w:hAnsiTheme="minorHAnsi" w:cstheme="minorHAnsi"/>
          <w:lang w:eastAsia="en-US"/>
        </w:rPr>
        <w:t xml:space="preserve">, </w:t>
      </w:r>
      <w:r w:rsidR="00870A52">
        <w:rPr>
          <w:rFonts w:asciiTheme="minorHAnsi" w:eastAsia="Calibri" w:hAnsiTheme="minorHAnsi" w:cstheme="minorHAnsi"/>
          <w:lang w:eastAsia="en-US"/>
        </w:rPr>
        <w:t>13.10</w:t>
      </w:r>
      <w:r w:rsidR="00646C70" w:rsidRPr="00646C70">
        <w:rPr>
          <w:rFonts w:asciiTheme="minorHAnsi" w:eastAsia="Calibri" w:hAnsiTheme="minorHAnsi" w:cstheme="minorHAnsi"/>
          <w:lang w:eastAsia="en-US"/>
        </w:rPr>
        <w:t xml:space="preserve">.2020., dalje: </w:t>
      </w:r>
      <w:r w:rsidR="00646C70" w:rsidRPr="00646C70">
        <w:rPr>
          <w:rFonts w:asciiTheme="minorHAnsi" w:eastAsia="Calibri" w:hAnsiTheme="minorHAnsi" w:cstheme="minorHAnsi"/>
          <w:i/>
          <w:iCs/>
          <w:lang w:eastAsia="en-US"/>
        </w:rPr>
        <w:t>Privremeni okvir</w:t>
      </w:r>
      <w:r w:rsidR="00646C70" w:rsidRPr="00646C70">
        <w:rPr>
          <w:rFonts w:asciiTheme="minorHAnsi" w:eastAsia="Calibri" w:hAnsiTheme="minorHAnsi" w:cstheme="minorHAnsi"/>
          <w:lang w:eastAsia="en-US"/>
        </w:rPr>
        <w:t>)</w:t>
      </w:r>
      <w:r w:rsidRPr="00D15E02">
        <w:rPr>
          <w:rFonts w:asciiTheme="minorHAnsi" w:eastAsia="Calibri" w:hAnsiTheme="minorHAnsi" w:cstheme="minorHAnsi"/>
          <w:lang w:eastAsia="en-US"/>
        </w:rPr>
        <w:t xml:space="preserve">, </w:t>
      </w:r>
      <w:r w:rsidR="00607BB2">
        <w:rPr>
          <w:rFonts w:asciiTheme="minorHAnsi" w:eastAsia="Calibri" w:hAnsiTheme="minorHAnsi" w:cstheme="minorHAnsi"/>
          <w:lang w:eastAsia="en-US"/>
        </w:rPr>
        <w:t xml:space="preserve">odjeljci </w:t>
      </w:r>
      <w:r w:rsidR="00D17D8E">
        <w:rPr>
          <w:rFonts w:asciiTheme="minorHAnsi" w:eastAsia="Calibri" w:hAnsiTheme="minorHAnsi" w:cstheme="minorHAnsi"/>
          <w:lang w:eastAsia="en-US"/>
        </w:rPr>
        <w:t>3.1.</w:t>
      </w:r>
      <w:r w:rsidR="004F70E0">
        <w:rPr>
          <w:rFonts w:asciiTheme="minorHAnsi" w:eastAsia="Calibri" w:hAnsiTheme="minorHAnsi" w:cstheme="minorHAnsi"/>
          <w:lang w:eastAsia="en-US"/>
        </w:rPr>
        <w:t>,</w:t>
      </w:r>
      <w:r w:rsidR="00866A8A">
        <w:rPr>
          <w:rFonts w:asciiTheme="minorHAnsi" w:eastAsia="Calibri" w:hAnsiTheme="minorHAnsi" w:cstheme="minorHAnsi"/>
          <w:lang w:eastAsia="en-US"/>
        </w:rPr>
        <w:t xml:space="preserve"> </w:t>
      </w:r>
      <w:r w:rsidRPr="00D15E02">
        <w:rPr>
          <w:rFonts w:asciiTheme="minorHAnsi" w:eastAsia="Calibri" w:hAnsiTheme="minorHAnsi" w:cstheme="minorHAnsi"/>
          <w:lang w:eastAsia="en-US"/>
        </w:rPr>
        <w:t>3.2.</w:t>
      </w:r>
      <w:r w:rsidR="004F70E0">
        <w:rPr>
          <w:rFonts w:asciiTheme="minorHAnsi" w:eastAsia="Calibri" w:hAnsiTheme="minorHAnsi" w:cstheme="minorHAnsi"/>
          <w:lang w:eastAsia="en-US"/>
        </w:rPr>
        <w:t xml:space="preserve"> i 3.4.</w:t>
      </w:r>
    </w:p>
    <w:p w14:paraId="59ECEF44" w14:textId="77777777" w:rsidR="00111C3F" w:rsidRPr="002F3CC7" w:rsidRDefault="00111C3F" w:rsidP="00F51E3C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</w:p>
    <w:p w14:paraId="71A3D9F1" w14:textId="3D464337" w:rsidR="00A22404" w:rsidRPr="00D15E02" w:rsidRDefault="00C55025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15E02">
        <w:rPr>
          <w:rFonts w:asciiTheme="minorHAnsi" w:eastAsia="Calibri" w:hAnsiTheme="minorHAnsi" w:cstheme="minorHAnsi"/>
          <w:b/>
          <w:lang w:eastAsia="en-US"/>
        </w:rPr>
        <w:t>Nacionalna pravna osnova</w:t>
      </w:r>
    </w:p>
    <w:p w14:paraId="513AAC7B" w14:textId="618C1C88" w:rsidR="00C87358" w:rsidRPr="00AA41ED" w:rsidRDefault="00C87358" w:rsidP="00F51E3C">
      <w:pPr>
        <w:tabs>
          <w:tab w:val="left" w:pos="7726"/>
        </w:tabs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F3CC7">
        <w:rPr>
          <w:rFonts w:asciiTheme="minorHAnsi" w:eastAsia="Calibri" w:hAnsiTheme="minorHAnsi" w:cstheme="minorHAnsi"/>
          <w:lang w:eastAsia="en-US"/>
        </w:rPr>
        <w:t xml:space="preserve">HBOR kao osiguratelj u ime i za račun RH, provodi programe osiguranja u skladu s dva osnovna akta – Zakonom o HBOR-u (NN 138/06 i 25/13) i Uredbom o osiguranju izvoza (NN </w:t>
      </w:r>
      <w:r w:rsidR="00BF11FD">
        <w:rPr>
          <w:rFonts w:asciiTheme="minorHAnsi" w:eastAsia="Calibri" w:hAnsiTheme="minorHAnsi" w:cstheme="minorHAnsi"/>
          <w:lang w:eastAsia="en-US"/>
        </w:rPr>
        <w:t>53</w:t>
      </w:r>
      <w:r w:rsidRPr="002F3CC7">
        <w:rPr>
          <w:rFonts w:asciiTheme="minorHAnsi" w:eastAsia="Calibri" w:hAnsiTheme="minorHAnsi" w:cstheme="minorHAnsi"/>
          <w:lang w:eastAsia="en-US"/>
        </w:rPr>
        <w:t>/</w:t>
      </w:r>
      <w:r w:rsidR="00BF11FD">
        <w:rPr>
          <w:rFonts w:asciiTheme="minorHAnsi" w:eastAsia="Calibri" w:hAnsiTheme="minorHAnsi" w:cstheme="minorHAnsi"/>
          <w:lang w:eastAsia="en-US"/>
        </w:rPr>
        <w:t>20</w:t>
      </w:r>
      <w:r w:rsidRPr="00AA41ED">
        <w:rPr>
          <w:rFonts w:asciiTheme="minorHAnsi" w:eastAsia="Calibri" w:hAnsiTheme="minorHAnsi" w:cstheme="minorHAnsi"/>
          <w:bCs/>
          <w:lang w:eastAsia="en-US"/>
        </w:rPr>
        <w:t xml:space="preserve">), pritom uvažavajući svu relevantnu hrvatsku i europsku zakonsku regulativu. U sklopu COVID-19 mjera za oporavak gospodarstva, HBOR </w:t>
      </w:r>
      <w:r w:rsidR="00CF23F0">
        <w:rPr>
          <w:rFonts w:asciiTheme="minorHAnsi" w:eastAsia="Calibri" w:hAnsiTheme="minorHAnsi" w:cstheme="minorHAnsi"/>
          <w:bCs/>
          <w:lang w:eastAsia="en-US"/>
        </w:rPr>
        <w:t>je uveo/</w:t>
      </w:r>
      <w:r w:rsidRPr="00AA41ED">
        <w:rPr>
          <w:rFonts w:asciiTheme="minorHAnsi" w:eastAsia="Calibri" w:hAnsiTheme="minorHAnsi" w:cstheme="minorHAnsi"/>
          <w:bCs/>
          <w:lang w:eastAsia="en-US"/>
        </w:rPr>
        <w:t xml:space="preserve">će uvesti novi program </w:t>
      </w:r>
      <w:r w:rsidR="00D17D8E">
        <w:rPr>
          <w:rFonts w:asciiTheme="minorHAnsi" w:eastAsia="Calibri" w:hAnsiTheme="minorHAnsi" w:cstheme="minorHAnsi"/>
          <w:bCs/>
          <w:lang w:eastAsia="en-US"/>
        </w:rPr>
        <w:t xml:space="preserve">pojedinačnog i </w:t>
      </w:r>
      <w:proofErr w:type="spellStart"/>
      <w:r w:rsidRPr="00AA41ED">
        <w:rPr>
          <w:rFonts w:asciiTheme="minorHAnsi" w:eastAsia="Calibri" w:hAnsiTheme="minorHAnsi" w:cstheme="minorHAnsi"/>
          <w:bCs/>
          <w:lang w:eastAsia="en-US"/>
        </w:rPr>
        <w:t>portfeljnog</w:t>
      </w:r>
      <w:proofErr w:type="spellEnd"/>
      <w:r w:rsidRPr="00AA41ED">
        <w:rPr>
          <w:rFonts w:asciiTheme="minorHAnsi" w:eastAsia="Calibri" w:hAnsiTheme="minorHAnsi" w:cstheme="minorHAnsi"/>
          <w:bCs/>
          <w:lang w:eastAsia="en-US"/>
        </w:rPr>
        <w:t xml:space="preserve"> osiguranja kredita za likvidnost</w:t>
      </w:r>
      <w:r w:rsidR="00D17D8E">
        <w:rPr>
          <w:rFonts w:asciiTheme="minorHAnsi" w:eastAsia="Calibri" w:hAnsiTheme="minorHAnsi" w:cstheme="minorHAnsi"/>
          <w:bCs/>
          <w:lang w:eastAsia="en-US"/>
        </w:rPr>
        <w:t xml:space="preserve"> i </w:t>
      </w:r>
      <w:r w:rsidR="004267A4">
        <w:rPr>
          <w:rFonts w:asciiTheme="minorHAnsi" w:eastAsia="Calibri" w:hAnsiTheme="minorHAnsi" w:cstheme="minorHAnsi"/>
          <w:lang w:eastAsia="en-US"/>
        </w:rPr>
        <w:t xml:space="preserve">kredita za ulaganja u osnovna sredstva </w:t>
      </w:r>
      <w:r w:rsidRPr="00AA41ED">
        <w:rPr>
          <w:rFonts w:asciiTheme="minorHAnsi" w:eastAsia="Calibri" w:hAnsiTheme="minorHAnsi" w:cstheme="minorHAnsi"/>
          <w:bCs/>
          <w:lang w:eastAsia="en-US"/>
        </w:rPr>
        <w:t xml:space="preserve">izvoznika, kojim će izvoznicima koji su se susreli s poteškoćama u poslovanju kao </w:t>
      </w:r>
      <w:r w:rsidR="00BD0A61" w:rsidRPr="00AA41ED">
        <w:rPr>
          <w:rFonts w:asciiTheme="minorHAnsi" w:eastAsia="Calibri" w:hAnsiTheme="minorHAnsi" w:cstheme="minorHAnsi"/>
          <w:bCs/>
          <w:lang w:eastAsia="en-US"/>
        </w:rPr>
        <w:t>posljedic</w:t>
      </w:r>
      <w:r w:rsidR="00BD0A61">
        <w:rPr>
          <w:rFonts w:asciiTheme="minorHAnsi" w:eastAsia="Calibri" w:hAnsiTheme="minorHAnsi" w:cstheme="minorHAnsi"/>
          <w:bCs/>
          <w:lang w:eastAsia="en-US"/>
        </w:rPr>
        <w:t>om</w:t>
      </w:r>
      <w:r w:rsidR="00BD0A61" w:rsidRPr="00AA41ED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AA41ED">
        <w:rPr>
          <w:rFonts w:asciiTheme="minorHAnsi" w:eastAsia="Calibri" w:hAnsiTheme="minorHAnsi" w:cstheme="minorHAnsi"/>
          <w:bCs/>
          <w:lang w:eastAsia="en-US"/>
        </w:rPr>
        <w:t>epidemije COVID</w:t>
      </w:r>
      <w:r w:rsidR="00BD0A61">
        <w:rPr>
          <w:rFonts w:asciiTheme="minorHAnsi" w:eastAsia="Calibri" w:hAnsiTheme="minorHAnsi" w:cstheme="minorHAnsi"/>
          <w:bCs/>
          <w:lang w:eastAsia="en-US"/>
        </w:rPr>
        <w:t>-</w:t>
      </w:r>
      <w:r w:rsidRPr="00AA41ED">
        <w:rPr>
          <w:rFonts w:asciiTheme="minorHAnsi" w:eastAsia="Calibri" w:hAnsiTheme="minorHAnsi" w:cstheme="minorHAnsi"/>
          <w:bCs/>
          <w:lang w:eastAsia="en-US"/>
        </w:rPr>
        <w:t xml:space="preserve">19, omogućiti pribavljanje likvidnog instrumenta osiguranja u obliku </w:t>
      </w:r>
      <w:r w:rsidR="00D17D8E">
        <w:rPr>
          <w:rFonts w:asciiTheme="minorHAnsi" w:eastAsia="Calibri" w:hAnsiTheme="minorHAnsi" w:cstheme="minorHAnsi"/>
          <w:bCs/>
          <w:lang w:eastAsia="en-US"/>
        </w:rPr>
        <w:t xml:space="preserve">pojedinačnog i </w:t>
      </w:r>
      <w:proofErr w:type="spellStart"/>
      <w:r w:rsidRPr="00AA41ED">
        <w:rPr>
          <w:rFonts w:asciiTheme="minorHAnsi" w:eastAsia="Calibri" w:hAnsiTheme="minorHAnsi" w:cstheme="minorHAnsi"/>
          <w:bCs/>
          <w:lang w:eastAsia="en-US"/>
        </w:rPr>
        <w:t>portfeljnog</w:t>
      </w:r>
      <w:proofErr w:type="spellEnd"/>
      <w:r w:rsidRPr="00AA41ED">
        <w:rPr>
          <w:rFonts w:asciiTheme="minorHAnsi" w:eastAsia="Calibri" w:hAnsiTheme="minorHAnsi" w:cstheme="minorHAnsi"/>
          <w:bCs/>
          <w:lang w:eastAsia="en-US"/>
        </w:rPr>
        <w:t xml:space="preserve"> osiguranja kredita, koj</w:t>
      </w:r>
      <w:r w:rsidR="00304D63" w:rsidRPr="00AA41ED">
        <w:rPr>
          <w:rFonts w:asciiTheme="minorHAnsi" w:eastAsia="Calibri" w:hAnsiTheme="minorHAnsi" w:cstheme="minorHAnsi"/>
          <w:bCs/>
          <w:lang w:eastAsia="en-US"/>
        </w:rPr>
        <w:t>i</w:t>
      </w:r>
      <w:r w:rsidRPr="00AA41ED">
        <w:rPr>
          <w:rFonts w:asciiTheme="minorHAnsi" w:eastAsia="Calibri" w:hAnsiTheme="minorHAnsi" w:cstheme="minorHAnsi"/>
          <w:bCs/>
          <w:lang w:eastAsia="en-US"/>
        </w:rPr>
        <w:t xml:space="preserve"> će poslovne banke i HBOR kao kreditor moći koristiti za jednostavnije i brže odobrenje novih kredita za likvidnost</w:t>
      </w:r>
      <w:r w:rsidR="00D17D8E">
        <w:rPr>
          <w:rFonts w:asciiTheme="minorHAnsi" w:eastAsia="Calibri" w:hAnsiTheme="minorHAnsi" w:cstheme="minorHAnsi"/>
          <w:bCs/>
          <w:lang w:eastAsia="en-US"/>
        </w:rPr>
        <w:t xml:space="preserve"> i </w:t>
      </w:r>
      <w:r w:rsidR="004267A4">
        <w:rPr>
          <w:rFonts w:asciiTheme="minorHAnsi" w:eastAsia="Calibri" w:hAnsiTheme="minorHAnsi" w:cstheme="minorHAnsi"/>
          <w:bCs/>
          <w:lang w:eastAsia="en-US"/>
        </w:rPr>
        <w:t>kredita za ulaganja u osnovna sredstva</w:t>
      </w:r>
      <w:r w:rsidRPr="00AA41ED">
        <w:rPr>
          <w:rFonts w:asciiTheme="minorHAnsi" w:eastAsia="Calibri" w:hAnsiTheme="minorHAnsi" w:cstheme="minorHAnsi"/>
          <w:bCs/>
          <w:lang w:eastAsia="en-US"/>
        </w:rPr>
        <w:t>.</w:t>
      </w:r>
    </w:p>
    <w:p w14:paraId="0487722C" w14:textId="1B0658AA" w:rsidR="00C87358" w:rsidRPr="002F3CC7" w:rsidRDefault="00C87358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DE08153" w14:textId="2C6AF09F" w:rsidR="004C1F08" w:rsidRPr="00D15E02" w:rsidRDefault="00C87358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Hrvatska banka za obnovu i razvitak („HBOR“) ovlaštena je od strane hrvatske Vlade u ime i za račun RH provoditi </w:t>
      </w:r>
      <w:r w:rsidR="005E42D0" w:rsidRPr="00D15E02">
        <w:rPr>
          <w:rFonts w:asciiTheme="minorHAnsi" w:eastAsia="Calibri" w:hAnsiTheme="minorHAnsi" w:cstheme="minorHAnsi"/>
          <w:bCs/>
          <w:lang w:eastAsia="en-US"/>
        </w:rPr>
        <w:t>poslove osiguranja izvoza u ime i za račun Republike Hrvatske (izvozno-kreditno osiguranje) te</w:t>
      </w:r>
      <w:r w:rsidR="00AC6E19" w:rsidRPr="00D15E02">
        <w:rPr>
          <w:rFonts w:asciiTheme="minorHAnsi" w:eastAsia="Calibri" w:hAnsiTheme="minorHAnsi" w:cstheme="minorHAnsi"/>
          <w:bCs/>
          <w:lang w:eastAsia="en-US"/>
        </w:rPr>
        <w:t xml:space="preserve"> djeluje kao hrvatska izvozno-kreditna agencija. </w:t>
      </w:r>
      <w:r w:rsidR="005E42D0" w:rsidRPr="00D15E02">
        <w:rPr>
          <w:rFonts w:asciiTheme="minorHAnsi" w:eastAsia="Calibri" w:hAnsiTheme="minorHAnsi" w:cstheme="minorHAnsi"/>
          <w:bCs/>
          <w:lang w:eastAsia="en-US"/>
        </w:rPr>
        <w:t xml:space="preserve">Poslovi osiguranja izvoza </w:t>
      </w:r>
      <w:r w:rsidR="00AC6E19" w:rsidRPr="00D15E02">
        <w:rPr>
          <w:rFonts w:asciiTheme="minorHAnsi" w:eastAsia="Calibri" w:hAnsiTheme="minorHAnsi" w:cstheme="minorHAnsi"/>
          <w:bCs/>
          <w:lang w:eastAsia="en-US"/>
        </w:rPr>
        <w:t xml:space="preserve">u ime i za račun RH jedna </w:t>
      </w:r>
      <w:r w:rsidR="005E42D0" w:rsidRPr="00D15E02">
        <w:rPr>
          <w:rFonts w:asciiTheme="minorHAnsi" w:eastAsia="Calibri" w:hAnsiTheme="minorHAnsi" w:cstheme="minorHAnsi"/>
          <w:bCs/>
          <w:lang w:eastAsia="en-US"/>
        </w:rPr>
        <w:t xml:space="preserve">su </w:t>
      </w:r>
      <w:r w:rsidR="00AC6E19" w:rsidRPr="00D15E02">
        <w:rPr>
          <w:rFonts w:asciiTheme="minorHAnsi" w:eastAsia="Calibri" w:hAnsiTheme="minorHAnsi" w:cstheme="minorHAnsi"/>
          <w:bCs/>
          <w:lang w:eastAsia="en-US"/>
        </w:rPr>
        <w:t xml:space="preserve">od primarnih aktivnosti HBOR-a. </w:t>
      </w:r>
    </w:p>
    <w:p w14:paraId="12BCDD54" w14:textId="788BA9BE" w:rsidR="00A22404" w:rsidRDefault="00A22404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0FBCFB1" w14:textId="77777777" w:rsidR="003E6A0A" w:rsidRPr="002F3CC7" w:rsidRDefault="003E6A0A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2838C3F" w14:textId="180F6425" w:rsidR="00A22404" w:rsidRPr="00D15E02" w:rsidRDefault="00E02914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15E02">
        <w:rPr>
          <w:rFonts w:asciiTheme="minorHAnsi" w:eastAsia="Calibri" w:hAnsiTheme="minorHAnsi" w:cstheme="minorHAnsi"/>
          <w:b/>
          <w:lang w:eastAsia="en-US"/>
        </w:rPr>
        <w:t>Provođenje mjer</w:t>
      </w:r>
      <w:r w:rsidR="000B6BB9">
        <w:rPr>
          <w:rFonts w:asciiTheme="minorHAnsi" w:eastAsia="Calibri" w:hAnsiTheme="minorHAnsi" w:cstheme="minorHAnsi"/>
          <w:b/>
          <w:lang w:eastAsia="en-US"/>
        </w:rPr>
        <w:t>a</w:t>
      </w:r>
    </w:p>
    <w:p w14:paraId="52E4EE01" w14:textId="2181AA5F" w:rsidR="00E02914" w:rsidRPr="00D15E02" w:rsidRDefault="00E02914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Mjer</w:t>
      </w:r>
      <w:r w:rsidR="000B6BB9">
        <w:rPr>
          <w:rFonts w:asciiTheme="minorHAnsi" w:eastAsia="Calibri" w:hAnsiTheme="minorHAnsi" w:cstheme="minorHAnsi"/>
          <w:lang w:eastAsia="en-US"/>
        </w:rPr>
        <w:t>e</w:t>
      </w:r>
      <w:r w:rsidRPr="00D15E02">
        <w:rPr>
          <w:rFonts w:asciiTheme="minorHAnsi" w:eastAsia="Calibri" w:hAnsiTheme="minorHAnsi" w:cstheme="minorHAnsi"/>
          <w:lang w:eastAsia="en-US"/>
        </w:rPr>
        <w:t xml:space="preserve"> će pružiti i provoditi HBOR u ime i za račun Republike Hrvatske </w:t>
      </w:r>
      <w:r w:rsidR="005E42D0" w:rsidRPr="00D15E02">
        <w:rPr>
          <w:rFonts w:asciiTheme="minorHAnsi" w:eastAsia="Calibri" w:hAnsiTheme="minorHAnsi" w:cstheme="minorHAnsi"/>
          <w:lang w:eastAsia="en-US"/>
        </w:rPr>
        <w:t>u okviru poslova osiguranja izvoza u ime i za račun Republike Hrvatske</w:t>
      </w:r>
      <w:r w:rsidRPr="00D15E02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3F694225" w14:textId="2148C906" w:rsidR="00361E20" w:rsidRDefault="00361E20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0054C240" w14:textId="77777777" w:rsidR="00AE7D67" w:rsidRPr="002F3CC7" w:rsidRDefault="00AE7D67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441B5850" w14:textId="0671CA91" w:rsidR="00DA70EF" w:rsidRPr="002451B4" w:rsidRDefault="00226A00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451B4">
        <w:rPr>
          <w:rFonts w:asciiTheme="minorHAnsi" w:eastAsia="Calibri" w:hAnsiTheme="minorHAnsi" w:cstheme="minorHAnsi"/>
          <w:b/>
          <w:lang w:eastAsia="en-US"/>
        </w:rPr>
        <w:t>Priroda i oblik mjer</w:t>
      </w:r>
      <w:r w:rsidR="000B6BB9">
        <w:rPr>
          <w:rFonts w:asciiTheme="minorHAnsi" w:eastAsia="Calibri" w:hAnsiTheme="minorHAnsi" w:cstheme="minorHAnsi"/>
          <w:b/>
          <w:lang w:eastAsia="en-US"/>
        </w:rPr>
        <w:t>a</w:t>
      </w:r>
      <w:r w:rsidRPr="002451B4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0A67EB31" w14:textId="12C1200D" w:rsidR="006775C7" w:rsidRPr="002451B4" w:rsidRDefault="006775C7" w:rsidP="003B0F8C">
      <w:pPr>
        <w:tabs>
          <w:tab w:val="left" w:pos="7726"/>
        </w:tabs>
        <w:jc w:val="both"/>
        <w:rPr>
          <w:rFonts w:asciiTheme="minorHAnsi" w:eastAsia="Calibri" w:hAnsiTheme="minorHAnsi" w:cstheme="minorHAnsi"/>
          <w:lang w:eastAsia="en-US"/>
        </w:rPr>
      </w:pPr>
      <w:r w:rsidRPr="002451B4">
        <w:rPr>
          <w:rFonts w:asciiTheme="minorHAnsi" w:eastAsia="Calibri" w:hAnsiTheme="minorHAnsi" w:cstheme="minorHAnsi"/>
          <w:lang w:eastAsia="en-US"/>
        </w:rPr>
        <w:t xml:space="preserve">Potpora za prihvatljive poduzetnike u obliku pojedinačnog i </w:t>
      </w:r>
      <w:proofErr w:type="spellStart"/>
      <w:r w:rsidRPr="002451B4">
        <w:rPr>
          <w:rFonts w:asciiTheme="minorHAnsi" w:eastAsia="Calibri" w:hAnsiTheme="minorHAnsi" w:cstheme="minorHAnsi"/>
          <w:lang w:eastAsia="en-US"/>
        </w:rPr>
        <w:t>portfeljnog</w:t>
      </w:r>
      <w:proofErr w:type="spellEnd"/>
      <w:r w:rsidRPr="002451B4">
        <w:rPr>
          <w:rFonts w:asciiTheme="minorHAnsi" w:eastAsia="Calibri" w:hAnsiTheme="minorHAnsi" w:cstheme="minorHAnsi"/>
          <w:lang w:eastAsia="en-US"/>
        </w:rPr>
        <w:t xml:space="preserve"> osiguranja za nove kredite za likvidnost i </w:t>
      </w:r>
      <w:r w:rsidR="004267A4" w:rsidRPr="002451B4">
        <w:rPr>
          <w:rFonts w:asciiTheme="minorHAnsi" w:eastAsia="Calibri" w:hAnsiTheme="minorHAnsi" w:cstheme="minorHAnsi"/>
          <w:lang w:eastAsia="en-US"/>
        </w:rPr>
        <w:t xml:space="preserve">ulaganja </w:t>
      </w:r>
      <w:r w:rsidR="00090DCA">
        <w:rPr>
          <w:rFonts w:asciiTheme="minorHAnsi" w:eastAsia="Calibri" w:hAnsiTheme="minorHAnsi" w:cstheme="minorHAnsi"/>
          <w:lang w:eastAsia="en-US"/>
        </w:rPr>
        <w:t xml:space="preserve">u osnovna sredstva izvoznika </w:t>
      </w:r>
      <w:r w:rsidR="00607BB2" w:rsidRPr="002451B4">
        <w:rPr>
          <w:rFonts w:asciiTheme="minorHAnsi" w:eastAsia="Calibri" w:hAnsiTheme="minorHAnsi" w:cstheme="minorHAnsi"/>
          <w:lang w:eastAsia="en-US"/>
        </w:rPr>
        <w:t>temeljem</w:t>
      </w:r>
      <w:r w:rsidRPr="002451B4">
        <w:rPr>
          <w:rFonts w:asciiTheme="minorHAnsi" w:eastAsia="Calibri" w:hAnsiTheme="minorHAnsi" w:cstheme="minorHAnsi"/>
          <w:lang w:eastAsia="en-US"/>
        </w:rPr>
        <w:t xml:space="preserve"> </w:t>
      </w:r>
      <w:r w:rsidR="00607BB2" w:rsidRPr="002451B4">
        <w:rPr>
          <w:rFonts w:asciiTheme="minorHAnsi" w:eastAsia="Calibri" w:hAnsiTheme="minorHAnsi" w:cstheme="minorHAnsi"/>
          <w:lang w:eastAsia="en-US"/>
        </w:rPr>
        <w:t>odjeljka</w:t>
      </w:r>
      <w:r w:rsidRPr="002451B4">
        <w:rPr>
          <w:rFonts w:asciiTheme="minorHAnsi" w:eastAsia="Calibri" w:hAnsiTheme="minorHAnsi" w:cstheme="minorHAnsi"/>
          <w:lang w:eastAsia="en-US"/>
        </w:rPr>
        <w:t xml:space="preserve"> 3.2. Privremenog okvira te </w:t>
      </w:r>
      <w:bookmarkStart w:id="1" w:name="_Hlk48043966"/>
      <w:r w:rsidRPr="002451B4">
        <w:rPr>
          <w:rFonts w:asciiTheme="minorHAnsi" w:eastAsia="Calibri" w:hAnsiTheme="minorHAnsi" w:cstheme="minorHAnsi"/>
          <w:lang w:eastAsia="en-US"/>
        </w:rPr>
        <w:t>izravnih bespovratnih sredstava</w:t>
      </w:r>
      <w:bookmarkEnd w:id="1"/>
      <w:r w:rsidRPr="002451B4">
        <w:rPr>
          <w:rFonts w:asciiTheme="minorHAnsi" w:eastAsia="Calibri" w:hAnsiTheme="minorHAnsi" w:cstheme="minorHAnsi"/>
          <w:lang w:eastAsia="en-US"/>
        </w:rPr>
        <w:t xml:space="preserve"> za pokriće iznosa premija osiguranja za predmetna pojedinačna i </w:t>
      </w:r>
      <w:proofErr w:type="spellStart"/>
      <w:r w:rsidRPr="002451B4">
        <w:rPr>
          <w:rFonts w:asciiTheme="minorHAnsi" w:eastAsia="Calibri" w:hAnsiTheme="minorHAnsi" w:cstheme="minorHAnsi"/>
          <w:lang w:eastAsia="en-US"/>
        </w:rPr>
        <w:t>portfeljna</w:t>
      </w:r>
      <w:proofErr w:type="spellEnd"/>
      <w:r w:rsidRPr="002451B4">
        <w:rPr>
          <w:rFonts w:asciiTheme="minorHAnsi" w:eastAsia="Calibri" w:hAnsiTheme="minorHAnsi" w:cstheme="minorHAnsi"/>
          <w:lang w:eastAsia="en-US"/>
        </w:rPr>
        <w:t xml:space="preserve"> osiguranja iz </w:t>
      </w:r>
      <w:r w:rsidR="00607BB2" w:rsidRPr="002451B4">
        <w:rPr>
          <w:rFonts w:asciiTheme="minorHAnsi" w:eastAsia="Calibri" w:hAnsiTheme="minorHAnsi" w:cstheme="minorHAnsi"/>
          <w:lang w:eastAsia="en-US"/>
        </w:rPr>
        <w:t>odjeljka</w:t>
      </w:r>
      <w:r w:rsidR="00607BB2" w:rsidRPr="002451B4" w:rsidDel="00607BB2">
        <w:rPr>
          <w:rFonts w:asciiTheme="minorHAnsi" w:eastAsia="Calibri" w:hAnsiTheme="minorHAnsi" w:cstheme="minorHAnsi"/>
          <w:lang w:eastAsia="en-US"/>
        </w:rPr>
        <w:t xml:space="preserve"> </w:t>
      </w:r>
      <w:r w:rsidRPr="002451B4">
        <w:rPr>
          <w:rFonts w:asciiTheme="minorHAnsi" w:eastAsia="Calibri" w:hAnsiTheme="minorHAnsi" w:cstheme="minorHAnsi"/>
          <w:lang w:eastAsia="en-US"/>
        </w:rPr>
        <w:t>3.2.</w:t>
      </w:r>
      <w:r w:rsidR="00455CC8" w:rsidRPr="002451B4">
        <w:rPr>
          <w:rFonts w:asciiTheme="minorHAnsi" w:eastAsia="Calibri" w:hAnsiTheme="minorHAnsi" w:cstheme="minorHAnsi"/>
          <w:lang w:eastAsia="en-US"/>
        </w:rPr>
        <w:t xml:space="preserve"> za kredite </w:t>
      </w:r>
      <w:r w:rsidR="0035558B" w:rsidRPr="00AA41ED">
        <w:rPr>
          <w:rFonts w:asciiTheme="minorHAnsi" w:eastAsia="Calibri" w:hAnsiTheme="minorHAnsi" w:cstheme="minorHAnsi"/>
          <w:bCs/>
          <w:lang w:eastAsia="en-US"/>
        </w:rPr>
        <w:t>za likvidnost</w:t>
      </w:r>
      <w:r w:rsidR="0035558B">
        <w:rPr>
          <w:rFonts w:asciiTheme="minorHAnsi" w:eastAsia="Calibri" w:hAnsiTheme="minorHAnsi" w:cstheme="minorHAnsi"/>
          <w:bCs/>
          <w:lang w:eastAsia="en-US"/>
        </w:rPr>
        <w:t xml:space="preserve"> i kredite za ulaganja u osnovna sredstva</w:t>
      </w:r>
      <w:r w:rsidRPr="002451B4">
        <w:rPr>
          <w:rFonts w:asciiTheme="minorHAnsi" w:eastAsia="Calibri" w:hAnsiTheme="minorHAnsi" w:cstheme="minorHAnsi"/>
          <w:lang w:eastAsia="en-US"/>
        </w:rPr>
        <w:t xml:space="preserve">, a </w:t>
      </w:r>
      <w:r w:rsidR="00607BB2" w:rsidRPr="002451B4">
        <w:rPr>
          <w:rFonts w:asciiTheme="minorHAnsi" w:eastAsia="Calibri" w:hAnsiTheme="minorHAnsi" w:cstheme="minorHAnsi"/>
          <w:lang w:eastAsia="en-US"/>
        </w:rPr>
        <w:t>temeljem odjeljka</w:t>
      </w:r>
      <w:r w:rsidRPr="002451B4">
        <w:rPr>
          <w:rFonts w:asciiTheme="minorHAnsi" w:eastAsia="Calibri" w:hAnsiTheme="minorHAnsi" w:cstheme="minorHAnsi"/>
          <w:lang w:eastAsia="en-US"/>
        </w:rPr>
        <w:t xml:space="preserve"> 3.1. Privremenog okvira. </w:t>
      </w:r>
    </w:p>
    <w:p w14:paraId="0655B41F" w14:textId="20EBB998" w:rsidR="00646C70" w:rsidRPr="002451B4" w:rsidRDefault="00646C70" w:rsidP="006775C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26E97702" w14:textId="1D9DBC1C" w:rsidR="006775C7" w:rsidRPr="002451B4" w:rsidRDefault="006775C7" w:rsidP="006775C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451B4">
        <w:rPr>
          <w:rFonts w:asciiTheme="minorHAnsi" w:eastAsia="Calibri" w:hAnsiTheme="minorHAnsi" w:cstheme="minorHAnsi"/>
          <w:lang w:eastAsia="en-US"/>
        </w:rPr>
        <w:t>Mjer</w:t>
      </w:r>
      <w:r w:rsidR="000B6BB9">
        <w:rPr>
          <w:rFonts w:asciiTheme="minorHAnsi" w:eastAsia="Calibri" w:hAnsiTheme="minorHAnsi" w:cstheme="minorHAnsi"/>
          <w:lang w:eastAsia="en-US"/>
        </w:rPr>
        <w:t>e</w:t>
      </w:r>
      <w:r w:rsidRPr="002451B4">
        <w:rPr>
          <w:rFonts w:asciiTheme="minorHAnsi" w:eastAsia="Calibri" w:hAnsiTheme="minorHAnsi" w:cstheme="minorHAnsi"/>
          <w:lang w:eastAsia="en-US"/>
        </w:rPr>
        <w:t xml:space="preserve"> će se provesti tako da će korisnicima (bankama) biti pruženo pojedinačno i portfeljno osiguranje za neplaćanje obveza izvoznika za nove kredite za likvidnost i </w:t>
      </w:r>
      <w:r w:rsidR="004267A4" w:rsidRPr="002451B4">
        <w:rPr>
          <w:rFonts w:asciiTheme="minorHAnsi" w:eastAsia="Calibri" w:hAnsiTheme="minorHAnsi" w:cstheme="minorHAnsi"/>
          <w:lang w:eastAsia="en-US"/>
        </w:rPr>
        <w:t>ulaganja</w:t>
      </w:r>
      <w:r w:rsidR="00866A8A">
        <w:rPr>
          <w:rFonts w:asciiTheme="minorHAnsi" w:eastAsia="Calibri" w:hAnsiTheme="minorHAnsi" w:cstheme="minorHAnsi"/>
          <w:lang w:eastAsia="en-US"/>
        </w:rPr>
        <w:t xml:space="preserve"> u osnovna sredstva</w:t>
      </w:r>
      <w:r w:rsidR="004267A4" w:rsidRPr="002451B4">
        <w:rPr>
          <w:rFonts w:asciiTheme="minorHAnsi" w:eastAsia="Calibri" w:hAnsiTheme="minorHAnsi" w:cstheme="minorHAnsi"/>
          <w:lang w:eastAsia="en-US"/>
        </w:rPr>
        <w:t xml:space="preserve"> </w:t>
      </w:r>
      <w:r w:rsidRPr="002451B4">
        <w:rPr>
          <w:rFonts w:asciiTheme="minorHAnsi" w:eastAsia="Calibri" w:hAnsiTheme="minorHAnsi" w:cstheme="minorHAnsi"/>
          <w:lang w:eastAsia="en-US"/>
        </w:rPr>
        <w:t xml:space="preserve">te će </w:t>
      </w:r>
      <w:r w:rsidR="00866A8A">
        <w:rPr>
          <w:rFonts w:asciiTheme="minorHAnsi" w:eastAsia="Calibri" w:hAnsiTheme="minorHAnsi" w:cstheme="minorHAnsi"/>
          <w:lang w:eastAsia="en-US"/>
        </w:rPr>
        <w:t>kod</w:t>
      </w:r>
      <w:r w:rsidR="00D474AE" w:rsidRPr="002451B4">
        <w:rPr>
          <w:rFonts w:asciiTheme="minorHAnsi" w:eastAsia="Calibri" w:hAnsiTheme="minorHAnsi" w:cstheme="minorHAnsi"/>
          <w:lang w:eastAsia="en-US"/>
        </w:rPr>
        <w:t xml:space="preserve"> kredita za </w:t>
      </w:r>
      <w:r w:rsidR="0035558B">
        <w:rPr>
          <w:rFonts w:asciiTheme="minorHAnsi" w:eastAsia="Calibri" w:hAnsiTheme="minorHAnsi" w:cstheme="minorHAnsi"/>
          <w:lang w:eastAsia="en-US"/>
        </w:rPr>
        <w:t>likvidnost</w:t>
      </w:r>
      <w:r w:rsidR="004F70E0">
        <w:rPr>
          <w:rFonts w:asciiTheme="minorHAnsi" w:eastAsia="Calibri" w:hAnsiTheme="minorHAnsi" w:cstheme="minorHAnsi"/>
          <w:lang w:eastAsia="en-US"/>
        </w:rPr>
        <w:t xml:space="preserve"> i ulaganja</w:t>
      </w:r>
      <w:r w:rsidR="00D474AE" w:rsidRPr="002451B4">
        <w:rPr>
          <w:rFonts w:asciiTheme="minorHAnsi" w:eastAsia="Calibri" w:hAnsiTheme="minorHAnsi" w:cstheme="minorHAnsi"/>
          <w:lang w:eastAsia="en-US"/>
        </w:rPr>
        <w:t xml:space="preserve"> </w:t>
      </w:r>
      <w:r w:rsidRPr="002451B4">
        <w:rPr>
          <w:rFonts w:asciiTheme="minorHAnsi" w:eastAsia="Calibri" w:hAnsiTheme="minorHAnsi" w:cstheme="minorHAnsi"/>
          <w:lang w:eastAsia="en-US"/>
        </w:rPr>
        <w:t>izvoznicima</w:t>
      </w:r>
      <w:r w:rsidR="003B0F8C">
        <w:rPr>
          <w:rFonts w:asciiTheme="minorHAnsi" w:eastAsia="Calibri" w:hAnsiTheme="minorHAnsi" w:cstheme="minorHAnsi"/>
          <w:lang w:eastAsia="en-US"/>
        </w:rPr>
        <w:t xml:space="preserve">, </w:t>
      </w:r>
      <w:bookmarkStart w:id="2" w:name="_Hlk54775799"/>
      <w:r w:rsidR="003B0F8C">
        <w:rPr>
          <w:rFonts w:asciiTheme="minorHAnsi" w:eastAsia="Calibri" w:hAnsiTheme="minorHAnsi" w:cstheme="minorHAnsi"/>
          <w:lang w:eastAsia="en-US"/>
        </w:rPr>
        <w:t>u određenim slučajevima koje će propisati HBOR,</w:t>
      </w:r>
      <w:r w:rsidRPr="002451B4">
        <w:rPr>
          <w:rFonts w:asciiTheme="minorHAnsi" w:eastAsia="Calibri" w:hAnsiTheme="minorHAnsi" w:cstheme="minorHAnsi"/>
          <w:lang w:eastAsia="en-US"/>
        </w:rPr>
        <w:t xml:space="preserve"> </w:t>
      </w:r>
      <w:r w:rsidR="00305A85">
        <w:rPr>
          <w:rFonts w:asciiTheme="minorHAnsi" w:eastAsia="Calibri" w:hAnsiTheme="minorHAnsi" w:cstheme="minorHAnsi"/>
          <w:lang w:eastAsia="en-US"/>
        </w:rPr>
        <w:t xml:space="preserve">biti moguće </w:t>
      </w:r>
      <w:r w:rsidRPr="002451B4">
        <w:rPr>
          <w:rFonts w:asciiTheme="minorHAnsi" w:eastAsia="Calibri" w:hAnsiTheme="minorHAnsi" w:cstheme="minorHAnsi"/>
          <w:lang w:eastAsia="en-US"/>
        </w:rPr>
        <w:t xml:space="preserve">putem izravnih bespovratnih sredstava </w:t>
      </w:r>
      <w:r w:rsidR="00305A85" w:rsidRPr="002451B4">
        <w:rPr>
          <w:rFonts w:asciiTheme="minorHAnsi" w:eastAsia="Calibri" w:hAnsiTheme="minorHAnsi" w:cstheme="minorHAnsi"/>
          <w:lang w:eastAsia="en-US"/>
        </w:rPr>
        <w:t>pokri</w:t>
      </w:r>
      <w:r w:rsidR="00305A85">
        <w:rPr>
          <w:rFonts w:asciiTheme="minorHAnsi" w:eastAsia="Calibri" w:hAnsiTheme="minorHAnsi" w:cstheme="minorHAnsi"/>
          <w:lang w:eastAsia="en-US"/>
        </w:rPr>
        <w:t xml:space="preserve">ti </w:t>
      </w:r>
      <w:r w:rsidRPr="002451B4">
        <w:rPr>
          <w:rFonts w:asciiTheme="minorHAnsi" w:eastAsia="Calibri" w:hAnsiTheme="minorHAnsi" w:cstheme="minorHAnsi"/>
          <w:lang w:eastAsia="en-US"/>
        </w:rPr>
        <w:t xml:space="preserve">iznos premije osiguranja. </w:t>
      </w:r>
      <w:bookmarkEnd w:id="2"/>
      <w:r w:rsidRPr="002451B4">
        <w:rPr>
          <w:rFonts w:asciiTheme="minorHAnsi" w:eastAsia="Calibri" w:hAnsiTheme="minorHAnsi" w:cstheme="minorHAnsi"/>
          <w:lang w:eastAsia="en-US"/>
        </w:rPr>
        <w:t xml:space="preserve">   </w:t>
      </w:r>
    </w:p>
    <w:p w14:paraId="5BD227E5" w14:textId="28515C54" w:rsidR="006775C7" w:rsidRPr="002451B4" w:rsidRDefault="006775C7" w:rsidP="006775C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3D553F3D" w14:textId="74100A9F" w:rsidR="006775C7" w:rsidRDefault="006775C7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2C53526" w14:textId="6ABE7003" w:rsidR="00A22404" w:rsidRPr="00D15E02" w:rsidRDefault="00660001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15E02">
        <w:rPr>
          <w:rFonts w:asciiTheme="minorHAnsi" w:eastAsia="Calibri" w:hAnsiTheme="minorHAnsi" w:cstheme="minorHAnsi"/>
          <w:b/>
          <w:bCs/>
          <w:lang w:eastAsia="en-US"/>
        </w:rPr>
        <w:t xml:space="preserve">Postotak pokrića osiguranja </w:t>
      </w:r>
    </w:p>
    <w:p w14:paraId="07C6F346" w14:textId="2B2C1631" w:rsidR="00287BA0" w:rsidRPr="00D15E02" w:rsidRDefault="00D17D8E" w:rsidP="00287BA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Pojedinačnim i </w:t>
      </w:r>
      <w:proofErr w:type="spellStart"/>
      <w:r>
        <w:rPr>
          <w:rFonts w:asciiTheme="minorHAnsi" w:eastAsia="Calibri" w:hAnsiTheme="minorHAnsi" w:cstheme="minorHAnsi"/>
          <w:lang w:eastAsia="en-US"/>
        </w:rPr>
        <w:t>p</w:t>
      </w:r>
      <w:r w:rsidRPr="00D15E02">
        <w:rPr>
          <w:rFonts w:asciiTheme="minorHAnsi" w:eastAsia="Calibri" w:hAnsiTheme="minorHAnsi" w:cstheme="minorHAnsi"/>
          <w:lang w:eastAsia="en-US"/>
        </w:rPr>
        <w:t>ortfeljnim</w:t>
      </w:r>
      <w:proofErr w:type="spellEnd"/>
      <w:r w:rsidRPr="00D15E02">
        <w:rPr>
          <w:rFonts w:asciiTheme="minorHAnsi" w:eastAsia="Calibri" w:hAnsiTheme="minorHAnsi" w:cstheme="minorHAnsi"/>
          <w:lang w:eastAsia="en-US"/>
        </w:rPr>
        <w:t xml:space="preserve"> </w:t>
      </w:r>
      <w:r w:rsidR="005E42D0" w:rsidRPr="00D15E02">
        <w:rPr>
          <w:rFonts w:asciiTheme="minorHAnsi" w:eastAsia="Calibri" w:hAnsiTheme="minorHAnsi" w:cstheme="minorHAnsi"/>
          <w:lang w:eastAsia="en-US"/>
        </w:rPr>
        <w:t xml:space="preserve">osiguranjem bit će </w:t>
      </w:r>
      <w:r w:rsidR="00660001" w:rsidRPr="00D15E02">
        <w:rPr>
          <w:rFonts w:asciiTheme="minorHAnsi" w:eastAsia="Calibri" w:hAnsiTheme="minorHAnsi" w:cstheme="minorHAnsi"/>
          <w:lang w:eastAsia="en-US"/>
        </w:rPr>
        <w:t xml:space="preserve">pokriveno </w:t>
      </w:r>
      <w:r>
        <w:rPr>
          <w:rFonts w:asciiTheme="minorHAnsi" w:eastAsia="Calibri" w:hAnsiTheme="minorHAnsi" w:cstheme="minorHAnsi"/>
          <w:lang w:eastAsia="en-US"/>
        </w:rPr>
        <w:t>do najviše 9</w:t>
      </w:r>
      <w:r w:rsidRPr="00D15E02">
        <w:rPr>
          <w:rFonts w:asciiTheme="minorHAnsi" w:eastAsia="Calibri" w:hAnsiTheme="minorHAnsi" w:cstheme="minorHAnsi"/>
          <w:lang w:eastAsia="en-US"/>
        </w:rPr>
        <w:t>0</w:t>
      </w:r>
      <w:r w:rsidR="00660001" w:rsidRPr="00D15E02">
        <w:rPr>
          <w:rFonts w:asciiTheme="minorHAnsi" w:eastAsia="Calibri" w:hAnsiTheme="minorHAnsi" w:cstheme="minorHAnsi"/>
          <w:lang w:eastAsia="en-US"/>
        </w:rPr>
        <w:t xml:space="preserve">% </w:t>
      </w:r>
      <w:r w:rsidR="005E42D0" w:rsidRPr="00D15E02">
        <w:rPr>
          <w:rFonts w:asciiTheme="minorHAnsi" w:eastAsia="Calibri" w:hAnsiTheme="minorHAnsi" w:cstheme="minorHAnsi"/>
          <w:lang w:eastAsia="en-US"/>
        </w:rPr>
        <w:t xml:space="preserve">iznosa </w:t>
      </w:r>
      <w:r w:rsidR="00660001" w:rsidRPr="00D15E02">
        <w:rPr>
          <w:rFonts w:asciiTheme="minorHAnsi" w:eastAsia="Calibri" w:hAnsiTheme="minorHAnsi" w:cstheme="minorHAnsi"/>
          <w:lang w:eastAsia="en-US"/>
        </w:rPr>
        <w:t>glavnice kredita</w:t>
      </w:r>
      <w:r>
        <w:rPr>
          <w:rFonts w:asciiTheme="minorHAnsi" w:eastAsia="Calibri" w:hAnsiTheme="minorHAnsi" w:cstheme="minorHAnsi"/>
          <w:lang w:eastAsia="en-US"/>
        </w:rPr>
        <w:t>.</w:t>
      </w:r>
      <w:r w:rsidR="00386CA1">
        <w:rPr>
          <w:rFonts w:asciiTheme="minorHAnsi" w:eastAsia="Calibri" w:hAnsiTheme="minorHAnsi" w:cstheme="minorHAnsi"/>
          <w:lang w:eastAsia="en-US"/>
        </w:rPr>
        <w:t xml:space="preserve"> Kod </w:t>
      </w:r>
      <w:r w:rsidR="00287BA0">
        <w:rPr>
          <w:rFonts w:asciiTheme="minorHAnsi" w:eastAsia="Calibri" w:hAnsiTheme="minorHAnsi" w:cstheme="minorHAnsi"/>
          <w:lang w:eastAsia="en-US"/>
        </w:rPr>
        <w:t xml:space="preserve">visina pokrića nižih od 90%, osiguranjem može biti pokrivena i redovna kamata, </w:t>
      </w:r>
      <w:r w:rsidR="00287BA0">
        <w:rPr>
          <w:rFonts w:asciiTheme="minorHAnsi" w:eastAsia="Calibri" w:hAnsiTheme="minorHAnsi" w:cstheme="minorHAnsi"/>
          <w:bCs/>
          <w:lang w:eastAsia="en-US"/>
        </w:rPr>
        <w:t xml:space="preserve">no ni u kojem slučaju ukupan iznos odštete ne može premašiti 90% glavnice kredita. </w:t>
      </w:r>
    </w:p>
    <w:p w14:paraId="37C980DA" w14:textId="77777777" w:rsidR="003E6A0A" w:rsidRDefault="003E6A0A" w:rsidP="005B2592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797E6667" w14:textId="4C496C38" w:rsidR="005B2592" w:rsidRPr="00D15E02" w:rsidRDefault="00D17D8E" w:rsidP="005B2592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HBOR zadržava pravo definirati </w:t>
      </w:r>
      <w:r w:rsidR="0051494D">
        <w:rPr>
          <w:rFonts w:asciiTheme="minorHAnsi" w:eastAsia="Calibri" w:hAnsiTheme="minorHAnsi" w:cstheme="minorHAnsi"/>
          <w:lang w:eastAsia="en-US"/>
        </w:rPr>
        <w:t xml:space="preserve">dodatne </w:t>
      </w:r>
      <w:r>
        <w:rPr>
          <w:rFonts w:asciiTheme="minorHAnsi" w:eastAsia="Calibri" w:hAnsiTheme="minorHAnsi" w:cstheme="minorHAnsi"/>
          <w:lang w:eastAsia="en-US"/>
        </w:rPr>
        <w:t xml:space="preserve">uvjete pod kojima će pružati visinu pokrića od 50%-90%, u skladu s potrebama upravljanja preuzetim rizicima, </w:t>
      </w:r>
      <w:r w:rsidR="007E796A">
        <w:rPr>
          <w:rFonts w:asciiTheme="minorHAnsi" w:eastAsia="Calibri" w:hAnsiTheme="minorHAnsi" w:cstheme="minorHAnsi"/>
          <w:lang w:eastAsia="en-US"/>
        </w:rPr>
        <w:t xml:space="preserve">potrebom prenošenja koristi od osiguranja na krajnje korisnike, </w:t>
      </w:r>
      <w:r>
        <w:rPr>
          <w:rFonts w:asciiTheme="minorHAnsi" w:eastAsia="Calibri" w:hAnsiTheme="minorHAnsi" w:cstheme="minorHAnsi"/>
          <w:lang w:eastAsia="en-US"/>
        </w:rPr>
        <w:t xml:space="preserve">poticanjem posebnih skupina poduzetnika te ostalim ciljevima definiranim od strane </w:t>
      </w:r>
      <w:r w:rsidR="005B2592">
        <w:rPr>
          <w:rFonts w:asciiTheme="minorHAnsi" w:eastAsia="Calibri" w:hAnsiTheme="minorHAnsi" w:cstheme="minorHAnsi"/>
          <w:lang w:eastAsia="en-US"/>
        </w:rPr>
        <w:t xml:space="preserve">HBOR-a ili </w:t>
      </w:r>
      <w:r>
        <w:rPr>
          <w:rFonts w:asciiTheme="minorHAnsi" w:eastAsia="Calibri" w:hAnsiTheme="minorHAnsi" w:cstheme="minorHAnsi"/>
          <w:lang w:eastAsia="en-US"/>
        </w:rPr>
        <w:t>Vlade Republike Hrvatske.</w:t>
      </w:r>
      <w:r w:rsidR="00CF23F0">
        <w:rPr>
          <w:rFonts w:asciiTheme="minorHAnsi" w:eastAsia="Calibri" w:hAnsiTheme="minorHAnsi" w:cstheme="minorHAnsi"/>
          <w:lang w:eastAsia="en-US"/>
        </w:rPr>
        <w:t xml:space="preserve"> </w:t>
      </w:r>
      <w:r w:rsidR="005B2592">
        <w:rPr>
          <w:rFonts w:asciiTheme="minorHAnsi" w:eastAsia="Calibri" w:hAnsiTheme="minorHAnsi" w:cstheme="minorHAnsi"/>
          <w:lang w:eastAsia="en-US"/>
        </w:rPr>
        <w:t>Navedeni uvjeti ni u kojem slučaju neće prelaziti uvjete iz ovog Programa.</w:t>
      </w:r>
    </w:p>
    <w:p w14:paraId="42789C3C" w14:textId="775B81E7" w:rsidR="002427F8" w:rsidRDefault="002427F8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C937B80" w14:textId="77777777" w:rsidR="003E6A0A" w:rsidRPr="002F3CC7" w:rsidRDefault="003E6A0A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80E71CE" w14:textId="7D06959F" w:rsidR="003949A8" w:rsidRPr="00D15E02" w:rsidRDefault="002706B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3" w:name="_Hlk54875347"/>
      <w:r w:rsidRPr="00D15E02">
        <w:rPr>
          <w:rFonts w:asciiTheme="minorHAnsi" w:eastAsia="Calibri" w:hAnsiTheme="minorHAnsi" w:cstheme="minorHAnsi"/>
          <w:b/>
          <w:lang w:eastAsia="en-US"/>
        </w:rPr>
        <w:t>Proračun i trajanje mjer</w:t>
      </w:r>
      <w:r w:rsidR="000B6BB9">
        <w:rPr>
          <w:rFonts w:asciiTheme="minorHAnsi" w:eastAsia="Calibri" w:hAnsiTheme="minorHAnsi" w:cstheme="minorHAnsi"/>
          <w:b/>
          <w:lang w:eastAsia="en-US"/>
        </w:rPr>
        <w:t>a</w:t>
      </w:r>
      <w:r w:rsidR="003949A8" w:rsidRPr="00D15E02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042A71D9" w14:textId="082BE295" w:rsidR="002706B2" w:rsidRDefault="002706B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3718A">
        <w:rPr>
          <w:rFonts w:asciiTheme="minorHAnsi" w:eastAsia="Calibri" w:hAnsiTheme="minorHAnsi" w:cstheme="minorHAnsi"/>
          <w:lang w:eastAsia="en-US"/>
        </w:rPr>
        <w:t>Osiguranje</w:t>
      </w:r>
      <w:r w:rsidR="009B742D" w:rsidRPr="0093718A">
        <w:rPr>
          <w:rFonts w:asciiTheme="minorHAnsi" w:eastAsia="Calibri" w:hAnsiTheme="minorHAnsi" w:cstheme="minorHAnsi"/>
          <w:lang w:eastAsia="en-US"/>
        </w:rPr>
        <w:t xml:space="preserve"> i</w:t>
      </w:r>
      <w:r w:rsidRPr="0093718A">
        <w:rPr>
          <w:rFonts w:asciiTheme="minorHAnsi" w:eastAsia="Calibri" w:hAnsiTheme="minorHAnsi" w:cstheme="minorHAnsi"/>
          <w:lang w:eastAsia="en-US"/>
        </w:rPr>
        <w:t xml:space="preserve"> </w:t>
      </w:r>
      <w:bookmarkStart w:id="4" w:name="_Hlk54606661"/>
      <w:r w:rsidR="009B742D" w:rsidRPr="0093718A">
        <w:rPr>
          <w:rFonts w:asciiTheme="minorHAnsi" w:eastAsia="Calibri" w:hAnsiTheme="minorHAnsi" w:cstheme="minorHAnsi"/>
          <w:lang w:eastAsia="en-US"/>
        </w:rPr>
        <w:t>izravna bespovratn</w:t>
      </w:r>
      <w:r w:rsidR="00734F88" w:rsidRPr="0093718A">
        <w:rPr>
          <w:rFonts w:asciiTheme="minorHAnsi" w:eastAsia="Calibri" w:hAnsiTheme="minorHAnsi" w:cstheme="minorHAnsi"/>
          <w:lang w:eastAsia="en-US"/>
        </w:rPr>
        <w:t>a</w:t>
      </w:r>
      <w:r w:rsidR="009B742D" w:rsidRPr="0093718A">
        <w:rPr>
          <w:rFonts w:asciiTheme="minorHAnsi" w:eastAsia="Calibri" w:hAnsiTheme="minorHAnsi" w:cstheme="minorHAnsi"/>
          <w:lang w:eastAsia="en-US"/>
        </w:rPr>
        <w:t xml:space="preserve"> sredstva namijenjena pokriću premije osiguranja</w:t>
      </w:r>
      <w:r w:rsidR="00734F88" w:rsidRPr="0093718A">
        <w:rPr>
          <w:rFonts w:asciiTheme="minorHAnsi" w:eastAsia="Calibri" w:hAnsiTheme="minorHAnsi" w:cstheme="minorHAnsi"/>
          <w:lang w:eastAsia="en-US"/>
        </w:rPr>
        <w:t xml:space="preserve"> </w:t>
      </w:r>
      <w:bookmarkEnd w:id="4"/>
      <w:r w:rsidR="00734F88" w:rsidRPr="002451B4">
        <w:rPr>
          <w:rFonts w:asciiTheme="minorHAnsi" w:eastAsia="Calibri" w:hAnsiTheme="minorHAnsi" w:cstheme="minorHAnsi"/>
          <w:lang w:eastAsia="en-US"/>
        </w:rPr>
        <w:t>mo</w:t>
      </w:r>
      <w:r w:rsidR="00734F88">
        <w:rPr>
          <w:rFonts w:asciiTheme="minorHAnsi" w:eastAsia="Calibri" w:hAnsiTheme="minorHAnsi" w:cstheme="minorHAnsi"/>
          <w:lang w:eastAsia="en-US"/>
        </w:rPr>
        <w:t>gu</w:t>
      </w:r>
      <w:r w:rsidR="00734F88" w:rsidRPr="002451B4">
        <w:rPr>
          <w:rFonts w:asciiTheme="minorHAnsi" w:eastAsia="Calibri" w:hAnsiTheme="minorHAnsi" w:cstheme="minorHAnsi"/>
          <w:lang w:eastAsia="en-US"/>
        </w:rPr>
        <w:t xml:space="preserve"> </w:t>
      </w:r>
      <w:r w:rsidRPr="002451B4">
        <w:rPr>
          <w:rFonts w:asciiTheme="minorHAnsi" w:eastAsia="Calibri" w:hAnsiTheme="minorHAnsi" w:cstheme="minorHAnsi"/>
          <w:lang w:eastAsia="en-US"/>
        </w:rPr>
        <w:t xml:space="preserve">biti </w:t>
      </w:r>
      <w:r w:rsidR="00734F88" w:rsidRPr="002451B4">
        <w:rPr>
          <w:rFonts w:asciiTheme="minorHAnsi" w:eastAsia="Calibri" w:hAnsiTheme="minorHAnsi" w:cstheme="minorHAnsi"/>
          <w:lang w:eastAsia="en-US"/>
        </w:rPr>
        <w:t>dan</w:t>
      </w:r>
      <w:r w:rsidR="00734F88">
        <w:rPr>
          <w:rFonts w:asciiTheme="minorHAnsi" w:eastAsia="Calibri" w:hAnsiTheme="minorHAnsi" w:cstheme="minorHAnsi"/>
          <w:lang w:eastAsia="en-US"/>
        </w:rPr>
        <w:t>i</w:t>
      </w:r>
      <w:r w:rsidR="00734F88" w:rsidRPr="002451B4">
        <w:rPr>
          <w:rFonts w:asciiTheme="minorHAnsi" w:eastAsia="Calibri" w:hAnsiTheme="minorHAnsi" w:cstheme="minorHAnsi"/>
          <w:lang w:eastAsia="en-US"/>
        </w:rPr>
        <w:t xml:space="preserve"> </w:t>
      </w:r>
      <w:r w:rsidRPr="002451B4">
        <w:rPr>
          <w:rFonts w:asciiTheme="minorHAnsi" w:eastAsia="Calibri" w:hAnsiTheme="minorHAnsi" w:cstheme="minorHAnsi"/>
          <w:lang w:eastAsia="en-US"/>
        </w:rPr>
        <w:t xml:space="preserve">od datuma odobrenja </w:t>
      </w:r>
      <w:r w:rsidR="00D15E02" w:rsidRPr="002451B4">
        <w:rPr>
          <w:rFonts w:asciiTheme="minorHAnsi" w:eastAsia="Calibri" w:hAnsiTheme="minorHAnsi" w:cstheme="minorHAnsi"/>
          <w:lang w:eastAsia="en-US"/>
        </w:rPr>
        <w:t>m</w:t>
      </w:r>
      <w:r w:rsidR="005E42D0" w:rsidRPr="002451B4">
        <w:rPr>
          <w:rFonts w:asciiTheme="minorHAnsi" w:eastAsia="Calibri" w:hAnsiTheme="minorHAnsi" w:cstheme="minorHAnsi"/>
          <w:lang w:eastAsia="en-US"/>
        </w:rPr>
        <w:t xml:space="preserve">jere </w:t>
      </w:r>
      <w:r w:rsidRPr="002451B4">
        <w:rPr>
          <w:rFonts w:asciiTheme="minorHAnsi" w:eastAsia="Calibri" w:hAnsiTheme="minorHAnsi" w:cstheme="minorHAnsi"/>
          <w:lang w:eastAsia="en-US"/>
        </w:rPr>
        <w:t xml:space="preserve">od strane EK do </w:t>
      </w:r>
      <w:r w:rsidR="004F70E0" w:rsidRPr="003E6A0A">
        <w:rPr>
          <w:rFonts w:asciiTheme="minorHAnsi" w:eastAsia="Calibri" w:hAnsiTheme="minorHAnsi" w:cstheme="minorHAnsi"/>
          <w:lang w:eastAsia="en-US"/>
        </w:rPr>
        <w:t>30</w:t>
      </w:r>
      <w:r w:rsidR="005E42D0" w:rsidRPr="003E6A0A">
        <w:rPr>
          <w:rFonts w:asciiTheme="minorHAnsi" w:eastAsia="Calibri" w:hAnsiTheme="minorHAnsi" w:cstheme="minorHAnsi"/>
          <w:lang w:eastAsia="en-US"/>
        </w:rPr>
        <w:t>.</w:t>
      </w:r>
      <w:r w:rsidRPr="003E6A0A">
        <w:rPr>
          <w:rFonts w:asciiTheme="minorHAnsi" w:eastAsia="Calibri" w:hAnsiTheme="minorHAnsi" w:cstheme="minorHAnsi"/>
          <w:lang w:eastAsia="en-US"/>
        </w:rPr>
        <w:t xml:space="preserve"> </w:t>
      </w:r>
      <w:r w:rsidR="004F70E0" w:rsidRPr="003E6A0A">
        <w:rPr>
          <w:rFonts w:asciiTheme="minorHAnsi" w:eastAsia="Calibri" w:hAnsiTheme="minorHAnsi" w:cstheme="minorHAnsi"/>
          <w:lang w:eastAsia="en-US"/>
        </w:rPr>
        <w:t>lipnja 2021</w:t>
      </w:r>
      <w:r w:rsidRPr="003E6A0A">
        <w:rPr>
          <w:rFonts w:asciiTheme="minorHAnsi" w:eastAsia="Calibri" w:hAnsiTheme="minorHAnsi" w:cstheme="minorHAnsi"/>
          <w:lang w:eastAsia="en-US"/>
        </w:rPr>
        <w:t>.</w:t>
      </w:r>
      <w:r w:rsidRPr="002451B4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6A02128" w14:textId="1824C9C2" w:rsidR="004F62A0" w:rsidRDefault="004F62A0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565CE33A" w14:textId="72234CEA" w:rsidR="004F62A0" w:rsidRPr="002451B4" w:rsidRDefault="0094031C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Navedeno </w:t>
      </w:r>
      <w:r w:rsidR="003E6A0A">
        <w:rPr>
          <w:rFonts w:asciiTheme="minorHAnsi" w:eastAsia="Calibri" w:hAnsiTheme="minorHAnsi" w:cstheme="minorHAnsi"/>
          <w:lang w:eastAsia="en-US"/>
        </w:rPr>
        <w:t xml:space="preserve">znači </w:t>
      </w:r>
      <w:r>
        <w:rPr>
          <w:rFonts w:asciiTheme="minorHAnsi" w:eastAsia="Calibri" w:hAnsiTheme="minorHAnsi" w:cstheme="minorHAnsi"/>
          <w:lang w:eastAsia="en-US"/>
        </w:rPr>
        <w:t>da, ugovori o kreditu u</w:t>
      </w:r>
      <w:r w:rsidR="004F62A0">
        <w:rPr>
          <w:rFonts w:asciiTheme="minorHAnsi" w:eastAsia="Calibri" w:hAnsiTheme="minorHAnsi" w:cstheme="minorHAnsi"/>
          <w:lang w:eastAsia="en-US"/>
        </w:rPr>
        <w:t xml:space="preserve"> slučaju </w:t>
      </w:r>
      <w:proofErr w:type="spellStart"/>
      <w:r w:rsidR="004F62A0">
        <w:rPr>
          <w:rFonts w:asciiTheme="minorHAnsi" w:eastAsia="Calibri" w:hAnsiTheme="minorHAnsi" w:cstheme="minorHAnsi"/>
          <w:lang w:eastAsia="en-US"/>
        </w:rPr>
        <w:t>portfeljnog</w:t>
      </w:r>
      <w:proofErr w:type="spellEnd"/>
      <w:r w:rsidR="004F62A0">
        <w:rPr>
          <w:rFonts w:asciiTheme="minorHAnsi" w:eastAsia="Calibri" w:hAnsiTheme="minorHAnsi" w:cstheme="minorHAnsi"/>
          <w:lang w:eastAsia="en-US"/>
        </w:rPr>
        <w:t xml:space="preserve"> osiguranja, </w:t>
      </w:r>
      <w:r>
        <w:rPr>
          <w:rFonts w:asciiTheme="minorHAnsi" w:eastAsia="Calibri" w:hAnsiTheme="minorHAnsi" w:cstheme="minorHAnsi"/>
          <w:lang w:eastAsia="en-US"/>
        </w:rPr>
        <w:t>odnosno police osiguranja kod pojedinačnog osiguranja</w:t>
      </w:r>
      <w:r w:rsidR="003E6A0A">
        <w:rPr>
          <w:rFonts w:asciiTheme="minorHAnsi" w:eastAsia="Calibri" w:hAnsiTheme="minorHAnsi" w:cstheme="minorHAnsi"/>
          <w:lang w:eastAsia="en-US"/>
        </w:rPr>
        <w:t>,</w:t>
      </w:r>
      <w:r w:rsidDel="0094031C">
        <w:rPr>
          <w:rFonts w:asciiTheme="minorHAnsi" w:eastAsia="Calibri" w:hAnsiTheme="minorHAnsi" w:cstheme="minorHAnsi"/>
          <w:lang w:eastAsia="en-US"/>
        </w:rPr>
        <w:t xml:space="preserve"> </w:t>
      </w:r>
      <w:r w:rsidR="004F62A0">
        <w:rPr>
          <w:rFonts w:asciiTheme="minorHAnsi" w:eastAsia="Calibri" w:hAnsiTheme="minorHAnsi" w:cstheme="minorHAnsi"/>
          <w:lang w:eastAsia="en-US"/>
        </w:rPr>
        <w:t>moraju biti zaključeni do navedenog datuma.</w:t>
      </w:r>
    </w:p>
    <w:p w14:paraId="0C11CEEF" w14:textId="77777777" w:rsidR="005E449C" w:rsidRDefault="005E449C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7B012F1C" w14:textId="36072CAB" w:rsidR="003E6A0A" w:rsidRDefault="0096600A" w:rsidP="00F756B4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 xml:space="preserve">Procijenjeni budžet </w:t>
      </w:r>
      <w:r w:rsidR="00F756B4">
        <w:rPr>
          <w:rFonts w:asciiTheme="minorHAnsi" w:eastAsia="Calibri" w:hAnsiTheme="minorHAnsi" w:cstheme="minorHAnsi"/>
          <w:lang w:eastAsia="en-US"/>
        </w:rPr>
        <w:t xml:space="preserve">za </w:t>
      </w:r>
      <w:r w:rsidR="00F756B4" w:rsidRPr="00D15E02">
        <w:rPr>
          <w:rFonts w:asciiTheme="minorHAnsi" w:eastAsia="Calibri" w:hAnsiTheme="minorHAnsi" w:cstheme="minorHAnsi"/>
          <w:lang w:eastAsia="en-US"/>
        </w:rPr>
        <w:t>osiguranj</w:t>
      </w:r>
      <w:r w:rsidR="00F756B4">
        <w:rPr>
          <w:rFonts w:asciiTheme="minorHAnsi" w:eastAsia="Calibri" w:hAnsiTheme="minorHAnsi" w:cstheme="minorHAnsi"/>
          <w:lang w:eastAsia="en-US"/>
        </w:rPr>
        <w:t>e (pojedinačno i portfel</w:t>
      </w:r>
      <w:r w:rsidR="00956799">
        <w:rPr>
          <w:rFonts w:asciiTheme="minorHAnsi" w:eastAsia="Calibri" w:hAnsiTheme="minorHAnsi" w:cstheme="minorHAnsi"/>
          <w:lang w:eastAsia="en-US"/>
        </w:rPr>
        <w:t>j</w:t>
      </w:r>
      <w:r w:rsidR="00F756B4">
        <w:rPr>
          <w:rFonts w:asciiTheme="minorHAnsi" w:eastAsia="Calibri" w:hAnsiTheme="minorHAnsi" w:cstheme="minorHAnsi"/>
          <w:lang w:eastAsia="en-US"/>
        </w:rPr>
        <w:t>no)</w:t>
      </w:r>
      <w:r w:rsidR="00F756B4" w:rsidRPr="00D15E02">
        <w:rPr>
          <w:rFonts w:asciiTheme="minorHAnsi" w:eastAsia="Calibri" w:hAnsiTheme="minorHAnsi" w:cstheme="minorHAnsi"/>
          <w:lang w:eastAsia="en-US"/>
        </w:rPr>
        <w:t xml:space="preserve"> </w:t>
      </w:r>
      <w:r w:rsidRPr="00D15E02">
        <w:rPr>
          <w:rFonts w:asciiTheme="minorHAnsi" w:eastAsia="Calibri" w:hAnsiTheme="minorHAnsi" w:cstheme="minorHAnsi"/>
          <w:lang w:eastAsia="en-US"/>
        </w:rPr>
        <w:t xml:space="preserve">je </w:t>
      </w:r>
      <w:r w:rsidR="00F756B4">
        <w:rPr>
          <w:rFonts w:asciiTheme="minorHAnsi" w:eastAsia="Calibri" w:hAnsiTheme="minorHAnsi" w:cstheme="minorHAnsi"/>
          <w:lang w:eastAsia="en-US"/>
        </w:rPr>
        <w:t>5,4</w:t>
      </w:r>
      <w:r w:rsidR="00F756B4" w:rsidRPr="00D15E02">
        <w:rPr>
          <w:rFonts w:asciiTheme="minorHAnsi" w:eastAsia="Calibri" w:hAnsiTheme="minorHAnsi" w:cstheme="minorHAnsi"/>
          <w:lang w:eastAsia="en-US"/>
        </w:rPr>
        <w:t xml:space="preserve"> milijard</w:t>
      </w:r>
      <w:r w:rsidR="00F756B4">
        <w:rPr>
          <w:rFonts w:asciiTheme="minorHAnsi" w:eastAsia="Calibri" w:hAnsiTheme="minorHAnsi" w:cstheme="minorHAnsi"/>
          <w:lang w:eastAsia="en-US"/>
        </w:rPr>
        <w:t>i</w:t>
      </w:r>
      <w:r w:rsidR="00F756B4" w:rsidRPr="00D15E02">
        <w:rPr>
          <w:rFonts w:asciiTheme="minorHAnsi" w:eastAsia="Calibri" w:hAnsiTheme="minorHAnsi" w:cstheme="minorHAnsi"/>
          <w:lang w:eastAsia="en-US"/>
        </w:rPr>
        <w:t xml:space="preserve"> </w:t>
      </w:r>
      <w:r w:rsidRPr="00D15E02">
        <w:rPr>
          <w:rFonts w:asciiTheme="minorHAnsi" w:eastAsia="Calibri" w:hAnsiTheme="minorHAnsi" w:cstheme="minorHAnsi"/>
          <w:lang w:eastAsia="en-US"/>
        </w:rPr>
        <w:t>HRK</w:t>
      </w:r>
      <w:r w:rsidR="00F756B4">
        <w:rPr>
          <w:rFonts w:asciiTheme="minorHAnsi" w:eastAsia="Calibri" w:hAnsiTheme="minorHAnsi" w:cstheme="minorHAnsi"/>
          <w:lang w:eastAsia="en-US"/>
        </w:rPr>
        <w:t xml:space="preserve">, dok je procijenjeni budžet za </w:t>
      </w:r>
      <w:r w:rsidR="00F756B4" w:rsidRPr="0093718A">
        <w:rPr>
          <w:rFonts w:asciiTheme="minorHAnsi" w:eastAsia="Calibri" w:hAnsiTheme="minorHAnsi" w:cstheme="minorHAnsi"/>
          <w:lang w:eastAsia="en-US"/>
        </w:rPr>
        <w:t xml:space="preserve">bespovratna sredstva namijenjena pokriću premije osiguranja </w:t>
      </w:r>
      <w:r w:rsidR="00F756B4" w:rsidRPr="00F756B4">
        <w:rPr>
          <w:rFonts w:asciiTheme="minorHAnsi" w:eastAsia="Calibri" w:hAnsiTheme="minorHAnsi" w:cstheme="minorHAnsi"/>
          <w:lang w:eastAsia="en-US"/>
        </w:rPr>
        <w:t xml:space="preserve">186 milijuna </w:t>
      </w:r>
      <w:r w:rsidR="006310C9">
        <w:rPr>
          <w:rFonts w:asciiTheme="minorHAnsi" w:eastAsia="Calibri" w:hAnsiTheme="minorHAnsi" w:cstheme="minorHAnsi"/>
          <w:lang w:eastAsia="en-US"/>
        </w:rPr>
        <w:t>HRK</w:t>
      </w:r>
      <w:r w:rsidR="00F756B4" w:rsidRPr="00F756B4">
        <w:rPr>
          <w:rFonts w:asciiTheme="minorHAnsi" w:eastAsia="Calibri" w:hAnsiTheme="minorHAnsi" w:cstheme="minorHAnsi"/>
          <w:lang w:eastAsia="en-US"/>
        </w:rPr>
        <w:t>.</w:t>
      </w:r>
    </w:p>
    <w:bookmarkEnd w:id="3"/>
    <w:p w14:paraId="7E98D163" w14:textId="77777777" w:rsidR="003E6A0A" w:rsidRDefault="003E6A0A" w:rsidP="00F756B4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F7C21F4" w14:textId="47A5AC64" w:rsidR="003424EF" w:rsidRPr="00D15E02" w:rsidRDefault="00E52EF0" w:rsidP="00F756B4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15E02">
        <w:rPr>
          <w:rFonts w:asciiTheme="minorHAnsi" w:eastAsia="Calibri" w:hAnsiTheme="minorHAnsi" w:cstheme="minorHAnsi"/>
          <w:b/>
          <w:lang w:eastAsia="en-US"/>
        </w:rPr>
        <w:lastRenderedPageBreak/>
        <w:t>Korisnici osiguranja/Kreditori/ Osiguranici</w:t>
      </w:r>
    </w:p>
    <w:p w14:paraId="371F285A" w14:textId="7D5A9C64" w:rsidR="00E52EF0" w:rsidRDefault="00ED1E27" w:rsidP="00F756B4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Krajnji korisnici ov</w:t>
      </w:r>
      <w:r w:rsidR="000B6BB9">
        <w:rPr>
          <w:rFonts w:asciiTheme="minorHAnsi" w:eastAsia="Calibri" w:hAnsiTheme="minorHAnsi" w:cstheme="minorHAnsi"/>
          <w:lang w:eastAsia="en-US"/>
        </w:rPr>
        <w:t>ih</w:t>
      </w:r>
      <w:r w:rsidRPr="00D15E02">
        <w:rPr>
          <w:rFonts w:asciiTheme="minorHAnsi" w:eastAsia="Calibri" w:hAnsiTheme="minorHAnsi" w:cstheme="minorHAnsi"/>
          <w:lang w:eastAsia="en-US"/>
        </w:rPr>
        <w:t xml:space="preserve"> mjer</w:t>
      </w:r>
      <w:r w:rsidR="000B6BB9">
        <w:rPr>
          <w:rFonts w:asciiTheme="minorHAnsi" w:eastAsia="Calibri" w:hAnsiTheme="minorHAnsi" w:cstheme="minorHAnsi"/>
          <w:lang w:eastAsia="en-US"/>
        </w:rPr>
        <w:t>a</w:t>
      </w:r>
      <w:r w:rsidRPr="00D15E02">
        <w:rPr>
          <w:rFonts w:asciiTheme="minorHAnsi" w:eastAsia="Calibri" w:hAnsiTheme="minorHAnsi" w:cstheme="minorHAnsi"/>
          <w:lang w:eastAsia="en-US"/>
        </w:rPr>
        <w:t xml:space="preserve"> su izvoznici u Hrvatskoj kojima je potrebna likvidnost za njihove aktivnosti </w:t>
      </w:r>
      <w:r w:rsidR="00D17D8E">
        <w:rPr>
          <w:rFonts w:asciiTheme="minorHAnsi" w:eastAsia="Calibri" w:hAnsiTheme="minorHAnsi" w:cstheme="minorHAnsi"/>
          <w:lang w:eastAsia="en-US"/>
        </w:rPr>
        <w:t xml:space="preserve">ili krediti za </w:t>
      </w:r>
      <w:r w:rsidR="004267A4">
        <w:rPr>
          <w:rFonts w:asciiTheme="minorHAnsi" w:eastAsia="Calibri" w:hAnsiTheme="minorHAnsi" w:cstheme="minorHAnsi"/>
          <w:lang w:eastAsia="en-US"/>
        </w:rPr>
        <w:t>ulaganja</w:t>
      </w:r>
      <w:r w:rsidR="006310C9">
        <w:rPr>
          <w:rFonts w:asciiTheme="minorHAnsi" w:eastAsia="Calibri" w:hAnsiTheme="minorHAnsi" w:cstheme="minorHAnsi"/>
          <w:lang w:eastAsia="en-US"/>
        </w:rPr>
        <w:t xml:space="preserve"> u osnovna sredstva</w:t>
      </w:r>
      <w:r w:rsidR="004267A4">
        <w:rPr>
          <w:rFonts w:asciiTheme="minorHAnsi" w:eastAsia="Calibri" w:hAnsiTheme="minorHAnsi" w:cstheme="minorHAnsi"/>
          <w:lang w:eastAsia="en-US"/>
        </w:rPr>
        <w:t xml:space="preserve"> </w:t>
      </w:r>
      <w:r w:rsidRPr="00D15E02">
        <w:rPr>
          <w:rFonts w:asciiTheme="minorHAnsi" w:eastAsia="Calibri" w:hAnsiTheme="minorHAnsi" w:cstheme="minorHAnsi"/>
          <w:lang w:eastAsia="en-US"/>
        </w:rPr>
        <w:t>jer su suočeni s poteškoćama koje su rezultat pandemije uzrokovane COVID-19 virusom</w:t>
      </w:r>
      <w:r w:rsidR="00004BC2">
        <w:rPr>
          <w:rFonts w:asciiTheme="minorHAnsi" w:eastAsia="Calibri" w:hAnsiTheme="minorHAnsi" w:cstheme="minorHAnsi"/>
          <w:lang w:eastAsia="en-US"/>
        </w:rPr>
        <w:t xml:space="preserve">. </w:t>
      </w:r>
      <w:r w:rsidRPr="00D15E02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4281A22" w14:textId="217F6385" w:rsidR="002B47BD" w:rsidRDefault="002B47BD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04E7AB56" w14:textId="25EA8A4A" w:rsidR="002B47BD" w:rsidRPr="002B47BD" w:rsidRDefault="002B47BD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B47BD">
        <w:rPr>
          <w:rFonts w:asciiTheme="minorHAnsi" w:eastAsia="Calibri" w:hAnsiTheme="minorHAnsi" w:cstheme="minorHAnsi"/>
          <w:lang w:eastAsia="en-US"/>
        </w:rPr>
        <w:t xml:space="preserve">Prema ovom </w:t>
      </w:r>
      <w:r w:rsidR="00C401E6">
        <w:rPr>
          <w:rFonts w:asciiTheme="minorHAnsi" w:eastAsia="Calibri" w:hAnsiTheme="minorHAnsi" w:cstheme="minorHAnsi"/>
          <w:lang w:eastAsia="en-US"/>
        </w:rPr>
        <w:t>pojedinačnom i p</w:t>
      </w:r>
      <w:r w:rsidR="00C401E6" w:rsidRPr="002B47BD">
        <w:rPr>
          <w:rFonts w:asciiTheme="minorHAnsi" w:eastAsia="Calibri" w:hAnsiTheme="minorHAnsi" w:cstheme="minorHAnsi"/>
          <w:lang w:eastAsia="en-US"/>
        </w:rPr>
        <w:t xml:space="preserve">ortfeljnom </w:t>
      </w:r>
      <w:r w:rsidRPr="002B47BD">
        <w:rPr>
          <w:rFonts w:asciiTheme="minorHAnsi" w:eastAsia="Calibri" w:hAnsiTheme="minorHAnsi" w:cstheme="minorHAnsi"/>
          <w:lang w:eastAsia="en-US"/>
        </w:rPr>
        <w:t>osiguranju ne mogu se dodijeliti potpore poduzetnicima koji podliježu neizvršenom nalogu za povrat sredstava na temelju prethodne odluke Europske komisije kojom se potpora ocjenjuje nezakonitom i nespojivom s unutarnjim tržištem.</w:t>
      </w:r>
    </w:p>
    <w:p w14:paraId="56365539" w14:textId="74CAB6AF" w:rsidR="00E06E15" w:rsidRPr="00D15E02" w:rsidRDefault="00E06E15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FCF58AE" w14:textId="4CEE7001" w:rsidR="00F55EE6" w:rsidRDefault="00F55EE6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Mjer</w:t>
      </w:r>
      <w:r w:rsidR="000B6BB9">
        <w:rPr>
          <w:rFonts w:asciiTheme="minorHAnsi" w:eastAsia="Calibri" w:hAnsiTheme="minorHAnsi" w:cstheme="minorHAnsi"/>
          <w:lang w:eastAsia="en-US"/>
        </w:rPr>
        <w:t>e</w:t>
      </w:r>
      <w:r w:rsidRPr="00D15E02">
        <w:rPr>
          <w:rFonts w:asciiTheme="minorHAnsi" w:eastAsia="Calibri" w:hAnsiTheme="minorHAnsi" w:cstheme="minorHAnsi"/>
          <w:lang w:eastAsia="en-US"/>
        </w:rPr>
        <w:t xml:space="preserve"> </w:t>
      </w:r>
      <w:r w:rsidR="000B6BB9">
        <w:rPr>
          <w:rFonts w:asciiTheme="minorHAnsi" w:eastAsia="Calibri" w:hAnsiTheme="minorHAnsi" w:cstheme="minorHAnsi"/>
          <w:lang w:eastAsia="en-US"/>
        </w:rPr>
        <w:t>su</w:t>
      </w:r>
      <w:r w:rsidRPr="00D15E02">
        <w:rPr>
          <w:rFonts w:asciiTheme="minorHAnsi" w:eastAsia="Calibri" w:hAnsiTheme="minorHAnsi" w:cstheme="minorHAnsi"/>
          <w:lang w:eastAsia="en-US"/>
        </w:rPr>
        <w:t xml:space="preserve"> otvoren</w:t>
      </w:r>
      <w:r w:rsidR="000B6BB9">
        <w:rPr>
          <w:rFonts w:asciiTheme="minorHAnsi" w:eastAsia="Calibri" w:hAnsiTheme="minorHAnsi" w:cstheme="minorHAnsi"/>
          <w:lang w:eastAsia="en-US"/>
        </w:rPr>
        <w:t>e</w:t>
      </w:r>
      <w:r w:rsidRPr="00D15E02">
        <w:rPr>
          <w:rFonts w:asciiTheme="minorHAnsi" w:eastAsia="Calibri" w:hAnsiTheme="minorHAnsi" w:cstheme="minorHAnsi"/>
          <w:lang w:eastAsia="en-US"/>
        </w:rPr>
        <w:t xml:space="preserve"> za sve banke u Republici Hrvatskoj koje posluju u skladu sa Zakonom o kreditnim institucijama</w:t>
      </w:r>
      <w:r w:rsidR="005E42D0" w:rsidRPr="00D15E02">
        <w:rPr>
          <w:rFonts w:asciiTheme="minorHAnsi" w:eastAsia="Calibri" w:hAnsiTheme="minorHAnsi" w:cstheme="minorHAnsi"/>
          <w:lang w:eastAsia="en-US"/>
        </w:rPr>
        <w:t xml:space="preserve"> i za </w:t>
      </w:r>
      <w:r w:rsidRPr="00D15E02">
        <w:rPr>
          <w:rFonts w:asciiTheme="minorHAnsi" w:eastAsia="Calibri" w:hAnsiTheme="minorHAnsi" w:cstheme="minorHAnsi"/>
          <w:lang w:eastAsia="en-US"/>
        </w:rPr>
        <w:t>HBOR kao kreditor</w:t>
      </w:r>
      <w:r w:rsidR="00BF00B3" w:rsidRPr="00D15E02">
        <w:rPr>
          <w:rFonts w:asciiTheme="minorHAnsi" w:eastAsia="Calibri" w:hAnsiTheme="minorHAnsi" w:cstheme="minorHAnsi"/>
          <w:lang w:eastAsia="en-US"/>
        </w:rPr>
        <w:t>a</w:t>
      </w:r>
      <w:r w:rsidRPr="00D15E02">
        <w:rPr>
          <w:rFonts w:asciiTheme="minorHAnsi" w:eastAsia="Calibri" w:hAnsiTheme="minorHAnsi" w:cstheme="minorHAnsi"/>
          <w:lang w:eastAsia="en-US"/>
        </w:rPr>
        <w:t xml:space="preserve">. </w:t>
      </w:r>
      <w:r w:rsidR="00B450B6" w:rsidRPr="00D15E02">
        <w:rPr>
          <w:rFonts w:asciiTheme="minorHAnsi" w:eastAsia="Calibri" w:hAnsiTheme="minorHAnsi" w:cstheme="minorHAnsi"/>
          <w:lang w:eastAsia="en-US"/>
        </w:rPr>
        <w:t>Kako bi se izbjeglo davanje potpore kreditnim institucijama</w:t>
      </w:r>
      <w:r w:rsidR="00A00BEE">
        <w:rPr>
          <w:rFonts w:asciiTheme="minorHAnsi" w:eastAsia="Calibri" w:hAnsiTheme="minorHAnsi" w:cstheme="minorHAnsi"/>
          <w:lang w:eastAsia="en-US"/>
        </w:rPr>
        <w:t xml:space="preserve"> </w:t>
      </w:r>
      <w:r w:rsidR="00A00BEE" w:rsidRPr="002451B4">
        <w:rPr>
          <w:rFonts w:asciiTheme="minorHAnsi" w:eastAsia="Calibri" w:hAnsiTheme="minorHAnsi" w:cstheme="minorHAnsi"/>
          <w:lang w:eastAsia="en-US"/>
        </w:rPr>
        <w:t>kao financijskim posrednicima</w:t>
      </w:r>
      <w:r w:rsidR="00B450B6" w:rsidRPr="002451B4">
        <w:rPr>
          <w:rFonts w:asciiTheme="minorHAnsi" w:eastAsia="Calibri" w:hAnsiTheme="minorHAnsi" w:cstheme="minorHAnsi"/>
          <w:lang w:eastAsia="en-US"/>
        </w:rPr>
        <w:t xml:space="preserve">, </w:t>
      </w:r>
      <w:r w:rsidR="00D15E02" w:rsidRPr="002451B4">
        <w:rPr>
          <w:rFonts w:asciiTheme="minorHAnsi" w:eastAsia="Calibri" w:hAnsiTheme="minorHAnsi" w:cstheme="minorHAnsi"/>
          <w:lang w:eastAsia="en-US"/>
        </w:rPr>
        <w:t>m</w:t>
      </w:r>
      <w:r w:rsidR="00B450B6" w:rsidRPr="002451B4">
        <w:rPr>
          <w:rFonts w:asciiTheme="minorHAnsi" w:eastAsia="Calibri" w:hAnsiTheme="minorHAnsi" w:cstheme="minorHAnsi"/>
          <w:lang w:eastAsia="en-US"/>
        </w:rPr>
        <w:t>jer</w:t>
      </w:r>
      <w:r w:rsidR="000B6BB9">
        <w:rPr>
          <w:rFonts w:asciiTheme="minorHAnsi" w:eastAsia="Calibri" w:hAnsiTheme="minorHAnsi" w:cstheme="minorHAnsi"/>
          <w:lang w:eastAsia="en-US"/>
        </w:rPr>
        <w:t>e</w:t>
      </w:r>
      <w:r w:rsidR="00B450B6" w:rsidRPr="002451B4">
        <w:rPr>
          <w:rFonts w:asciiTheme="minorHAnsi" w:eastAsia="Calibri" w:hAnsiTheme="minorHAnsi" w:cstheme="minorHAnsi"/>
          <w:lang w:eastAsia="en-US"/>
        </w:rPr>
        <w:t xml:space="preserve"> </w:t>
      </w:r>
      <w:r w:rsidR="00B450B6" w:rsidRPr="00D15E02">
        <w:rPr>
          <w:rFonts w:asciiTheme="minorHAnsi" w:eastAsia="Calibri" w:hAnsiTheme="minorHAnsi" w:cstheme="minorHAnsi"/>
          <w:lang w:eastAsia="en-US"/>
        </w:rPr>
        <w:t>se odnos</w:t>
      </w:r>
      <w:r w:rsidR="000B6BB9">
        <w:rPr>
          <w:rFonts w:asciiTheme="minorHAnsi" w:eastAsia="Calibri" w:hAnsiTheme="minorHAnsi" w:cstheme="minorHAnsi"/>
          <w:lang w:eastAsia="en-US"/>
        </w:rPr>
        <w:t>e</w:t>
      </w:r>
      <w:r w:rsidR="00B450B6" w:rsidRPr="00D15E02">
        <w:rPr>
          <w:rFonts w:asciiTheme="minorHAnsi" w:eastAsia="Calibri" w:hAnsiTheme="minorHAnsi" w:cstheme="minorHAnsi"/>
          <w:lang w:eastAsia="en-US"/>
        </w:rPr>
        <w:t xml:space="preserve"> samo na nove kredite za </w:t>
      </w:r>
      <w:r w:rsidR="00BF00B3" w:rsidRPr="00D15E02">
        <w:rPr>
          <w:rFonts w:asciiTheme="minorHAnsi" w:eastAsia="Calibri" w:hAnsiTheme="minorHAnsi" w:cstheme="minorHAnsi"/>
          <w:lang w:eastAsia="en-US"/>
        </w:rPr>
        <w:t>likvidnost</w:t>
      </w:r>
      <w:r w:rsidR="00C401E6">
        <w:rPr>
          <w:rFonts w:asciiTheme="minorHAnsi" w:eastAsia="Calibri" w:hAnsiTheme="minorHAnsi" w:cstheme="minorHAnsi"/>
          <w:lang w:eastAsia="en-US"/>
        </w:rPr>
        <w:t xml:space="preserve"> i </w:t>
      </w:r>
      <w:r w:rsidR="004267A4">
        <w:rPr>
          <w:rFonts w:asciiTheme="minorHAnsi" w:eastAsia="Calibri" w:hAnsiTheme="minorHAnsi" w:cstheme="minorHAnsi"/>
          <w:lang w:eastAsia="en-US"/>
        </w:rPr>
        <w:t>ulaganja</w:t>
      </w:r>
      <w:r w:rsidR="00B450B6" w:rsidRPr="00D15E02">
        <w:rPr>
          <w:rFonts w:asciiTheme="minorHAnsi" w:eastAsia="Calibri" w:hAnsiTheme="minorHAnsi" w:cstheme="minorHAnsi"/>
          <w:lang w:eastAsia="en-US"/>
        </w:rPr>
        <w:t xml:space="preserve">, </w:t>
      </w:r>
      <w:r w:rsidR="00BF00B3" w:rsidRPr="00D15E02">
        <w:rPr>
          <w:rFonts w:asciiTheme="minorHAnsi" w:eastAsia="Calibri" w:hAnsiTheme="minorHAnsi" w:cstheme="minorHAnsi"/>
          <w:lang w:eastAsia="en-US"/>
        </w:rPr>
        <w:t xml:space="preserve">a </w:t>
      </w:r>
      <w:r w:rsidR="00B450B6" w:rsidRPr="00D15E02">
        <w:rPr>
          <w:rFonts w:asciiTheme="minorHAnsi" w:eastAsia="Calibri" w:hAnsiTheme="minorHAnsi" w:cstheme="minorHAnsi"/>
          <w:lang w:eastAsia="en-US"/>
        </w:rPr>
        <w:t xml:space="preserve">ne na </w:t>
      </w:r>
      <w:r w:rsidR="00BF00B3" w:rsidRPr="00D15E02">
        <w:rPr>
          <w:rFonts w:asciiTheme="minorHAnsi" w:eastAsia="Calibri" w:hAnsiTheme="minorHAnsi" w:cstheme="minorHAnsi"/>
          <w:lang w:eastAsia="en-US"/>
        </w:rPr>
        <w:t xml:space="preserve">već </w:t>
      </w:r>
      <w:r w:rsidR="00B450B6" w:rsidRPr="00D15E02">
        <w:rPr>
          <w:rFonts w:asciiTheme="minorHAnsi" w:eastAsia="Calibri" w:hAnsiTheme="minorHAnsi" w:cstheme="minorHAnsi"/>
          <w:lang w:eastAsia="en-US"/>
        </w:rPr>
        <w:t>postojeće</w:t>
      </w:r>
      <w:r w:rsidR="00BF00B3" w:rsidRPr="00D15E02">
        <w:rPr>
          <w:rFonts w:asciiTheme="minorHAnsi" w:eastAsia="Calibri" w:hAnsiTheme="minorHAnsi" w:cstheme="minorHAnsi"/>
          <w:lang w:eastAsia="en-US"/>
        </w:rPr>
        <w:t xml:space="preserve"> kredite</w:t>
      </w:r>
      <w:r w:rsidR="00B450B6" w:rsidRPr="00D15E02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724BB6F1" w14:textId="77777777" w:rsidR="003E6A0A" w:rsidRPr="00D15E02" w:rsidRDefault="003E6A0A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F3739AD" w14:textId="12AF76B4" w:rsidR="00F55EE6" w:rsidRDefault="000B6BB9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Mjera </w:t>
      </w:r>
      <w:r w:rsidRPr="0093718A">
        <w:rPr>
          <w:rFonts w:asciiTheme="minorHAnsi" w:eastAsia="Calibri" w:hAnsiTheme="minorHAnsi" w:cstheme="minorHAnsi"/>
          <w:lang w:eastAsia="en-US"/>
        </w:rPr>
        <w:t>izravn</w:t>
      </w:r>
      <w:r>
        <w:rPr>
          <w:rFonts w:asciiTheme="minorHAnsi" w:eastAsia="Calibri" w:hAnsiTheme="minorHAnsi" w:cstheme="minorHAnsi"/>
          <w:lang w:eastAsia="en-US"/>
        </w:rPr>
        <w:t>ih</w:t>
      </w:r>
      <w:r w:rsidRPr="0093718A">
        <w:rPr>
          <w:rFonts w:asciiTheme="minorHAnsi" w:eastAsia="Calibri" w:hAnsiTheme="minorHAnsi" w:cstheme="minorHAnsi"/>
          <w:lang w:eastAsia="en-US"/>
        </w:rPr>
        <w:t xml:space="preserve"> bespovratn</w:t>
      </w:r>
      <w:r>
        <w:rPr>
          <w:rFonts w:asciiTheme="minorHAnsi" w:eastAsia="Calibri" w:hAnsiTheme="minorHAnsi" w:cstheme="minorHAnsi"/>
          <w:lang w:eastAsia="en-US"/>
        </w:rPr>
        <w:t>ih</w:t>
      </w:r>
      <w:r w:rsidRPr="0093718A">
        <w:rPr>
          <w:rFonts w:asciiTheme="minorHAnsi" w:eastAsia="Calibri" w:hAnsiTheme="minorHAnsi" w:cstheme="minorHAnsi"/>
          <w:lang w:eastAsia="en-US"/>
        </w:rPr>
        <w:t xml:space="preserve"> sredst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93718A">
        <w:rPr>
          <w:rFonts w:asciiTheme="minorHAnsi" w:eastAsia="Calibri" w:hAnsiTheme="minorHAnsi" w:cstheme="minorHAnsi"/>
          <w:lang w:eastAsia="en-US"/>
        </w:rPr>
        <w:t>va namijenjena pokriću premije osiguranja</w:t>
      </w:r>
      <w:r>
        <w:rPr>
          <w:rFonts w:asciiTheme="minorHAnsi" w:eastAsia="Calibri" w:hAnsiTheme="minorHAnsi" w:cstheme="minorHAnsi"/>
          <w:lang w:eastAsia="en-US"/>
        </w:rPr>
        <w:t xml:space="preserve"> može se koristiti za kredite koji su već uključeni u portfelj osiguranja po Programu osiguranja </w:t>
      </w:r>
      <w:r w:rsidR="006310C9">
        <w:rPr>
          <w:rFonts w:asciiTheme="minorHAnsi" w:eastAsia="Calibri" w:hAnsiTheme="minorHAnsi" w:cstheme="minorHAnsi"/>
          <w:lang w:eastAsia="en-US"/>
        </w:rPr>
        <w:t xml:space="preserve">portfelja </w:t>
      </w:r>
      <w:r>
        <w:rPr>
          <w:rFonts w:asciiTheme="minorHAnsi" w:eastAsia="Calibri" w:hAnsiTheme="minorHAnsi" w:cstheme="minorHAnsi"/>
          <w:lang w:eastAsia="en-US"/>
        </w:rPr>
        <w:t xml:space="preserve">kredita za likvidnost izvoznika - </w:t>
      </w:r>
      <w:proofErr w:type="spellStart"/>
      <w:r>
        <w:rPr>
          <w:rFonts w:asciiTheme="minorHAnsi" w:eastAsia="Calibri" w:hAnsiTheme="minorHAnsi" w:cstheme="minorHAnsi"/>
          <w:lang w:eastAsia="en-US"/>
        </w:rPr>
        <w:t>Covid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mjera</w:t>
      </w:r>
      <w:r w:rsidR="006310C9">
        <w:rPr>
          <w:rFonts w:asciiTheme="minorHAnsi" w:eastAsia="Calibri" w:hAnsiTheme="minorHAnsi" w:cstheme="minorHAnsi"/>
          <w:lang w:eastAsia="en-US"/>
        </w:rPr>
        <w:t xml:space="preserve"> Republike Hrvatske pomoći gospodarstvu</w:t>
      </w:r>
      <w:r>
        <w:rPr>
          <w:rFonts w:asciiTheme="minorHAnsi" w:eastAsia="Calibri" w:hAnsiTheme="minorHAnsi" w:cstheme="minorHAnsi"/>
          <w:lang w:eastAsia="en-US"/>
        </w:rPr>
        <w:t>.</w:t>
      </w:r>
    </w:p>
    <w:p w14:paraId="2F04D27F" w14:textId="77777777" w:rsidR="002451B4" w:rsidRPr="002F3CC7" w:rsidRDefault="002451B4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88A720E" w14:textId="42C55F9B" w:rsidR="003424EF" w:rsidRPr="002F3CC7" w:rsidRDefault="00B450B6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15E02">
        <w:rPr>
          <w:rFonts w:asciiTheme="minorHAnsi" w:eastAsia="Calibri" w:hAnsiTheme="minorHAnsi" w:cstheme="minorHAnsi"/>
          <w:b/>
          <w:lang w:eastAsia="en-US"/>
        </w:rPr>
        <w:t>Sektorski i regionalni opseg mjer</w:t>
      </w:r>
      <w:r w:rsidR="000B6BB9">
        <w:rPr>
          <w:rFonts w:asciiTheme="minorHAnsi" w:eastAsia="Calibri" w:hAnsiTheme="minorHAnsi" w:cstheme="minorHAnsi"/>
          <w:b/>
          <w:lang w:eastAsia="en-US"/>
        </w:rPr>
        <w:t>a</w:t>
      </w:r>
      <w:r w:rsidRPr="002F3CC7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434AEC9A" w14:textId="76B3E352" w:rsidR="00B450B6" w:rsidRPr="00D15E02" w:rsidRDefault="00B450B6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Mjera je otvorena za sve sektore. Primjenjivat će se na cijelom teritoriju RH.</w:t>
      </w:r>
    </w:p>
    <w:p w14:paraId="0797A8A2" w14:textId="50804F9B" w:rsidR="00B450B6" w:rsidRPr="002F3CC7" w:rsidRDefault="00B450B6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877A967" w14:textId="28F1A3BD" w:rsidR="001A5B07" w:rsidRPr="00D15E02" w:rsidRDefault="00B450B6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15E02">
        <w:rPr>
          <w:rFonts w:asciiTheme="minorHAnsi" w:eastAsia="Calibri" w:hAnsiTheme="minorHAnsi" w:cstheme="minorHAnsi"/>
          <w:b/>
          <w:lang w:eastAsia="en-US"/>
        </w:rPr>
        <w:t xml:space="preserve">Osnovni elementi </w:t>
      </w:r>
      <w:r w:rsidR="00D15E02">
        <w:rPr>
          <w:rFonts w:asciiTheme="minorHAnsi" w:eastAsia="Calibri" w:hAnsiTheme="minorHAnsi" w:cstheme="minorHAnsi"/>
          <w:b/>
          <w:lang w:eastAsia="en-US"/>
        </w:rPr>
        <w:t>m</w:t>
      </w:r>
      <w:r w:rsidRPr="00D15E02">
        <w:rPr>
          <w:rFonts w:asciiTheme="minorHAnsi" w:eastAsia="Calibri" w:hAnsiTheme="minorHAnsi" w:cstheme="minorHAnsi"/>
          <w:b/>
          <w:lang w:eastAsia="en-US"/>
        </w:rPr>
        <w:t>jer</w:t>
      </w:r>
      <w:r w:rsidR="000B6BB9">
        <w:rPr>
          <w:rFonts w:asciiTheme="minorHAnsi" w:eastAsia="Calibri" w:hAnsiTheme="minorHAnsi" w:cstheme="minorHAnsi"/>
          <w:b/>
          <w:lang w:eastAsia="en-US"/>
        </w:rPr>
        <w:t>a</w:t>
      </w:r>
    </w:p>
    <w:p w14:paraId="316562AD" w14:textId="1AA847D8" w:rsidR="00C401E6" w:rsidRPr="00D15E02" w:rsidRDefault="00C401E6" w:rsidP="00C401E6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Kod </w:t>
      </w:r>
      <w:proofErr w:type="spellStart"/>
      <w:r>
        <w:rPr>
          <w:rFonts w:asciiTheme="minorHAnsi" w:eastAsia="Calibri" w:hAnsiTheme="minorHAnsi" w:cstheme="minorHAnsi"/>
          <w:lang w:eastAsia="en-US"/>
        </w:rPr>
        <w:t>portfeljnog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osiguranja, </w:t>
      </w:r>
      <w:r w:rsidR="00FB6F2A" w:rsidRPr="00D15E02">
        <w:rPr>
          <w:rFonts w:asciiTheme="minorHAnsi" w:eastAsia="Calibri" w:hAnsiTheme="minorHAnsi" w:cstheme="minorHAnsi"/>
          <w:lang w:eastAsia="en-US"/>
        </w:rPr>
        <w:t xml:space="preserve">HBOR kao Osiguratelj će potpisati sa svakim </w:t>
      </w:r>
      <w:r>
        <w:rPr>
          <w:rFonts w:asciiTheme="minorHAnsi" w:eastAsia="Calibri" w:hAnsiTheme="minorHAnsi" w:cstheme="minorHAnsi"/>
          <w:lang w:eastAsia="en-US"/>
        </w:rPr>
        <w:t xml:space="preserve">zainteresiranim </w:t>
      </w:r>
      <w:r w:rsidR="00FB6F2A" w:rsidRPr="00D15E02">
        <w:rPr>
          <w:rFonts w:asciiTheme="minorHAnsi" w:eastAsia="Calibri" w:hAnsiTheme="minorHAnsi" w:cstheme="minorHAnsi"/>
          <w:lang w:eastAsia="en-US"/>
        </w:rPr>
        <w:t xml:space="preserve">kreditorom (bankom) kao </w:t>
      </w:r>
      <w:r w:rsidR="00BF00B3" w:rsidRPr="00D15E02">
        <w:rPr>
          <w:rFonts w:asciiTheme="minorHAnsi" w:eastAsia="Calibri" w:hAnsiTheme="minorHAnsi" w:cstheme="minorHAnsi"/>
          <w:lang w:eastAsia="en-US"/>
        </w:rPr>
        <w:t>o</w:t>
      </w:r>
      <w:r w:rsidR="00FB6F2A" w:rsidRPr="00D15E02">
        <w:rPr>
          <w:rFonts w:asciiTheme="minorHAnsi" w:eastAsia="Calibri" w:hAnsiTheme="minorHAnsi" w:cstheme="minorHAnsi"/>
          <w:lang w:eastAsia="en-US"/>
        </w:rPr>
        <w:t xml:space="preserve">siguranikom, </w:t>
      </w:r>
      <w:r w:rsidR="00BF00B3" w:rsidRPr="00D15E02">
        <w:rPr>
          <w:rFonts w:asciiTheme="minorHAnsi" w:eastAsia="Calibri" w:hAnsiTheme="minorHAnsi" w:cstheme="minorHAnsi"/>
          <w:lang w:eastAsia="en-US"/>
        </w:rPr>
        <w:t xml:space="preserve">sporazum </w:t>
      </w:r>
      <w:r w:rsidR="00FB6F2A" w:rsidRPr="00D15E02">
        <w:rPr>
          <w:rFonts w:asciiTheme="minorHAnsi" w:eastAsia="Calibri" w:hAnsiTheme="minorHAnsi" w:cstheme="minorHAnsi"/>
          <w:lang w:eastAsia="en-US"/>
        </w:rPr>
        <w:t>o osiguranju</w:t>
      </w:r>
      <w:r w:rsidR="006310C9">
        <w:rPr>
          <w:rFonts w:asciiTheme="minorHAnsi" w:eastAsia="Calibri" w:hAnsiTheme="minorHAnsi" w:cstheme="minorHAnsi"/>
          <w:lang w:eastAsia="en-US"/>
        </w:rPr>
        <w:t xml:space="preserve"> portfelja</w:t>
      </w:r>
      <w:r w:rsidR="00FB6F2A" w:rsidRPr="00D15E02">
        <w:rPr>
          <w:rFonts w:asciiTheme="minorHAnsi" w:eastAsia="Calibri" w:hAnsiTheme="minorHAnsi" w:cstheme="minorHAnsi"/>
          <w:lang w:eastAsia="en-US"/>
        </w:rPr>
        <w:t xml:space="preserve"> </w:t>
      </w:r>
      <w:r w:rsidR="00BF00B3" w:rsidRPr="00D15E02">
        <w:rPr>
          <w:rFonts w:asciiTheme="minorHAnsi" w:eastAsia="Calibri" w:hAnsiTheme="minorHAnsi" w:cstheme="minorHAnsi"/>
          <w:lang w:eastAsia="en-US"/>
        </w:rPr>
        <w:t xml:space="preserve">kredita </w:t>
      </w:r>
      <w:r w:rsidR="00FB6F2A" w:rsidRPr="00D15E02">
        <w:rPr>
          <w:rFonts w:asciiTheme="minorHAnsi" w:eastAsia="Calibri" w:hAnsiTheme="minorHAnsi" w:cstheme="minorHAnsi"/>
          <w:lang w:eastAsia="en-US"/>
        </w:rPr>
        <w:t xml:space="preserve">za likvidnost </w:t>
      </w:r>
      <w:r>
        <w:rPr>
          <w:rFonts w:asciiTheme="minorHAnsi" w:eastAsia="Calibri" w:hAnsiTheme="minorHAnsi" w:cstheme="minorHAnsi"/>
          <w:lang w:eastAsia="en-US"/>
        </w:rPr>
        <w:t xml:space="preserve">i </w:t>
      </w:r>
      <w:r w:rsidR="004267A4">
        <w:rPr>
          <w:rFonts w:asciiTheme="minorHAnsi" w:eastAsia="Calibri" w:hAnsiTheme="minorHAnsi" w:cstheme="minorHAnsi"/>
          <w:lang w:eastAsia="en-US"/>
        </w:rPr>
        <w:t xml:space="preserve">ulaganja </w:t>
      </w:r>
      <w:r w:rsidR="009B71B7">
        <w:rPr>
          <w:rFonts w:asciiTheme="minorHAnsi" w:eastAsia="Calibri" w:hAnsiTheme="minorHAnsi" w:cstheme="minorHAnsi"/>
          <w:lang w:eastAsia="en-US"/>
        </w:rPr>
        <w:t xml:space="preserve">te će </w:t>
      </w:r>
      <w:r w:rsidR="00FB6F2A" w:rsidRPr="00D15E02">
        <w:rPr>
          <w:rFonts w:asciiTheme="minorHAnsi" w:eastAsia="Calibri" w:hAnsiTheme="minorHAnsi" w:cstheme="minorHAnsi"/>
          <w:lang w:eastAsia="en-US"/>
        </w:rPr>
        <w:t>svaki odobreni kredit u portfelju biti osiguran s</w:t>
      </w:r>
      <w:r>
        <w:rPr>
          <w:rFonts w:asciiTheme="minorHAnsi" w:eastAsia="Calibri" w:hAnsiTheme="minorHAnsi" w:cstheme="minorHAnsi"/>
          <w:lang w:eastAsia="en-US"/>
        </w:rPr>
        <w:t xml:space="preserve"> do najviše</w:t>
      </w:r>
      <w:r w:rsidR="00FB6F2A" w:rsidRPr="00D15E02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9</w:t>
      </w:r>
      <w:r w:rsidRPr="00D15E02">
        <w:rPr>
          <w:rFonts w:asciiTheme="minorHAnsi" w:eastAsia="Calibri" w:hAnsiTheme="minorHAnsi" w:cstheme="minorHAnsi"/>
          <w:lang w:eastAsia="en-US"/>
        </w:rPr>
        <w:t>0</w:t>
      </w:r>
      <w:r w:rsidR="00FB6F2A" w:rsidRPr="00D15E02">
        <w:rPr>
          <w:rFonts w:asciiTheme="minorHAnsi" w:eastAsia="Calibri" w:hAnsiTheme="minorHAnsi" w:cstheme="minorHAnsi"/>
          <w:lang w:eastAsia="en-US"/>
        </w:rPr>
        <w:t xml:space="preserve">% </w:t>
      </w:r>
      <w:r w:rsidRPr="00D15E02">
        <w:rPr>
          <w:rFonts w:asciiTheme="minorHAnsi" w:eastAsia="Calibri" w:hAnsiTheme="minorHAnsi" w:cstheme="minorHAnsi"/>
          <w:lang w:eastAsia="en-US"/>
        </w:rPr>
        <w:t>pokrić</w:t>
      </w:r>
      <w:r>
        <w:rPr>
          <w:rFonts w:asciiTheme="minorHAnsi" w:eastAsia="Calibri" w:hAnsiTheme="minorHAnsi" w:cstheme="minorHAnsi"/>
          <w:lang w:eastAsia="en-US"/>
        </w:rPr>
        <w:t>a</w:t>
      </w:r>
      <w:r w:rsidR="00FB6F2A" w:rsidRPr="00D15E02"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 xml:space="preserve">HBOR zadržava pravo definirati posebne uvjete pod kojima će biti moguće uključiti kredite u portfelj, u skladu s potrebama upravljanja preuzetim rizicima, </w:t>
      </w:r>
      <w:r w:rsidR="007E796A" w:rsidRPr="007E796A">
        <w:rPr>
          <w:rFonts w:asciiTheme="minorHAnsi" w:eastAsia="Calibri" w:hAnsiTheme="minorHAnsi" w:cstheme="minorHAnsi"/>
          <w:lang w:eastAsia="en-US"/>
        </w:rPr>
        <w:t xml:space="preserve">potrebom prenošenja koristi od osiguranja na krajnje korisnike, </w:t>
      </w:r>
      <w:r>
        <w:rPr>
          <w:rFonts w:asciiTheme="minorHAnsi" w:eastAsia="Calibri" w:hAnsiTheme="minorHAnsi" w:cstheme="minorHAnsi"/>
          <w:lang w:eastAsia="en-US"/>
        </w:rPr>
        <w:t xml:space="preserve">poticanjem posebnih skupina poduzetnika te ostalim ciljevima definiranim od strane </w:t>
      </w:r>
      <w:r w:rsidR="005B2592">
        <w:rPr>
          <w:rFonts w:asciiTheme="minorHAnsi" w:eastAsia="Calibri" w:hAnsiTheme="minorHAnsi" w:cstheme="minorHAnsi"/>
          <w:lang w:eastAsia="en-US"/>
        </w:rPr>
        <w:t xml:space="preserve">HBOR-a ili </w:t>
      </w:r>
      <w:r>
        <w:rPr>
          <w:rFonts w:asciiTheme="minorHAnsi" w:eastAsia="Calibri" w:hAnsiTheme="minorHAnsi" w:cstheme="minorHAnsi"/>
          <w:lang w:eastAsia="en-US"/>
        </w:rPr>
        <w:t>Vlade Republike Hrvatske.</w:t>
      </w:r>
      <w:r w:rsidR="005B2592">
        <w:rPr>
          <w:rFonts w:asciiTheme="minorHAnsi" w:eastAsia="Calibri" w:hAnsiTheme="minorHAnsi" w:cstheme="minorHAnsi"/>
          <w:lang w:eastAsia="en-US"/>
        </w:rPr>
        <w:t xml:space="preserve"> Navedeni uvjeti ni u kojem slučaju neće prelaziti uvjete iz ovog Programa.</w:t>
      </w:r>
    </w:p>
    <w:p w14:paraId="2498C803" w14:textId="765EF698" w:rsidR="00B450B6" w:rsidRDefault="00B450B6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4D909097" w14:textId="5176FE56" w:rsidR="000B6BB9" w:rsidRPr="00D15E02" w:rsidRDefault="00C401E6" w:rsidP="000B6BB9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Pojedinačna osiguranja bit će dostupna svim bankama u RH, pri čemu HBOR neće zaključivati posebne sporazume o suradnji s bankama</w:t>
      </w:r>
      <w:r w:rsidR="007E796A">
        <w:rPr>
          <w:rFonts w:asciiTheme="minorHAnsi" w:eastAsia="Calibri" w:hAnsiTheme="minorHAnsi" w:cstheme="minorHAnsi"/>
          <w:lang w:eastAsia="en-US"/>
        </w:rPr>
        <w:t xml:space="preserve">, već </w:t>
      </w:r>
      <w:r w:rsidR="0051494D">
        <w:rPr>
          <w:rFonts w:asciiTheme="minorHAnsi" w:eastAsia="Calibri" w:hAnsiTheme="minorHAnsi" w:cstheme="minorHAnsi"/>
          <w:lang w:eastAsia="en-US"/>
        </w:rPr>
        <w:t>ć</w:t>
      </w:r>
      <w:r w:rsidR="007E796A">
        <w:rPr>
          <w:rFonts w:asciiTheme="minorHAnsi" w:eastAsia="Calibri" w:hAnsiTheme="minorHAnsi" w:cstheme="minorHAnsi"/>
          <w:lang w:eastAsia="en-US"/>
        </w:rPr>
        <w:t xml:space="preserve">e sve banke imati mogućnost podnijeti HBOR-u zahtjev za osiguranje pojedinačnog kredita za likvidnost ili </w:t>
      </w:r>
      <w:r w:rsidR="004267A4">
        <w:rPr>
          <w:rFonts w:asciiTheme="minorHAnsi" w:eastAsia="Calibri" w:hAnsiTheme="minorHAnsi" w:cstheme="minorHAnsi"/>
          <w:lang w:eastAsia="en-US"/>
        </w:rPr>
        <w:t>ulaganja</w:t>
      </w:r>
      <w:r w:rsidR="007E796A">
        <w:rPr>
          <w:rFonts w:asciiTheme="minorHAnsi" w:eastAsia="Calibri" w:hAnsiTheme="minorHAnsi" w:cstheme="minorHAnsi"/>
          <w:lang w:eastAsia="en-US"/>
        </w:rPr>
        <w:t>. Za takve kredite HBOR će izdati policu osiguranja samo ako uvjeti kredita budu u skladu s uvjetima programa osiguranja koje će HBOR unaprijed propisati te ako rizik osiguranja bude prihvatljiv.</w:t>
      </w:r>
      <w:r w:rsidR="000B6BB9" w:rsidRPr="000B6BB9">
        <w:rPr>
          <w:rFonts w:asciiTheme="minorHAnsi" w:eastAsia="Calibri" w:hAnsiTheme="minorHAnsi" w:cstheme="minorHAnsi"/>
          <w:lang w:eastAsia="en-US"/>
        </w:rPr>
        <w:t xml:space="preserve"> </w:t>
      </w:r>
      <w:r w:rsidR="000B6BB9">
        <w:rPr>
          <w:rFonts w:asciiTheme="minorHAnsi" w:eastAsia="Calibri" w:hAnsiTheme="minorHAnsi" w:cstheme="minorHAnsi"/>
          <w:lang w:eastAsia="en-US"/>
        </w:rPr>
        <w:t>Navedeni uvjeti ni u kojem slučaju neće prelaziti uvjete iz ovog Programa.</w:t>
      </w:r>
    </w:p>
    <w:p w14:paraId="34271A55" w14:textId="3E07D8C8" w:rsidR="00C401E6" w:rsidRPr="00D15E02" w:rsidRDefault="00C401E6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CC0C1BA" w14:textId="4FD15FD7" w:rsidR="00826AFE" w:rsidRPr="00D15E02" w:rsidRDefault="007B51CC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Banke su kao f</w:t>
      </w:r>
      <w:r w:rsidRPr="007B51CC">
        <w:rPr>
          <w:rFonts w:asciiTheme="minorHAnsi" w:eastAsia="Calibri" w:hAnsiTheme="minorHAnsi" w:cstheme="minorHAnsi"/>
          <w:lang w:eastAsia="en-US"/>
        </w:rPr>
        <w:t>inancijski posredni</w:t>
      </w:r>
      <w:r>
        <w:rPr>
          <w:rFonts w:asciiTheme="minorHAnsi" w:eastAsia="Calibri" w:hAnsiTheme="minorHAnsi" w:cstheme="minorHAnsi"/>
          <w:lang w:eastAsia="en-US"/>
        </w:rPr>
        <w:t xml:space="preserve">ci </w:t>
      </w:r>
      <w:r w:rsidR="00455774">
        <w:rPr>
          <w:rFonts w:asciiTheme="minorHAnsi" w:eastAsia="Calibri" w:hAnsiTheme="minorHAnsi" w:cstheme="minorHAnsi"/>
          <w:lang w:eastAsia="en-US"/>
        </w:rPr>
        <w:t xml:space="preserve">dužne </w:t>
      </w:r>
      <w:r w:rsidR="00826AFE" w:rsidRPr="00D15E02">
        <w:rPr>
          <w:rFonts w:asciiTheme="minorHAnsi" w:eastAsia="Calibri" w:hAnsiTheme="minorHAnsi" w:cstheme="minorHAnsi"/>
          <w:lang w:eastAsia="en-US"/>
        </w:rPr>
        <w:t>proslijediti prednost javne garancije na kredite krajnjim korisnicima</w:t>
      </w:r>
      <w:r>
        <w:rPr>
          <w:rFonts w:asciiTheme="minorHAnsi" w:eastAsia="Calibri" w:hAnsiTheme="minorHAnsi" w:cstheme="minorHAnsi"/>
          <w:lang w:eastAsia="en-US"/>
        </w:rPr>
        <w:t>, pri čemu</w:t>
      </w:r>
      <w:r w:rsidR="00826AFE" w:rsidRPr="00D15E02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f</w:t>
      </w:r>
      <w:r w:rsidR="00826AFE" w:rsidRPr="00D15E02">
        <w:rPr>
          <w:rFonts w:asciiTheme="minorHAnsi" w:eastAsia="Calibri" w:hAnsiTheme="minorHAnsi" w:cstheme="minorHAnsi"/>
          <w:lang w:eastAsia="en-US"/>
        </w:rPr>
        <w:t>inancijski posrednik mora moći dokazati kako posjeduje mehanizam koji osigurava da se prednosti prenose u najvećoj mogućoj mjeri na krajnje korisnike u formi viših volumena financiranja, rizičnijih port</w:t>
      </w:r>
      <w:r w:rsidR="00AA41ED">
        <w:rPr>
          <w:rFonts w:asciiTheme="minorHAnsi" w:eastAsia="Calibri" w:hAnsiTheme="minorHAnsi" w:cstheme="minorHAnsi"/>
          <w:lang w:eastAsia="en-US"/>
        </w:rPr>
        <w:t>f</w:t>
      </w:r>
      <w:r w:rsidR="00826AFE" w:rsidRPr="00D15E02">
        <w:rPr>
          <w:rFonts w:asciiTheme="minorHAnsi" w:eastAsia="Calibri" w:hAnsiTheme="minorHAnsi" w:cstheme="minorHAnsi"/>
          <w:lang w:eastAsia="en-US"/>
        </w:rPr>
        <w:t>elja, nižih zahtjeva za kolateralom, nižih premija na garancije ili nižih kamatnih stopa.</w:t>
      </w:r>
    </w:p>
    <w:p w14:paraId="5CD6BF16" w14:textId="318AB0F0" w:rsidR="0096585E" w:rsidRDefault="0096585E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0B2AF0C" w14:textId="19A11CF3" w:rsidR="00747CCA" w:rsidRDefault="003B0F8C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</w:t>
      </w:r>
      <w:r w:rsidRPr="003B0F8C">
        <w:rPr>
          <w:rFonts w:asciiTheme="minorHAnsi" w:eastAsia="Calibri" w:hAnsiTheme="minorHAnsi" w:cstheme="minorHAnsi"/>
          <w:lang w:eastAsia="en-US"/>
        </w:rPr>
        <w:t xml:space="preserve"> određenim slučajevima koje će propisati HBOR, </w:t>
      </w:r>
      <w:r>
        <w:rPr>
          <w:rFonts w:asciiTheme="minorHAnsi" w:eastAsia="Calibri" w:hAnsiTheme="minorHAnsi" w:cstheme="minorHAnsi"/>
          <w:lang w:eastAsia="en-US"/>
        </w:rPr>
        <w:t xml:space="preserve">korisnicima kredita </w:t>
      </w:r>
      <w:r w:rsidRPr="003B0F8C">
        <w:rPr>
          <w:rFonts w:asciiTheme="minorHAnsi" w:eastAsia="Calibri" w:hAnsiTheme="minorHAnsi" w:cstheme="minorHAnsi"/>
          <w:lang w:eastAsia="en-US"/>
        </w:rPr>
        <w:t>bit</w:t>
      </w:r>
      <w:r>
        <w:rPr>
          <w:rFonts w:asciiTheme="minorHAnsi" w:eastAsia="Calibri" w:hAnsiTheme="minorHAnsi" w:cstheme="minorHAnsi"/>
          <w:lang w:eastAsia="en-US"/>
        </w:rPr>
        <w:t xml:space="preserve"> će</w:t>
      </w:r>
      <w:r w:rsidRPr="003B0F8C">
        <w:rPr>
          <w:rFonts w:asciiTheme="minorHAnsi" w:eastAsia="Calibri" w:hAnsiTheme="minorHAnsi" w:cstheme="minorHAnsi"/>
          <w:lang w:eastAsia="en-US"/>
        </w:rPr>
        <w:t xml:space="preserve"> moguće </w:t>
      </w:r>
      <w:r>
        <w:rPr>
          <w:rFonts w:asciiTheme="minorHAnsi" w:eastAsia="Calibri" w:hAnsiTheme="minorHAnsi" w:cstheme="minorHAnsi"/>
          <w:lang w:eastAsia="en-US"/>
        </w:rPr>
        <w:t xml:space="preserve">dodatno subvencionirati premiju osiguranja, odnosno </w:t>
      </w:r>
      <w:r w:rsidRPr="003B0F8C">
        <w:rPr>
          <w:rFonts w:asciiTheme="minorHAnsi" w:eastAsia="Calibri" w:hAnsiTheme="minorHAnsi" w:cstheme="minorHAnsi"/>
          <w:lang w:eastAsia="en-US"/>
        </w:rPr>
        <w:t>putem izravnih bespovratnih sredstava pokriti iznos premije osiguranja.</w:t>
      </w:r>
    </w:p>
    <w:p w14:paraId="706396B4" w14:textId="77777777" w:rsidR="003B0F8C" w:rsidRPr="00D15E02" w:rsidRDefault="003B0F8C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8EC1BB5" w14:textId="4E402FAF" w:rsidR="00304D63" w:rsidRPr="002B47BD" w:rsidRDefault="00304D63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B47BD">
        <w:rPr>
          <w:rFonts w:asciiTheme="minorHAnsi" w:eastAsia="Calibri" w:hAnsiTheme="minorHAnsi" w:cstheme="minorHAnsi"/>
          <w:b/>
          <w:lang w:eastAsia="en-US"/>
        </w:rPr>
        <w:t xml:space="preserve">Osnovni elementi </w:t>
      </w:r>
      <w:r w:rsidR="00455774">
        <w:rPr>
          <w:rFonts w:asciiTheme="minorHAnsi" w:eastAsia="Calibri" w:hAnsiTheme="minorHAnsi" w:cstheme="minorHAnsi"/>
          <w:b/>
          <w:lang w:eastAsia="en-US"/>
        </w:rPr>
        <w:t xml:space="preserve">pojedinačnog i </w:t>
      </w:r>
      <w:proofErr w:type="spellStart"/>
      <w:r w:rsidR="00455774">
        <w:rPr>
          <w:rFonts w:asciiTheme="minorHAnsi" w:eastAsia="Calibri" w:hAnsiTheme="minorHAnsi" w:cstheme="minorHAnsi"/>
          <w:b/>
          <w:lang w:eastAsia="en-US"/>
        </w:rPr>
        <w:t>p</w:t>
      </w:r>
      <w:r w:rsidR="00455774" w:rsidRPr="002B47BD">
        <w:rPr>
          <w:rFonts w:asciiTheme="minorHAnsi" w:eastAsia="Calibri" w:hAnsiTheme="minorHAnsi" w:cstheme="minorHAnsi"/>
          <w:b/>
          <w:lang w:eastAsia="en-US"/>
        </w:rPr>
        <w:t>ortfeljnog</w:t>
      </w:r>
      <w:proofErr w:type="spellEnd"/>
      <w:r w:rsidR="00455774" w:rsidRPr="002B47B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E66A05" w:rsidRPr="002B47BD">
        <w:rPr>
          <w:rFonts w:asciiTheme="minorHAnsi" w:eastAsia="Calibri" w:hAnsiTheme="minorHAnsi" w:cstheme="minorHAnsi"/>
          <w:b/>
          <w:lang w:eastAsia="en-US"/>
        </w:rPr>
        <w:t>osiguranja</w:t>
      </w:r>
      <w:r w:rsidRPr="002B47BD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7BF600A6" w14:textId="77777777" w:rsidR="002B47BD" w:rsidRPr="002F3CC7" w:rsidRDefault="002B47BD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E906EE5" w14:textId="10B065F6" w:rsidR="00111C3F" w:rsidRPr="00D15E02" w:rsidRDefault="001A5B07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F3CC7">
        <w:rPr>
          <w:rFonts w:asciiTheme="minorHAnsi" w:eastAsia="Calibri" w:hAnsiTheme="minorHAnsi" w:cstheme="minorHAnsi"/>
          <w:b/>
          <w:lang w:eastAsia="en-US"/>
        </w:rPr>
        <w:t xml:space="preserve">a) </w:t>
      </w:r>
      <w:r w:rsidR="00223B13" w:rsidRPr="00D15E02">
        <w:rPr>
          <w:rFonts w:asciiTheme="minorHAnsi" w:eastAsia="Calibri" w:hAnsiTheme="minorHAnsi" w:cstheme="minorHAnsi"/>
          <w:b/>
          <w:lang w:eastAsia="en-US"/>
        </w:rPr>
        <w:t>Korisnici kredita/Izvoznici</w:t>
      </w:r>
    </w:p>
    <w:p w14:paraId="1C1F2FD1" w14:textId="3FA0E5E6" w:rsidR="00223B13" w:rsidRPr="00D15E02" w:rsidRDefault="00223B13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Korisnici kredita mogu biti hrvatski izvoznici koji ispunjavaju sljedeće uvjete:</w:t>
      </w:r>
    </w:p>
    <w:p w14:paraId="1CF61480" w14:textId="0F722D76" w:rsidR="00223B13" w:rsidRPr="00D15E02" w:rsidRDefault="00223B13" w:rsidP="00F51E3C">
      <w:pPr>
        <w:pStyle w:val="ListParagraph"/>
        <w:numPr>
          <w:ilvl w:val="0"/>
          <w:numId w:val="35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 xml:space="preserve">MSP i </w:t>
      </w:r>
      <w:r w:rsidR="007B51CC">
        <w:rPr>
          <w:rFonts w:asciiTheme="minorHAnsi" w:eastAsia="Calibri" w:hAnsiTheme="minorHAnsi" w:cstheme="minorHAnsi"/>
          <w:lang w:eastAsia="en-US"/>
        </w:rPr>
        <w:t>v</w:t>
      </w:r>
      <w:r w:rsidR="007B51CC" w:rsidRPr="00D15E02">
        <w:rPr>
          <w:rFonts w:asciiTheme="minorHAnsi" w:eastAsia="Calibri" w:hAnsiTheme="minorHAnsi" w:cstheme="minorHAnsi"/>
          <w:lang w:eastAsia="en-US"/>
        </w:rPr>
        <w:t xml:space="preserve">eliki </w:t>
      </w:r>
      <w:r w:rsidRPr="00D15E02">
        <w:rPr>
          <w:rFonts w:asciiTheme="minorHAnsi" w:eastAsia="Calibri" w:hAnsiTheme="minorHAnsi" w:cstheme="minorHAnsi"/>
          <w:lang w:eastAsia="en-US"/>
        </w:rPr>
        <w:t>poduzetnici</w:t>
      </w:r>
      <w:r w:rsidR="007B51CC">
        <w:rPr>
          <w:rFonts w:asciiTheme="minorHAnsi" w:eastAsia="Calibri" w:hAnsiTheme="minorHAnsi" w:cstheme="minorHAnsi"/>
          <w:lang w:eastAsia="en-US"/>
        </w:rPr>
        <w:t xml:space="preserve">, </w:t>
      </w:r>
    </w:p>
    <w:p w14:paraId="5C98B874" w14:textId="1340A85F" w:rsidR="00223B13" w:rsidRDefault="007B51CC" w:rsidP="00F51E3C">
      <w:pPr>
        <w:pStyle w:val="ListParagraph"/>
        <w:numPr>
          <w:ilvl w:val="0"/>
          <w:numId w:val="35"/>
        </w:num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</w:t>
      </w:r>
      <w:r w:rsidRPr="00D15E02">
        <w:rPr>
          <w:rFonts w:asciiTheme="minorHAnsi" w:eastAsia="Calibri" w:hAnsiTheme="minorHAnsi" w:cstheme="minorHAnsi"/>
          <w:lang w:eastAsia="en-US"/>
        </w:rPr>
        <w:t xml:space="preserve">oduzetnici </w:t>
      </w:r>
      <w:r w:rsidR="00223B13" w:rsidRPr="00D15E02">
        <w:rPr>
          <w:rFonts w:asciiTheme="minorHAnsi" w:eastAsia="Calibri" w:hAnsiTheme="minorHAnsi" w:cstheme="minorHAnsi"/>
          <w:lang w:eastAsia="en-US"/>
        </w:rPr>
        <w:t xml:space="preserve">koji nisu u teškoćama i/ili poduzetnici koji nisu bili u teškoćama </w:t>
      </w:r>
      <w:r w:rsidRPr="007B51CC">
        <w:rPr>
          <w:rFonts w:asciiTheme="minorHAnsi" w:eastAsia="Calibri" w:hAnsiTheme="minorHAnsi" w:cstheme="minorHAnsi"/>
          <w:lang w:eastAsia="en-US"/>
        </w:rPr>
        <w:t>(u smislu Uredbe o općem skupnom izuzeću</w:t>
      </w:r>
      <w:r w:rsidR="00747CCA">
        <w:rPr>
          <w:rStyle w:val="FootnoteReference"/>
          <w:rFonts w:asciiTheme="minorHAnsi" w:eastAsia="Calibri" w:hAnsiTheme="minorHAnsi" w:cstheme="minorHAnsi"/>
          <w:lang w:eastAsia="en-US"/>
        </w:rPr>
        <w:footnoteReference w:id="2"/>
      </w:r>
      <w:r>
        <w:rPr>
          <w:rFonts w:asciiTheme="minorHAnsi" w:eastAsia="Calibri" w:hAnsiTheme="minorHAnsi" w:cstheme="minorHAnsi"/>
          <w:lang w:eastAsia="en-US"/>
        </w:rPr>
        <w:t>)</w:t>
      </w:r>
      <w:r w:rsidRPr="007B51CC">
        <w:rPr>
          <w:rFonts w:asciiTheme="minorHAnsi" w:eastAsia="Calibri" w:hAnsiTheme="minorHAnsi" w:cstheme="minorHAnsi"/>
          <w:lang w:eastAsia="en-US"/>
        </w:rPr>
        <w:t xml:space="preserve"> </w:t>
      </w:r>
      <w:r w:rsidR="00223B13" w:rsidRPr="00D15E02">
        <w:rPr>
          <w:rFonts w:asciiTheme="minorHAnsi" w:eastAsia="Calibri" w:hAnsiTheme="minorHAnsi" w:cstheme="minorHAnsi"/>
          <w:lang w:eastAsia="en-US"/>
        </w:rPr>
        <w:t xml:space="preserve">na </w:t>
      </w:r>
      <w:r>
        <w:rPr>
          <w:rFonts w:asciiTheme="minorHAnsi" w:eastAsia="Calibri" w:hAnsiTheme="minorHAnsi" w:cstheme="minorHAnsi"/>
          <w:lang w:eastAsia="en-US"/>
        </w:rPr>
        <w:t xml:space="preserve">dan </w:t>
      </w:r>
      <w:r w:rsidR="00223B13" w:rsidRPr="00D15E02">
        <w:rPr>
          <w:rFonts w:asciiTheme="minorHAnsi" w:eastAsia="Calibri" w:hAnsiTheme="minorHAnsi" w:cstheme="minorHAnsi"/>
          <w:lang w:eastAsia="en-US"/>
        </w:rPr>
        <w:t>31</w:t>
      </w:r>
      <w:r w:rsidR="003E3737">
        <w:rPr>
          <w:rFonts w:asciiTheme="minorHAnsi" w:eastAsia="Calibri" w:hAnsiTheme="minorHAnsi" w:cstheme="minorHAnsi"/>
          <w:lang w:eastAsia="en-US"/>
        </w:rPr>
        <w:t>.</w:t>
      </w:r>
      <w:r w:rsidR="00223B13" w:rsidRPr="00D15E02">
        <w:rPr>
          <w:rFonts w:asciiTheme="minorHAnsi" w:eastAsia="Calibri" w:hAnsiTheme="minorHAnsi" w:cstheme="minorHAnsi"/>
          <w:lang w:eastAsia="en-US"/>
        </w:rPr>
        <w:t xml:space="preserve"> </w:t>
      </w:r>
      <w:r w:rsidR="003E3737">
        <w:rPr>
          <w:rFonts w:asciiTheme="minorHAnsi" w:eastAsia="Calibri" w:hAnsiTheme="minorHAnsi" w:cstheme="minorHAnsi"/>
          <w:lang w:eastAsia="en-US"/>
        </w:rPr>
        <w:t>p</w:t>
      </w:r>
      <w:r w:rsidR="003E3737" w:rsidRPr="00D15E02">
        <w:rPr>
          <w:rFonts w:asciiTheme="minorHAnsi" w:eastAsia="Calibri" w:hAnsiTheme="minorHAnsi" w:cstheme="minorHAnsi"/>
          <w:lang w:eastAsia="en-US"/>
        </w:rPr>
        <w:t>rosin</w:t>
      </w:r>
      <w:r w:rsidR="003E3737">
        <w:rPr>
          <w:rFonts w:asciiTheme="minorHAnsi" w:eastAsia="Calibri" w:hAnsiTheme="minorHAnsi" w:cstheme="minorHAnsi"/>
          <w:lang w:eastAsia="en-US"/>
        </w:rPr>
        <w:t>ca</w:t>
      </w:r>
      <w:r w:rsidR="003E3737" w:rsidRPr="00D15E02">
        <w:rPr>
          <w:rFonts w:asciiTheme="minorHAnsi" w:eastAsia="Calibri" w:hAnsiTheme="minorHAnsi" w:cstheme="minorHAnsi"/>
          <w:lang w:eastAsia="en-US"/>
        </w:rPr>
        <w:t xml:space="preserve"> </w:t>
      </w:r>
      <w:r w:rsidR="00223B13" w:rsidRPr="00D15E02">
        <w:rPr>
          <w:rFonts w:asciiTheme="minorHAnsi" w:eastAsia="Calibri" w:hAnsiTheme="minorHAnsi" w:cstheme="minorHAnsi"/>
          <w:lang w:eastAsia="en-US"/>
        </w:rPr>
        <w:t>2019</w:t>
      </w:r>
      <w:r w:rsidR="003E3737">
        <w:rPr>
          <w:rFonts w:asciiTheme="minorHAnsi" w:eastAsia="Calibri" w:hAnsiTheme="minorHAnsi" w:cstheme="minorHAnsi"/>
          <w:lang w:eastAsia="en-US"/>
        </w:rPr>
        <w:t>.</w:t>
      </w:r>
      <w:r w:rsidR="00223B13" w:rsidRPr="00D15E02">
        <w:rPr>
          <w:rFonts w:asciiTheme="minorHAnsi" w:eastAsia="Calibri" w:hAnsiTheme="minorHAnsi" w:cstheme="minorHAnsi"/>
          <w:lang w:eastAsia="en-US"/>
        </w:rPr>
        <w:t>, ali koji su se susreli s poteškoćama u poslovanju kao posljedica pandemije uzrokovane COVID-19 virusom</w:t>
      </w:r>
      <w:r>
        <w:rPr>
          <w:rFonts w:asciiTheme="minorHAnsi" w:eastAsia="Calibri" w:hAnsiTheme="minorHAnsi" w:cstheme="minorHAnsi"/>
          <w:lang w:eastAsia="en-US"/>
        </w:rPr>
        <w:t>,</w:t>
      </w:r>
    </w:p>
    <w:p w14:paraId="10F7945C" w14:textId="1B48B335" w:rsidR="007B51CC" w:rsidRPr="00D15E02" w:rsidRDefault="007B51CC" w:rsidP="00F51E3C">
      <w:pPr>
        <w:pStyle w:val="ListParagraph"/>
        <w:numPr>
          <w:ilvl w:val="0"/>
          <w:numId w:val="35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7B51CC">
        <w:rPr>
          <w:rFonts w:asciiTheme="minorHAnsi" w:eastAsia="Calibri" w:hAnsiTheme="minorHAnsi" w:cstheme="minorHAnsi"/>
          <w:lang w:eastAsia="en-US"/>
        </w:rPr>
        <w:t xml:space="preserve">odstupajući od prethodno navedenog, potpore se ne mogu dodijeliti </w:t>
      </w:r>
      <w:proofErr w:type="spellStart"/>
      <w:r w:rsidRPr="007B51CC">
        <w:rPr>
          <w:rFonts w:asciiTheme="minorHAnsi" w:eastAsia="Calibri" w:hAnsiTheme="minorHAnsi" w:cstheme="minorHAnsi"/>
          <w:lang w:eastAsia="en-US"/>
        </w:rPr>
        <w:t>mikropoduzetnicima</w:t>
      </w:r>
      <w:proofErr w:type="spellEnd"/>
      <w:r w:rsidRPr="007B51CC">
        <w:rPr>
          <w:rFonts w:asciiTheme="minorHAnsi" w:eastAsia="Calibri" w:hAnsiTheme="minorHAnsi" w:cstheme="minorHAnsi"/>
          <w:lang w:eastAsia="en-US"/>
        </w:rPr>
        <w:t xml:space="preserve"> ili malim poduzetnicima (u smislu Priloga I Uredbi o općem skupnom izuzeću) koji su već bili u teškoćama na dan 31. prosinca 2019., ako se nad njima provodi cjelokupni stečajni postupak u skladu s nacionalnim pravom, a još nisu primili potporu za sanaciju</w:t>
      </w:r>
      <w:r w:rsidR="00747CCA">
        <w:rPr>
          <w:rStyle w:val="FootnoteReference"/>
          <w:rFonts w:asciiTheme="minorHAnsi" w:eastAsia="Calibri" w:hAnsiTheme="minorHAnsi" w:cstheme="minorHAnsi"/>
          <w:lang w:eastAsia="en-US"/>
        </w:rPr>
        <w:footnoteReference w:id="3"/>
      </w:r>
      <w:r w:rsidRPr="007B51CC">
        <w:rPr>
          <w:rFonts w:asciiTheme="minorHAnsi" w:eastAsia="Calibri" w:hAnsiTheme="minorHAnsi" w:cstheme="minorHAnsi"/>
          <w:lang w:eastAsia="en-US"/>
        </w:rPr>
        <w:t xml:space="preserve"> ili potporu za restrukturiranje</w:t>
      </w:r>
      <w:r w:rsidR="00747CCA">
        <w:rPr>
          <w:rStyle w:val="FootnoteReference"/>
          <w:rFonts w:asciiTheme="minorHAnsi" w:eastAsia="Calibri" w:hAnsiTheme="minorHAnsi" w:cstheme="minorHAnsi"/>
          <w:lang w:eastAsia="en-US"/>
        </w:rPr>
        <w:footnoteReference w:id="4"/>
      </w:r>
      <w:r>
        <w:rPr>
          <w:rFonts w:asciiTheme="minorHAnsi" w:eastAsia="Calibri" w:hAnsiTheme="minorHAnsi" w:cstheme="minorHAnsi"/>
          <w:lang w:eastAsia="en-US"/>
        </w:rPr>
        <w:t>,</w:t>
      </w:r>
    </w:p>
    <w:p w14:paraId="2A43950A" w14:textId="63D0FB8C" w:rsidR="00223B13" w:rsidRPr="00D15E02" w:rsidRDefault="00223B13" w:rsidP="00F51E3C">
      <w:pPr>
        <w:pStyle w:val="ListParagraph"/>
        <w:numPr>
          <w:ilvl w:val="0"/>
          <w:numId w:val="35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 xml:space="preserve">ostvarili su minimalno </w:t>
      </w:r>
      <w:r w:rsidR="004F70E0" w:rsidRPr="003E6A0A">
        <w:rPr>
          <w:rFonts w:asciiTheme="minorHAnsi" w:eastAsia="Calibri" w:hAnsiTheme="minorHAnsi" w:cstheme="minorHAnsi"/>
          <w:lang w:eastAsia="en-US"/>
        </w:rPr>
        <w:t>10</w:t>
      </w:r>
      <w:r w:rsidRPr="003E6A0A">
        <w:rPr>
          <w:rFonts w:asciiTheme="minorHAnsi" w:eastAsia="Calibri" w:hAnsiTheme="minorHAnsi" w:cstheme="minorHAnsi"/>
          <w:lang w:eastAsia="en-US"/>
        </w:rPr>
        <w:t>% izvoznog</w:t>
      </w:r>
      <w:r w:rsidRPr="00D15E02">
        <w:rPr>
          <w:rFonts w:asciiTheme="minorHAnsi" w:eastAsia="Calibri" w:hAnsiTheme="minorHAnsi" w:cstheme="minorHAnsi"/>
          <w:lang w:eastAsia="en-US"/>
        </w:rPr>
        <w:t xml:space="preserve"> prihoda u ukupnim prihodima prethodne financijske godine</w:t>
      </w:r>
      <w:r w:rsidR="004F62A0">
        <w:rPr>
          <w:rFonts w:asciiTheme="minorHAnsi" w:eastAsia="Calibri" w:hAnsiTheme="minorHAnsi" w:cstheme="minorHAnsi"/>
          <w:lang w:eastAsia="en-US"/>
        </w:rPr>
        <w:t xml:space="preserve"> ili su dobavljači takvih poduzetnika (izvoznika),</w:t>
      </w:r>
    </w:p>
    <w:p w14:paraId="5A5F3B15" w14:textId="53F1ED2A" w:rsidR="00223B13" w:rsidRPr="00D15E02" w:rsidRDefault="00223B13" w:rsidP="00F51E3C">
      <w:pPr>
        <w:pStyle w:val="ListParagraph"/>
        <w:numPr>
          <w:ilvl w:val="0"/>
          <w:numId w:val="35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nisu u većinskom vlasništvu države (50% i više)</w:t>
      </w:r>
      <w:r w:rsidR="004A6720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218B3CB6" w14:textId="175B2F62" w:rsidR="00B26E83" w:rsidRPr="002F3CC7" w:rsidRDefault="00B26E83" w:rsidP="00F51E3C">
      <w:pPr>
        <w:pStyle w:val="ListParagraph"/>
        <w:jc w:val="both"/>
        <w:rPr>
          <w:rFonts w:asciiTheme="minorHAnsi" w:eastAsia="Calibri" w:hAnsiTheme="minorHAnsi" w:cstheme="minorHAnsi"/>
          <w:lang w:eastAsia="en-US"/>
        </w:rPr>
      </w:pPr>
    </w:p>
    <w:p w14:paraId="69791826" w14:textId="1B15B089" w:rsidR="002B47BD" w:rsidRPr="002B47BD" w:rsidRDefault="002B47BD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B47BD">
        <w:rPr>
          <w:rFonts w:asciiTheme="minorHAnsi" w:eastAsia="Calibri" w:hAnsiTheme="minorHAnsi" w:cstheme="minorHAnsi"/>
          <w:b/>
          <w:lang w:eastAsia="en-US"/>
        </w:rPr>
        <w:t xml:space="preserve">Procijenjeni broj korisnika: </w:t>
      </w:r>
      <w:r w:rsidRPr="002B47BD">
        <w:rPr>
          <w:rFonts w:asciiTheme="minorHAnsi" w:eastAsia="Calibri" w:hAnsiTheme="minorHAnsi" w:cstheme="minorHAnsi"/>
          <w:bCs/>
          <w:lang w:eastAsia="en-US"/>
        </w:rPr>
        <w:t>101-500.</w:t>
      </w:r>
    </w:p>
    <w:p w14:paraId="40C5BEB1" w14:textId="77777777" w:rsidR="002B47BD" w:rsidRPr="002F3CC7" w:rsidRDefault="002B47BD" w:rsidP="00F51E3C">
      <w:pPr>
        <w:pStyle w:val="ListParagraph"/>
        <w:jc w:val="both"/>
        <w:rPr>
          <w:rFonts w:asciiTheme="minorHAnsi" w:eastAsia="Calibri" w:hAnsiTheme="minorHAnsi" w:cstheme="minorHAnsi"/>
          <w:lang w:eastAsia="en-US"/>
        </w:rPr>
      </w:pPr>
    </w:p>
    <w:p w14:paraId="75A4D147" w14:textId="491C0C48" w:rsidR="00AB6A47" w:rsidRDefault="001A5B07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F3CC7">
        <w:rPr>
          <w:rFonts w:asciiTheme="minorHAnsi" w:eastAsia="Calibri" w:hAnsiTheme="minorHAnsi" w:cstheme="minorHAnsi"/>
          <w:b/>
          <w:lang w:eastAsia="en-US"/>
        </w:rPr>
        <w:t xml:space="preserve">b) </w:t>
      </w:r>
      <w:r w:rsidR="000336F5" w:rsidRPr="00D15E02">
        <w:rPr>
          <w:rFonts w:asciiTheme="minorHAnsi" w:eastAsia="Calibri" w:hAnsiTheme="minorHAnsi" w:cstheme="minorHAnsi"/>
          <w:b/>
          <w:lang w:eastAsia="en-US"/>
        </w:rPr>
        <w:t>Iznos kredita</w:t>
      </w:r>
      <w:r w:rsidR="000336F5" w:rsidRPr="002F3CC7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2F0D95E3" w14:textId="5C7D2C5E" w:rsidR="00602D19" w:rsidRDefault="000F286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>U skladu s točkom 25.d. Privremenog Okvir</w:t>
      </w:r>
      <w:r w:rsidR="002B47BD">
        <w:rPr>
          <w:rFonts w:asciiTheme="minorHAnsi" w:eastAsia="Calibri" w:hAnsiTheme="minorHAnsi" w:cstheme="minorHAnsi"/>
          <w:bCs/>
          <w:lang w:eastAsia="en-US"/>
        </w:rPr>
        <w:t>a</w:t>
      </w:r>
      <w:r w:rsidRPr="00D15E02">
        <w:rPr>
          <w:rFonts w:asciiTheme="minorHAnsi" w:eastAsia="Calibri" w:hAnsiTheme="minorHAnsi" w:cstheme="minorHAnsi"/>
          <w:bCs/>
          <w:lang w:eastAsia="en-US"/>
        </w:rPr>
        <w:t xml:space="preserve">, iznos kredita je ograničen na </w:t>
      </w:r>
      <w:r w:rsidR="00B05D37">
        <w:rPr>
          <w:rFonts w:asciiTheme="minorHAnsi" w:eastAsia="Calibri" w:hAnsiTheme="minorHAnsi" w:cstheme="minorHAnsi"/>
          <w:bCs/>
          <w:lang w:eastAsia="en-US"/>
        </w:rPr>
        <w:t>visinu</w:t>
      </w:r>
      <w:r w:rsidRPr="00D15E02">
        <w:rPr>
          <w:rFonts w:asciiTheme="minorHAnsi" w:eastAsia="Calibri" w:hAnsiTheme="minorHAnsi" w:cstheme="minorHAnsi"/>
          <w:bCs/>
          <w:lang w:eastAsia="en-US"/>
        </w:rPr>
        <w:t>:</w:t>
      </w:r>
    </w:p>
    <w:p w14:paraId="7CC11890" w14:textId="44D8D873" w:rsidR="00602D19" w:rsidRPr="00602D19" w:rsidRDefault="00602D19" w:rsidP="00602D19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602D19">
        <w:rPr>
          <w:rFonts w:asciiTheme="minorHAnsi" w:eastAsia="Calibri" w:hAnsiTheme="minorHAnsi" w:cstheme="minorHAnsi"/>
          <w:bCs/>
          <w:lang w:eastAsia="en-US"/>
        </w:rPr>
        <w:t xml:space="preserve">dvostrukih godišnjih rashoda korisnika za plaće (uključujući doprinose za socijalno osiguranje i trošak osoblja zaposlenog na lokaciji poduzetnika, ali formalno na platnoj listi </w:t>
      </w:r>
      <w:proofErr w:type="spellStart"/>
      <w:r w:rsidRPr="00602D19">
        <w:rPr>
          <w:rFonts w:asciiTheme="minorHAnsi" w:eastAsia="Calibri" w:hAnsiTheme="minorHAnsi" w:cstheme="minorHAnsi"/>
          <w:bCs/>
          <w:lang w:eastAsia="en-US"/>
        </w:rPr>
        <w:t>podugovaratelj</w:t>
      </w:r>
      <w:r w:rsidR="00BF01A5">
        <w:rPr>
          <w:rFonts w:asciiTheme="minorHAnsi" w:eastAsia="Calibri" w:hAnsiTheme="minorHAnsi" w:cstheme="minorHAnsi"/>
          <w:bCs/>
          <w:lang w:eastAsia="en-US"/>
        </w:rPr>
        <w:t>a</w:t>
      </w:r>
      <w:proofErr w:type="spellEnd"/>
      <w:r w:rsidRPr="00602D19">
        <w:rPr>
          <w:rFonts w:asciiTheme="minorHAnsi" w:eastAsia="Calibri" w:hAnsiTheme="minorHAnsi" w:cstheme="minorHAnsi"/>
          <w:bCs/>
          <w:lang w:eastAsia="en-US"/>
        </w:rPr>
        <w:t xml:space="preserve">) za 2019. ili za zadnju dostupnu godinu. U slučaju poduzetnika osnovanih 1. siječnja 2019. ili nakon tog datuma, maksimalni iznos kredita ne smije biti veći od procijenjenih godišnjih rashoda za plaće za prve dvije godine poslovanja ili </w:t>
      </w:r>
    </w:p>
    <w:p w14:paraId="16D83870" w14:textId="77777777" w:rsidR="00602D19" w:rsidRPr="00602D19" w:rsidRDefault="00602D19" w:rsidP="00602D19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602D19">
        <w:rPr>
          <w:rFonts w:asciiTheme="minorHAnsi" w:eastAsia="Calibri" w:hAnsiTheme="minorHAnsi" w:cstheme="minorHAnsi"/>
          <w:bCs/>
          <w:lang w:eastAsia="en-US"/>
        </w:rPr>
        <w:t xml:space="preserve">25 % ukupnog prometa korisnika u 2019.; ili </w:t>
      </w:r>
    </w:p>
    <w:p w14:paraId="16DFB4FE" w14:textId="7F454143" w:rsidR="00602D19" w:rsidRPr="00956799" w:rsidRDefault="00602D19" w:rsidP="00956799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602D19">
        <w:rPr>
          <w:rFonts w:asciiTheme="minorHAnsi" w:eastAsia="Calibri" w:hAnsiTheme="minorHAnsi" w:cstheme="minorHAnsi"/>
          <w:bCs/>
          <w:lang w:eastAsia="en-US"/>
        </w:rPr>
        <w:t>iznos kredita može se povećati da pokrije potrebe za likvidnošću od trenutka dodjele u sljedećih 18 mjeseci za MSP-ove i u sljedećih 12 mjeseci za velika poduzeća; potrebe za likvidnosti trebale bi se utvrditi na temelju izjave korisnika</w:t>
      </w:r>
      <w:r>
        <w:rPr>
          <w:rStyle w:val="FootnoteReference"/>
          <w:rFonts w:asciiTheme="minorHAnsi" w:eastAsia="Calibri" w:hAnsiTheme="minorHAnsi" w:cstheme="minorHAnsi"/>
          <w:bCs/>
          <w:lang w:eastAsia="en-US"/>
        </w:rPr>
        <w:footnoteReference w:id="5"/>
      </w:r>
      <w:r w:rsidR="00E667EB">
        <w:rPr>
          <w:rFonts w:asciiTheme="minorHAnsi" w:eastAsia="Calibri" w:hAnsiTheme="minorHAnsi" w:cstheme="minorHAnsi"/>
          <w:bCs/>
          <w:lang w:eastAsia="en-US"/>
        </w:rPr>
        <w:t>.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14:paraId="36A862DA" w14:textId="77777777" w:rsidR="00E667EB" w:rsidRPr="00956799" w:rsidRDefault="00E667EB" w:rsidP="0095679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5B9276F1" w14:textId="49700D55" w:rsidR="00A22404" w:rsidRPr="00D15E02" w:rsidRDefault="001A5B07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b/>
          <w:lang w:eastAsia="en-US"/>
        </w:rPr>
        <w:t xml:space="preserve">c) </w:t>
      </w:r>
      <w:r w:rsidR="000F2862" w:rsidRPr="00D15E02">
        <w:rPr>
          <w:rFonts w:asciiTheme="minorHAnsi" w:eastAsia="Calibri" w:hAnsiTheme="minorHAnsi" w:cstheme="minorHAnsi"/>
          <w:b/>
          <w:bCs/>
          <w:lang w:eastAsia="en-US"/>
        </w:rPr>
        <w:t>Trajanje kredita</w:t>
      </w:r>
    </w:p>
    <w:p w14:paraId="074A1C7B" w14:textId="5455FBAA" w:rsidR="000F2862" w:rsidRPr="00D15E02" w:rsidRDefault="000F286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Trajanje kredita ograničeno je na:</w:t>
      </w:r>
    </w:p>
    <w:p w14:paraId="01A496D5" w14:textId="0E47C0E7" w:rsidR="000F2862" w:rsidRPr="00D15E02" w:rsidRDefault="000F286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Poček do 1 godine</w:t>
      </w:r>
    </w:p>
    <w:p w14:paraId="71C00CBF" w14:textId="46965FA1" w:rsidR="000F2862" w:rsidRPr="00D15E02" w:rsidRDefault="000F286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Otplata do 5 godina</w:t>
      </w:r>
    </w:p>
    <w:p w14:paraId="20C0CE40" w14:textId="77777777" w:rsidR="000F2862" w:rsidRPr="002F3CC7" w:rsidRDefault="000F286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7428086" w14:textId="1393EA4D" w:rsidR="00D460FC" w:rsidRPr="00D15E02" w:rsidRDefault="00D460FC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15E02">
        <w:rPr>
          <w:rFonts w:asciiTheme="minorHAnsi" w:eastAsia="Calibri" w:hAnsiTheme="minorHAnsi" w:cstheme="minorHAnsi"/>
          <w:b/>
          <w:lang w:eastAsia="en-US"/>
        </w:rPr>
        <w:t xml:space="preserve">d) </w:t>
      </w:r>
      <w:r w:rsidR="000F2862" w:rsidRPr="00D15E02">
        <w:rPr>
          <w:rFonts w:asciiTheme="minorHAnsi" w:eastAsia="Calibri" w:hAnsiTheme="minorHAnsi" w:cstheme="minorHAnsi"/>
          <w:b/>
          <w:lang w:eastAsia="en-US"/>
        </w:rPr>
        <w:t>Kamate na kredit</w:t>
      </w:r>
    </w:p>
    <w:p w14:paraId="613288AF" w14:textId="32426FCF" w:rsidR="000F2862" w:rsidRPr="00D15E02" w:rsidRDefault="000F286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>Kamatne stope će biti određene od strane kreditora (banaka)</w:t>
      </w:r>
    </w:p>
    <w:p w14:paraId="39C82C1F" w14:textId="753078BD" w:rsidR="000F2862" w:rsidRPr="00D15E02" w:rsidRDefault="000F286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5E02">
        <w:rPr>
          <w:rFonts w:asciiTheme="minorHAnsi" w:eastAsia="Calibri" w:hAnsiTheme="minorHAnsi" w:cstheme="minorHAnsi"/>
          <w:lang w:eastAsia="en-US"/>
        </w:rPr>
        <w:t xml:space="preserve">Otplaćuju se </w:t>
      </w:r>
      <w:r w:rsidR="00BF00B3" w:rsidRPr="00D15E02">
        <w:rPr>
          <w:rFonts w:asciiTheme="minorHAnsi" w:eastAsia="Calibri" w:hAnsiTheme="minorHAnsi" w:cstheme="minorHAnsi"/>
          <w:lang w:eastAsia="en-US"/>
        </w:rPr>
        <w:t xml:space="preserve">mjesečno, </w:t>
      </w:r>
      <w:r w:rsidRPr="00D15E02">
        <w:rPr>
          <w:rFonts w:asciiTheme="minorHAnsi" w:eastAsia="Calibri" w:hAnsiTheme="minorHAnsi" w:cstheme="minorHAnsi"/>
          <w:lang w:eastAsia="en-US"/>
        </w:rPr>
        <w:t>kvartalno ili godišnje.</w:t>
      </w:r>
    </w:p>
    <w:p w14:paraId="5727AAAF" w14:textId="4F44D7E9" w:rsidR="001A5B07" w:rsidRDefault="001A5B07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F1BD931" w14:textId="77777777" w:rsidR="003E6A0A" w:rsidRPr="002F3CC7" w:rsidRDefault="003E6A0A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27CBE5AD" w14:textId="6F0BB40F" w:rsidR="001A5B07" w:rsidRPr="00D15E02" w:rsidRDefault="00D460FC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15E02">
        <w:rPr>
          <w:rFonts w:asciiTheme="minorHAnsi" w:eastAsia="Calibri" w:hAnsiTheme="minorHAnsi" w:cstheme="minorHAnsi"/>
          <w:b/>
          <w:bCs/>
          <w:lang w:eastAsia="en-US"/>
        </w:rPr>
        <w:lastRenderedPageBreak/>
        <w:t>e</w:t>
      </w:r>
      <w:r w:rsidR="001A5B07" w:rsidRPr="00D15E02">
        <w:rPr>
          <w:rFonts w:asciiTheme="minorHAnsi" w:eastAsia="Calibri" w:hAnsiTheme="minorHAnsi" w:cstheme="minorHAnsi"/>
          <w:b/>
          <w:bCs/>
          <w:lang w:eastAsia="en-US"/>
        </w:rPr>
        <w:t xml:space="preserve">) </w:t>
      </w:r>
      <w:r w:rsidR="000F2862" w:rsidRPr="00D15E02">
        <w:rPr>
          <w:rFonts w:asciiTheme="minorHAnsi" w:eastAsia="Calibri" w:hAnsiTheme="minorHAnsi" w:cstheme="minorHAnsi"/>
          <w:b/>
          <w:bCs/>
          <w:lang w:eastAsia="en-US"/>
        </w:rPr>
        <w:t>Razdoblje čekanja</w:t>
      </w:r>
    </w:p>
    <w:p w14:paraId="1C3C5284" w14:textId="4DF48958" w:rsidR="00D15E02" w:rsidRDefault="000F286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 xml:space="preserve">Osiguranik ima </w:t>
      </w:r>
      <w:r w:rsidR="00C21746" w:rsidRPr="00D15E02">
        <w:rPr>
          <w:rFonts w:asciiTheme="minorHAnsi" w:eastAsia="Calibri" w:hAnsiTheme="minorHAnsi" w:cstheme="minorHAnsi"/>
          <w:bCs/>
          <w:lang w:eastAsia="en-US"/>
        </w:rPr>
        <w:t>pravo</w:t>
      </w:r>
      <w:r w:rsidRPr="00D15E02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BF00B3" w:rsidRPr="00D15E02">
        <w:rPr>
          <w:rFonts w:asciiTheme="minorHAnsi" w:eastAsia="Calibri" w:hAnsiTheme="minorHAnsi" w:cstheme="minorHAnsi"/>
          <w:bCs/>
          <w:lang w:eastAsia="en-US"/>
        </w:rPr>
        <w:t xml:space="preserve">na podnošenje odštetnog zahtjeva prema HBOR-u kao osiguratelju u ime i za račun Republike Hrvatske </w:t>
      </w:r>
      <w:r w:rsidRPr="00D15E02">
        <w:rPr>
          <w:rFonts w:asciiTheme="minorHAnsi" w:eastAsia="Calibri" w:hAnsiTheme="minorHAnsi" w:cstheme="minorHAnsi"/>
          <w:bCs/>
          <w:lang w:eastAsia="en-US"/>
        </w:rPr>
        <w:t>nakon isteka:</w:t>
      </w:r>
    </w:p>
    <w:p w14:paraId="4DD9E5DA" w14:textId="0C6F1319" w:rsidR="000F2862" w:rsidRPr="00D15E02" w:rsidRDefault="000F2862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>30 dana od datuma dospijeća</w:t>
      </w:r>
      <w:r w:rsidR="00C21746" w:rsidRPr="00D15E02">
        <w:rPr>
          <w:rFonts w:asciiTheme="minorHAnsi" w:eastAsia="Calibri" w:hAnsiTheme="minorHAnsi" w:cstheme="minorHAnsi"/>
          <w:bCs/>
          <w:lang w:eastAsia="en-US"/>
        </w:rPr>
        <w:t xml:space="preserve"> obveza po kreditu. </w:t>
      </w:r>
    </w:p>
    <w:p w14:paraId="05F132AD" w14:textId="006644E8" w:rsidR="001A5B07" w:rsidRPr="002F3CC7" w:rsidRDefault="001A5B07" w:rsidP="00F51E3C">
      <w:pPr>
        <w:autoSpaceDE w:val="0"/>
        <w:autoSpaceDN w:val="0"/>
        <w:adjustRightInd w:val="0"/>
        <w:ind w:left="144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131BF50" w14:textId="5FD4549B" w:rsidR="001A5B07" w:rsidRPr="002F3CC7" w:rsidRDefault="00F364A8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f</w:t>
      </w:r>
      <w:r w:rsidR="001A5B07" w:rsidRPr="002F3CC7">
        <w:rPr>
          <w:rFonts w:asciiTheme="minorHAnsi" w:eastAsia="Calibri" w:hAnsiTheme="minorHAnsi" w:cstheme="minorHAnsi"/>
          <w:b/>
          <w:lang w:eastAsia="en-US"/>
        </w:rPr>
        <w:t>)</w:t>
      </w:r>
      <w:r w:rsidR="00C21746" w:rsidRPr="002F3CC7">
        <w:rPr>
          <w:rFonts w:asciiTheme="minorHAnsi" w:eastAsia="Calibri" w:hAnsiTheme="minorHAnsi" w:cstheme="minorHAnsi"/>
          <w:b/>
          <w:lang w:eastAsia="en-US"/>
        </w:rPr>
        <w:t xml:space="preserve"> Odšteta</w:t>
      </w:r>
    </w:p>
    <w:p w14:paraId="30639E7D" w14:textId="3945DF71" w:rsidR="00C21746" w:rsidRPr="00D15E02" w:rsidRDefault="00C21746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 xml:space="preserve">Odšteta predstavlja iznos novca koji HBOR plaća </w:t>
      </w:r>
      <w:r w:rsidR="00BF00B3" w:rsidRPr="00D15E02">
        <w:rPr>
          <w:rFonts w:asciiTheme="minorHAnsi" w:eastAsia="Calibri" w:hAnsiTheme="minorHAnsi" w:cstheme="minorHAnsi"/>
          <w:bCs/>
          <w:lang w:eastAsia="en-US"/>
        </w:rPr>
        <w:t>o</w:t>
      </w:r>
      <w:r w:rsidRPr="00D15E02">
        <w:rPr>
          <w:rFonts w:asciiTheme="minorHAnsi" w:eastAsia="Calibri" w:hAnsiTheme="minorHAnsi" w:cstheme="minorHAnsi"/>
          <w:bCs/>
          <w:lang w:eastAsia="en-US"/>
        </w:rPr>
        <w:t xml:space="preserve">siguraniku kao kompenzaciju za gubitak nastao događanjem osiguranog rizika tj. neplaćanja </w:t>
      </w:r>
      <w:r w:rsidR="00AA41ED">
        <w:rPr>
          <w:rFonts w:asciiTheme="minorHAnsi" w:eastAsia="Calibri" w:hAnsiTheme="minorHAnsi" w:cstheme="minorHAnsi"/>
          <w:bCs/>
          <w:lang w:eastAsia="en-US"/>
        </w:rPr>
        <w:t>k</w:t>
      </w:r>
      <w:r w:rsidRPr="00D15E02">
        <w:rPr>
          <w:rFonts w:asciiTheme="minorHAnsi" w:eastAsia="Calibri" w:hAnsiTheme="minorHAnsi" w:cstheme="minorHAnsi"/>
          <w:bCs/>
          <w:lang w:eastAsia="en-US"/>
        </w:rPr>
        <w:t>rajnjeg korisnika</w:t>
      </w:r>
      <w:r w:rsidR="00AA41ED">
        <w:rPr>
          <w:rFonts w:asciiTheme="minorHAnsi" w:eastAsia="Calibri" w:hAnsiTheme="minorHAnsi" w:cstheme="minorHAnsi"/>
          <w:bCs/>
          <w:lang w:eastAsia="en-US"/>
        </w:rPr>
        <w:t xml:space="preserve"> (izvoznika)</w:t>
      </w:r>
      <w:r w:rsidRPr="00D15E02">
        <w:rPr>
          <w:rFonts w:asciiTheme="minorHAnsi" w:eastAsia="Calibri" w:hAnsiTheme="minorHAnsi" w:cstheme="minorHAnsi"/>
          <w:bCs/>
          <w:lang w:eastAsia="en-US"/>
        </w:rPr>
        <w:t xml:space="preserve"> na datum dospijeća</w:t>
      </w:r>
      <w:r w:rsidR="00BF00B3" w:rsidRPr="00D15E02">
        <w:rPr>
          <w:rFonts w:asciiTheme="minorHAnsi" w:eastAsia="Calibri" w:hAnsiTheme="minorHAnsi" w:cstheme="minorHAnsi"/>
          <w:bCs/>
          <w:lang w:eastAsia="en-US"/>
        </w:rPr>
        <w:t xml:space="preserve"> obveza po kreditu</w:t>
      </w:r>
      <w:r w:rsidRPr="00D15E02">
        <w:rPr>
          <w:rFonts w:asciiTheme="minorHAnsi" w:eastAsia="Calibri" w:hAnsiTheme="minorHAnsi" w:cstheme="minorHAnsi"/>
          <w:bCs/>
          <w:lang w:eastAsia="en-US"/>
        </w:rPr>
        <w:t xml:space="preserve">, do iznosa </w:t>
      </w:r>
      <w:r w:rsidR="00BF00B3" w:rsidRPr="00D15E02">
        <w:rPr>
          <w:rFonts w:asciiTheme="minorHAnsi" w:eastAsia="Calibri" w:hAnsiTheme="minorHAnsi" w:cstheme="minorHAnsi"/>
          <w:bCs/>
          <w:lang w:eastAsia="en-US"/>
        </w:rPr>
        <w:t xml:space="preserve">dospjele </w:t>
      </w:r>
      <w:r w:rsidRPr="00D15E02">
        <w:rPr>
          <w:rFonts w:asciiTheme="minorHAnsi" w:eastAsia="Calibri" w:hAnsiTheme="minorHAnsi" w:cstheme="minorHAnsi"/>
          <w:bCs/>
          <w:lang w:eastAsia="en-US"/>
        </w:rPr>
        <w:t xml:space="preserve">glavnice i ugovorenih </w:t>
      </w:r>
      <w:r w:rsidR="00BF00B3" w:rsidRPr="00D15E02">
        <w:rPr>
          <w:rFonts w:asciiTheme="minorHAnsi" w:eastAsia="Calibri" w:hAnsiTheme="minorHAnsi" w:cstheme="minorHAnsi"/>
          <w:bCs/>
          <w:lang w:eastAsia="en-US"/>
        </w:rPr>
        <w:t xml:space="preserve">redovnih </w:t>
      </w:r>
      <w:r w:rsidRPr="00D15E02">
        <w:rPr>
          <w:rFonts w:asciiTheme="minorHAnsi" w:eastAsia="Calibri" w:hAnsiTheme="minorHAnsi" w:cstheme="minorHAnsi"/>
          <w:bCs/>
          <w:lang w:eastAsia="en-US"/>
        </w:rPr>
        <w:t xml:space="preserve">kamata na kredit umanjeno za </w:t>
      </w:r>
      <w:proofErr w:type="spellStart"/>
      <w:r w:rsidRPr="00D15E02">
        <w:rPr>
          <w:rFonts w:asciiTheme="minorHAnsi" w:eastAsia="Calibri" w:hAnsiTheme="minorHAnsi" w:cstheme="minorHAnsi"/>
          <w:bCs/>
          <w:lang w:eastAsia="en-US"/>
        </w:rPr>
        <w:t>Samopridržaj</w:t>
      </w:r>
      <w:proofErr w:type="spellEnd"/>
      <w:r w:rsidRPr="00D15E02">
        <w:rPr>
          <w:rFonts w:asciiTheme="minorHAnsi" w:eastAsia="Calibri" w:hAnsiTheme="minorHAnsi" w:cstheme="minorHAnsi"/>
          <w:bCs/>
          <w:lang w:eastAsia="en-US"/>
        </w:rPr>
        <w:t>.</w:t>
      </w:r>
      <w:r w:rsidR="009677DF">
        <w:rPr>
          <w:rFonts w:asciiTheme="minorHAnsi" w:eastAsia="Calibri" w:hAnsiTheme="minorHAnsi" w:cstheme="minorHAnsi"/>
          <w:bCs/>
          <w:lang w:eastAsia="en-US"/>
        </w:rPr>
        <w:t xml:space="preserve"> Odšteta pokriva glavnicu i redovnu kamatu u skladu s odobrenom visinom pokrića (50%-90%), pri čeme ni u kojem slučaju ukupan iznos odštete ne može premašiti 90% glavnice kredita. </w:t>
      </w:r>
    </w:p>
    <w:p w14:paraId="58C9E11D" w14:textId="77777777" w:rsidR="00B131C7" w:rsidRPr="002F3CC7" w:rsidRDefault="00B131C7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53CDF96A" w14:textId="6FBEB3A5" w:rsidR="00B131C7" w:rsidRPr="00D15E02" w:rsidRDefault="00F364A8" w:rsidP="00F51E3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</w:t>
      </w:r>
      <w:r w:rsidR="00194D3F" w:rsidRPr="00D15E02">
        <w:rPr>
          <w:rFonts w:asciiTheme="minorHAnsi" w:hAnsiTheme="minorHAnsi" w:cstheme="minorHAnsi"/>
          <w:b/>
        </w:rPr>
        <w:t xml:space="preserve">) </w:t>
      </w:r>
      <w:proofErr w:type="spellStart"/>
      <w:r w:rsidR="00C21746" w:rsidRPr="00D15E02">
        <w:rPr>
          <w:rFonts w:asciiTheme="minorHAnsi" w:hAnsiTheme="minorHAnsi" w:cstheme="minorHAnsi"/>
          <w:b/>
        </w:rPr>
        <w:t>Samopridržaj</w:t>
      </w:r>
      <w:proofErr w:type="spellEnd"/>
    </w:p>
    <w:p w14:paraId="3BDAF596" w14:textId="4FD39421" w:rsidR="00C21746" w:rsidRPr="00D15E02" w:rsidRDefault="00C21746" w:rsidP="00F51E3C">
      <w:pPr>
        <w:jc w:val="both"/>
        <w:rPr>
          <w:rFonts w:asciiTheme="minorHAnsi" w:hAnsiTheme="minorHAnsi" w:cstheme="minorHAnsi"/>
          <w:bCs/>
        </w:rPr>
      </w:pPr>
      <w:proofErr w:type="spellStart"/>
      <w:r w:rsidRPr="00D15E02">
        <w:rPr>
          <w:rFonts w:asciiTheme="minorHAnsi" w:hAnsiTheme="minorHAnsi" w:cstheme="minorHAnsi"/>
          <w:bCs/>
        </w:rPr>
        <w:t>Osiguranikov</w:t>
      </w:r>
      <w:proofErr w:type="spellEnd"/>
      <w:r w:rsidRPr="00D15E02">
        <w:rPr>
          <w:rFonts w:asciiTheme="minorHAnsi" w:hAnsiTheme="minorHAnsi" w:cstheme="minorHAnsi"/>
          <w:bCs/>
        </w:rPr>
        <w:t xml:space="preserve"> </w:t>
      </w:r>
      <w:r w:rsidR="00AA41ED">
        <w:rPr>
          <w:rFonts w:asciiTheme="minorHAnsi" w:hAnsiTheme="minorHAnsi" w:cstheme="minorHAnsi"/>
          <w:bCs/>
        </w:rPr>
        <w:t xml:space="preserve">(kreditorov) </w:t>
      </w:r>
      <w:r w:rsidRPr="00D15E02">
        <w:rPr>
          <w:rFonts w:asciiTheme="minorHAnsi" w:hAnsiTheme="minorHAnsi" w:cstheme="minorHAnsi"/>
          <w:bCs/>
        </w:rPr>
        <w:t xml:space="preserve">udio u gubitku je </w:t>
      </w:r>
      <w:r w:rsidR="00853199">
        <w:rPr>
          <w:rFonts w:asciiTheme="minorHAnsi" w:hAnsiTheme="minorHAnsi" w:cstheme="minorHAnsi"/>
          <w:bCs/>
        </w:rPr>
        <w:t xml:space="preserve">najmanje </w:t>
      </w:r>
      <w:r w:rsidR="009677DF">
        <w:rPr>
          <w:rFonts w:asciiTheme="minorHAnsi" w:hAnsiTheme="minorHAnsi" w:cstheme="minorHAnsi"/>
          <w:bCs/>
        </w:rPr>
        <w:t>10</w:t>
      </w:r>
      <w:r w:rsidRPr="00D15E02">
        <w:rPr>
          <w:rFonts w:asciiTheme="minorHAnsi" w:hAnsiTheme="minorHAnsi" w:cstheme="minorHAnsi"/>
          <w:bCs/>
        </w:rPr>
        <w:t xml:space="preserve">%. </w:t>
      </w:r>
    </w:p>
    <w:p w14:paraId="5DBACC99" w14:textId="77777777" w:rsidR="001A5B07" w:rsidRPr="002F3CC7" w:rsidRDefault="001A5B07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6DC456B" w14:textId="01FEAC05" w:rsidR="00C21746" w:rsidRPr="00D15E02" w:rsidRDefault="00F364A8" w:rsidP="00F51E3C">
      <w:pPr>
        <w:jc w:val="both"/>
        <w:rPr>
          <w:rFonts w:asciiTheme="minorHAnsi" w:hAnsiTheme="minorHAnsi" w:cstheme="minorHAnsi"/>
          <w:b/>
        </w:rPr>
      </w:pPr>
      <w:bookmarkStart w:id="5" w:name="_Hlk54866232"/>
      <w:r>
        <w:rPr>
          <w:rFonts w:asciiTheme="minorHAnsi" w:hAnsiTheme="minorHAnsi" w:cstheme="minorHAnsi"/>
          <w:b/>
        </w:rPr>
        <w:t>h</w:t>
      </w:r>
      <w:r w:rsidR="001A5B07" w:rsidRPr="00D15E02">
        <w:rPr>
          <w:rFonts w:asciiTheme="minorHAnsi" w:hAnsiTheme="minorHAnsi" w:cstheme="minorHAnsi"/>
          <w:b/>
        </w:rPr>
        <w:t xml:space="preserve">) </w:t>
      </w:r>
      <w:r w:rsidR="00C21746" w:rsidRPr="00D15E02">
        <w:rPr>
          <w:rFonts w:asciiTheme="minorHAnsi" w:hAnsiTheme="minorHAnsi" w:cstheme="minorHAnsi"/>
          <w:b/>
        </w:rPr>
        <w:t>Izvještavanje, nadziranje iskorištenja kredita i otplata</w:t>
      </w:r>
    </w:p>
    <w:p w14:paraId="5E87C783" w14:textId="00A1E66A" w:rsidR="00C21746" w:rsidRPr="00D15E02" w:rsidRDefault="00C21746" w:rsidP="00F51E3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D15E02">
        <w:rPr>
          <w:rFonts w:asciiTheme="minorHAnsi" w:hAnsiTheme="minorHAnsi" w:cstheme="minorHAnsi"/>
          <w:bCs/>
        </w:rPr>
        <w:t xml:space="preserve">Kreditor će izvršiti </w:t>
      </w:r>
      <w:proofErr w:type="spellStart"/>
      <w:r w:rsidRPr="00D15E02">
        <w:rPr>
          <w:rFonts w:asciiTheme="minorHAnsi" w:hAnsiTheme="minorHAnsi" w:cstheme="minorHAnsi"/>
          <w:bCs/>
        </w:rPr>
        <w:t>due</w:t>
      </w:r>
      <w:proofErr w:type="spellEnd"/>
      <w:r w:rsidRPr="00D15E02">
        <w:rPr>
          <w:rFonts w:asciiTheme="minorHAnsi" w:hAnsiTheme="minorHAnsi" w:cstheme="minorHAnsi"/>
          <w:bCs/>
        </w:rPr>
        <w:t xml:space="preserve"> </w:t>
      </w:r>
      <w:proofErr w:type="spellStart"/>
      <w:r w:rsidRPr="00D15E02">
        <w:rPr>
          <w:rFonts w:asciiTheme="minorHAnsi" w:hAnsiTheme="minorHAnsi" w:cstheme="minorHAnsi"/>
          <w:bCs/>
        </w:rPr>
        <w:t>dilligence</w:t>
      </w:r>
      <w:proofErr w:type="spellEnd"/>
      <w:r w:rsidRPr="00D15E02">
        <w:rPr>
          <w:rFonts w:asciiTheme="minorHAnsi" w:hAnsiTheme="minorHAnsi" w:cstheme="minorHAnsi"/>
          <w:bCs/>
        </w:rPr>
        <w:t xml:space="preserve"> </w:t>
      </w:r>
      <w:r w:rsidR="00AA41ED">
        <w:rPr>
          <w:rFonts w:asciiTheme="minorHAnsi" w:hAnsiTheme="minorHAnsi" w:cstheme="minorHAnsi"/>
          <w:bCs/>
        </w:rPr>
        <w:t>k</w:t>
      </w:r>
      <w:r w:rsidRPr="00D15E02">
        <w:rPr>
          <w:rFonts w:asciiTheme="minorHAnsi" w:hAnsiTheme="minorHAnsi" w:cstheme="minorHAnsi"/>
          <w:bCs/>
        </w:rPr>
        <w:t>rajnjeg korisnika</w:t>
      </w:r>
      <w:r w:rsidR="00AA41ED">
        <w:rPr>
          <w:rFonts w:asciiTheme="minorHAnsi" w:hAnsiTheme="minorHAnsi" w:cstheme="minorHAnsi"/>
          <w:bCs/>
        </w:rPr>
        <w:t xml:space="preserve"> (izvoznika)</w:t>
      </w:r>
      <w:r w:rsidRPr="00D15E02">
        <w:rPr>
          <w:rFonts w:asciiTheme="minorHAnsi" w:hAnsiTheme="minorHAnsi" w:cstheme="minorHAnsi"/>
          <w:bCs/>
        </w:rPr>
        <w:t xml:space="preserve"> i nadzirati će korištenje sredstava kredita u sukladnosti sa svojim važećim procedurama koje također uključuju nadzor otplate kredita, verifikaciju financijskih izvještaja i druge dokumentacije povezane za osiguranim kreditom. </w:t>
      </w:r>
    </w:p>
    <w:bookmarkEnd w:id="5"/>
    <w:p w14:paraId="37985CCC" w14:textId="77777777" w:rsidR="00C21746" w:rsidRPr="002F3CC7" w:rsidRDefault="00C21746" w:rsidP="00F51E3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7729FD51" w14:textId="2219DEA9" w:rsidR="00111C3F" w:rsidRPr="002F3CC7" w:rsidRDefault="00F364A8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i</w:t>
      </w:r>
      <w:r w:rsidR="00194D3F" w:rsidRPr="002F3CC7">
        <w:rPr>
          <w:rFonts w:asciiTheme="minorHAnsi" w:eastAsia="Calibri" w:hAnsiTheme="minorHAnsi" w:cstheme="minorHAnsi"/>
          <w:b/>
          <w:lang w:eastAsia="en-US"/>
        </w:rPr>
        <w:t xml:space="preserve">) </w:t>
      </w:r>
      <w:r w:rsidR="00C21746" w:rsidRPr="00D15E02">
        <w:rPr>
          <w:rFonts w:asciiTheme="minorHAnsi" w:eastAsia="Calibri" w:hAnsiTheme="minorHAnsi" w:cstheme="minorHAnsi"/>
          <w:b/>
          <w:lang w:eastAsia="en-US"/>
        </w:rPr>
        <w:t>Premija osiguranja</w:t>
      </w:r>
    </w:p>
    <w:p w14:paraId="31AC6DC7" w14:textId="3B2BE7C2" w:rsidR="00C21746" w:rsidRDefault="00C21746" w:rsidP="00F51E3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bookmarkStart w:id="6" w:name="_Hlk54866293"/>
      <w:r w:rsidRPr="00D15E02">
        <w:rPr>
          <w:rFonts w:asciiTheme="minorHAnsi" w:hAnsiTheme="minorHAnsi" w:cstheme="minorHAnsi"/>
        </w:rPr>
        <w:t xml:space="preserve">Premija osiguranja je novčani iznos </w:t>
      </w:r>
      <w:r w:rsidR="009F2BD1" w:rsidRPr="00D15E02">
        <w:rPr>
          <w:rFonts w:asciiTheme="minorHAnsi" w:hAnsiTheme="minorHAnsi" w:cstheme="minorHAnsi"/>
        </w:rPr>
        <w:t xml:space="preserve">koji </w:t>
      </w:r>
      <w:r w:rsidR="00BF00B3" w:rsidRPr="00D15E02">
        <w:rPr>
          <w:rFonts w:asciiTheme="minorHAnsi" w:hAnsiTheme="minorHAnsi" w:cstheme="minorHAnsi"/>
        </w:rPr>
        <w:t xml:space="preserve">HBOR kao Osiguratelj </w:t>
      </w:r>
      <w:r w:rsidR="009F2BD1" w:rsidRPr="00D15E02">
        <w:rPr>
          <w:rFonts w:asciiTheme="minorHAnsi" w:hAnsiTheme="minorHAnsi" w:cstheme="minorHAnsi"/>
        </w:rPr>
        <w:t xml:space="preserve">naplaćuje za </w:t>
      </w:r>
      <w:r w:rsidR="00BF00B3" w:rsidRPr="00D15E02">
        <w:rPr>
          <w:rFonts w:asciiTheme="minorHAnsi" w:hAnsiTheme="minorHAnsi" w:cstheme="minorHAnsi"/>
        </w:rPr>
        <w:t xml:space="preserve">preuzeti </w:t>
      </w:r>
      <w:r w:rsidR="009F2BD1" w:rsidRPr="00D15E02">
        <w:rPr>
          <w:rFonts w:asciiTheme="minorHAnsi" w:hAnsiTheme="minorHAnsi" w:cstheme="minorHAnsi"/>
        </w:rPr>
        <w:t xml:space="preserve">rizik </w:t>
      </w:r>
      <w:r w:rsidR="00B331DD">
        <w:rPr>
          <w:rFonts w:asciiTheme="minorHAnsi" w:hAnsiTheme="minorHAnsi" w:cstheme="minorHAnsi"/>
        </w:rPr>
        <w:t>otplate</w:t>
      </w:r>
      <w:r w:rsidR="00B331DD" w:rsidRPr="00D15E02">
        <w:rPr>
          <w:rFonts w:asciiTheme="minorHAnsi" w:hAnsiTheme="minorHAnsi" w:cstheme="minorHAnsi"/>
        </w:rPr>
        <w:t xml:space="preserve"> </w:t>
      </w:r>
      <w:r w:rsidR="009F2BD1" w:rsidRPr="00D15E02">
        <w:rPr>
          <w:rFonts w:asciiTheme="minorHAnsi" w:hAnsiTheme="minorHAnsi" w:cstheme="minorHAnsi"/>
        </w:rPr>
        <w:t>kredita.</w:t>
      </w:r>
      <w:r w:rsidR="008C4478">
        <w:rPr>
          <w:rFonts w:asciiTheme="minorHAnsi" w:hAnsiTheme="minorHAnsi" w:cstheme="minorHAnsi"/>
        </w:rPr>
        <w:t xml:space="preserve"> </w:t>
      </w:r>
      <w:r w:rsidR="00B46633">
        <w:rPr>
          <w:rFonts w:asciiTheme="minorHAnsi" w:hAnsiTheme="minorHAnsi" w:cstheme="minorHAnsi"/>
        </w:rPr>
        <w:t xml:space="preserve">Godišnje premijske </w:t>
      </w:r>
      <w:r w:rsidR="008C4478">
        <w:rPr>
          <w:rFonts w:asciiTheme="minorHAnsi" w:hAnsiTheme="minorHAnsi" w:cstheme="minorHAnsi"/>
        </w:rPr>
        <w:t xml:space="preserve">stope su utvrđene sukladno veličini korisnika kredita </w:t>
      </w:r>
      <w:r w:rsidR="00B74860">
        <w:rPr>
          <w:rFonts w:asciiTheme="minorHAnsi" w:hAnsiTheme="minorHAnsi" w:cstheme="minorHAnsi"/>
        </w:rPr>
        <w:t xml:space="preserve">i visini pokrića, </w:t>
      </w:r>
      <w:r w:rsidR="008C4478">
        <w:rPr>
          <w:rFonts w:asciiTheme="minorHAnsi" w:hAnsiTheme="minorHAnsi" w:cstheme="minorHAnsi"/>
        </w:rPr>
        <w:t xml:space="preserve">sukladno </w:t>
      </w:r>
      <w:r w:rsidR="00B74860">
        <w:rPr>
          <w:rFonts w:asciiTheme="minorHAnsi" w:hAnsiTheme="minorHAnsi" w:cstheme="minorHAnsi"/>
        </w:rPr>
        <w:t>donj</w:t>
      </w:r>
      <w:r w:rsidR="00B46633">
        <w:rPr>
          <w:rFonts w:asciiTheme="minorHAnsi" w:hAnsiTheme="minorHAnsi" w:cstheme="minorHAnsi"/>
        </w:rPr>
        <w:t>oj</w:t>
      </w:r>
      <w:r w:rsidR="00B74860">
        <w:rPr>
          <w:rFonts w:asciiTheme="minorHAnsi" w:hAnsiTheme="minorHAnsi" w:cstheme="minorHAnsi"/>
        </w:rPr>
        <w:t xml:space="preserve"> tablic</w:t>
      </w:r>
      <w:r w:rsidR="00B46633">
        <w:rPr>
          <w:rFonts w:asciiTheme="minorHAnsi" w:hAnsiTheme="minorHAnsi" w:cstheme="minorHAnsi"/>
        </w:rPr>
        <w:t>i</w:t>
      </w:r>
      <w:r w:rsidR="008C4478">
        <w:rPr>
          <w:rFonts w:asciiTheme="minorHAnsi" w:hAnsiTheme="minorHAnsi" w:cstheme="minorHAnsi"/>
        </w:rPr>
        <w:t>.</w:t>
      </w:r>
    </w:p>
    <w:p w14:paraId="0E0C3101" w14:textId="04C0BEF8" w:rsidR="00B74860" w:rsidRDefault="00B74860" w:rsidP="00F51E3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14:paraId="716AEE22" w14:textId="1390770E" w:rsidR="00B74860" w:rsidRPr="00D15E02" w:rsidRDefault="00B74860" w:rsidP="00F51E3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Premija će se obračunavati jednokratno unaprijed, i izračunavat će se temeljem preliminarnog otplatnog plana </w:t>
      </w:r>
      <w:r w:rsidR="0051494D">
        <w:rPr>
          <w:rFonts w:asciiTheme="minorHAnsi" w:hAnsiTheme="minorHAnsi" w:cstheme="minorHAnsi"/>
        </w:rPr>
        <w:t xml:space="preserve">glavnice </w:t>
      </w:r>
      <w:r>
        <w:rPr>
          <w:rFonts w:asciiTheme="minorHAnsi" w:hAnsiTheme="minorHAnsi" w:cstheme="minorHAnsi"/>
        </w:rPr>
        <w:t>kredita (uzimajući u obzir da se glavnica kredita otplaćuje).</w:t>
      </w:r>
      <w:r w:rsidRPr="00B74860">
        <w:rPr>
          <w:rFonts w:asciiTheme="minorHAnsi" w:eastAsia="Calibri" w:hAnsiTheme="minorHAnsi" w:cstheme="minorHAnsi"/>
          <w:lang w:eastAsia="en-US"/>
        </w:rPr>
        <w:t xml:space="preserve"> </w:t>
      </w:r>
      <w:r w:rsidRPr="002B47BD">
        <w:rPr>
          <w:rFonts w:asciiTheme="minorHAnsi" w:eastAsia="Calibri" w:hAnsiTheme="minorHAnsi" w:cstheme="minorHAnsi"/>
          <w:lang w:eastAsia="en-US"/>
        </w:rPr>
        <w:t xml:space="preserve">Trošak premije osiguranja banke će </w:t>
      </w:r>
      <w:r w:rsidR="00853199">
        <w:rPr>
          <w:rFonts w:asciiTheme="minorHAnsi" w:eastAsia="Calibri" w:hAnsiTheme="minorHAnsi" w:cstheme="minorHAnsi"/>
          <w:lang w:eastAsia="en-US"/>
        </w:rPr>
        <w:t xml:space="preserve">u pravilu </w:t>
      </w:r>
      <w:r w:rsidRPr="002B47BD">
        <w:rPr>
          <w:rFonts w:asciiTheme="minorHAnsi" w:eastAsia="Calibri" w:hAnsiTheme="minorHAnsi" w:cstheme="minorHAnsi"/>
          <w:lang w:eastAsia="en-US"/>
        </w:rPr>
        <w:t>prebaciti na krajnje korisnike kredita (izvoznike).</w:t>
      </w:r>
    </w:p>
    <w:bookmarkEnd w:id="6"/>
    <w:p w14:paraId="1B364210" w14:textId="77777777" w:rsidR="00747CCA" w:rsidRDefault="00747CCA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F8DFE79" w14:textId="5DB640EC" w:rsidR="00BB1CFE" w:rsidRDefault="004F70E0" w:rsidP="004F70E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7" w:name="_Hlk54866391"/>
      <w:r w:rsidRPr="0094031C">
        <w:rPr>
          <w:rFonts w:asciiTheme="minorHAnsi" w:eastAsia="Calibri" w:hAnsiTheme="minorHAnsi" w:cstheme="minorHAnsi"/>
          <w:bCs/>
          <w:lang w:eastAsia="en-US"/>
        </w:rPr>
        <w:t xml:space="preserve">Tablica 1: Godišnje premijske stope za pokriće 90% </w:t>
      </w:r>
    </w:p>
    <w:p w14:paraId="33E583DD" w14:textId="77777777" w:rsidR="003E6A0A" w:rsidRPr="0094031C" w:rsidRDefault="003E6A0A" w:rsidP="004F70E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</w:p>
    <w:tbl>
      <w:tblPr>
        <w:tblW w:w="86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960"/>
        <w:gridCol w:w="960"/>
        <w:gridCol w:w="960"/>
        <w:gridCol w:w="960"/>
        <w:gridCol w:w="960"/>
        <w:gridCol w:w="960"/>
      </w:tblGrid>
      <w:tr w:rsidR="004F70E0" w:rsidRPr="0094031C" w14:paraId="22108EF6" w14:textId="77777777" w:rsidTr="006D3F5D">
        <w:trPr>
          <w:trHeight w:val="32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472B" w14:textId="556D0AC8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Tip korisnika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1137" w14:textId="049B82BF" w:rsidR="004F70E0" w:rsidRPr="0094031C" w:rsidRDefault="00BB1CFE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1.g.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4798" w14:textId="5CF37928" w:rsidR="004F70E0" w:rsidRPr="0094031C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2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.g.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592D" w14:textId="037BCDF9" w:rsidR="004F70E0" w:rsidRPr="0094031C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3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.g.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FEDB6" w14:textId="586E4CEF" w:rsidR="004F70E0" w:rsidRPr="0094031C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4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.g.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3B35" w14:textId="3889A6BD" w:rsidR="004F70E0" w:rsidRPr="0094031C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5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.g.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1CCC" w14:textId="473F300C" w:rsidR="004F70E0" w:rsidRPr="0094031C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6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.g.</w:t>
            </w:r>
          </w:p>
        </w:tc>
      </w:tr>
      <w:tr w:rsidR="004F70E0" w:rsidRPr="0094031C" w14:paraId="7804E76A" w14:textId="77777777" w:rsidTr="006D3F5D">
        <w:trPr>
          <w:trHeight w:val="320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2677" w14:textId="4FB5BDA5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bookmarkStart w:id="8" w:name="_Hlk54354638"/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9ECA" w14:textId="41D5BE98" w:rsidR="004F70E0" w:rsidRPr="003E6A0A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0,25%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97318" w14:textId="17EC9769" w:rsidR="004F70E0" w:rsidRPr="003E6A0A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0,50%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0CAD" w14:textId="06D119BA" w:rsidR="004F70E0" w:rsidRPr="003E6A0A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0,50%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2217" w14:textId="5E17935A" w:rsidR="004F70E0" w:rsidRPr="003E6A0A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1,00%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8CA4" w14:textId="51CD9EF3" w:rsidR="004F70E0" w:rsidRPr="003E6A0A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1,00%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69EF" w14:textId="36A76CC0" w:rsidR="004F70E0" w:rsidRPr="003E6A0A" w:rsidRDefault="004F70E0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1,00%</w:t>
            </w:r>
          </w:p>
        </w:tc>
      </w:tr>
      <w:bookmarkEnd w:id="8"/>
      <w:tr w:rsidR="00BB1CFE" w:rsidRPr="00BB1CFE" w14:paraId="358736AE" w14:textId="77777777" w:rsidTr="006D3F5D">
        <w:trPr>
          <w:trHeight w:val="320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B56E" w14:textId="4F3F207C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Veliki poduzetnik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33AC3" w14:textId="6E99A653" w:rsidR="00BB1CFE" w:rsidRPr="003E6A0A" w:rsidRDefault="00BB1CFE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0,50%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4A25" w14:textId="1065D2B3" w:rsidR="00BB1CFE" w:rsidRPr="003E6A0A" w:rsidRDefault="00BB1CFE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1,00%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384B" w14:textId="0EB8096C" w:rsidR="00BB1CFE" w:rsidRPr="003E6A0A" w:rsidRDefault="00BB1CFE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1,00%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80B1" w14:textId="60735884" w:rsidR="00BB1CFE" w:rsidRPr="003E6A0A" w:rsidRDefault="00BB1CFE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2,00%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F247" w14:textId="66511E41" w:rsidR="00BB1CFE" w:rsidRPr="003E6A0A" w:rsidRDefault="00BB1CFE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2,00%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3775" w14:textId="1C787838" w:rsidR="00BB1CFE" w:rsidRPr="003E6A0A" w:rsidRDefault="00BB1CFE" w:rsidP="00BB1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E6A0A">
              <w:rPr>
                <w:rFonts w:asciiTheme="minorHAnsi" w:eastAsia="Calibri" w:hAnsiTheme="minorHAnsi" w:cstheme="minorHAnsi"/>
                <w:lang w:eastAsia="en-US"/>
              </w:rPr>
              <w:t>2,00%</w:t>
            </w:r>
          </w:p>
        </w:tc>
      </w:tr>
      <w:bookmarkEnd w:id="7"/>
    </w:tbl>
    <w:p w14:paraId="1F498D61" w14:textId="77777777" w:rsidR="004F70E0" w:rsidRPr="004F70E0" w:rsidRDefault="004F70E0" w:rsidP="004F70E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i/>
          <w:iCs/>
          <w:u w:val="single"/>
          <w:lang w:val="en-GB" w:eastAsia="en-US"/>
        </w:rPr>
      </w:pPr>
    </w:p>
    <w:p w14:paraId="63C17663" w14:textId="1D3623C1" w:rsidR="004F70E0" w:rsidRPr="0094031C" w:rsidRDefault="00BB1CFE" w:rsidP="004F70E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9" w:name="_Hlk54866657"/>
      <w:r w:rsidRPr="0094031C">
        <w:rPr>
          <w:rFonts w:asciiTheme="minorHAnsi" w:eastAsia="Calibri" w:hAnsiTheme="minorHAnsi" w:cstheme="minorHAnsi"/>
          <w:bCs/>
          <w:lang w:eastAsia="en-US"/>
        </w:rPr>
        <w:t>Tablica 2</w:t>
      </w:r>
      <w:r w:rsidR="004F70E0" w:rsidRPr="0094031C">
        <w:rPr>
          <w:rFonts w:asciiTheme="minorHAnsi" w:eastAsia="Calibri" w:hAnsiTheme="minorHAnsi" w:cstheme="minorHAnsi"/>
          <w:bCs/>
          <w:lang w:eastAsia="en-US"/>
        </w:rPr>
        <w:t xml:space="preserve">: </w:t>
      </w:r>
      <w:r w:rsidRPr="0094031C">
        <w:rPr>
          <w:rFonts w:asciiTheme="minorHAnsi" w:eastAsia="Calibri" w:hAnsiTheme="minorHAnsi" w:cstheme="minorHAnsi"/>
          <w:bCs/>
          <w:lang w:eastAsia="en-US"/>
        </w:rPr>
        <w:t>Fiksne premijske stope</w:t>
      </w:r>
      <w:r w:rsidR="004F70E0" w:rsidRPr="0094031C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94031C">
        <w:rPr>
          <w:rFonts w:asciiTheme="minorHAnsi" w:eastAsia="Calibri" w:hAnsiTheme="minorHAnsi" w:cstheme="minorHAnsi"/>
          <w:bCs/>
          <w:lang w:eastAsia="en-US"/>
        </w:rPr>
        <w:t>za različita pokrića</w:t>
      </w:r>
      <w:r w:rsidR="004F70E0" w:rsidRPr="0094031C">
        <w:rPr>
          <w:rFonts w:asciiTheme="minorHAnsi" w:eastAsia="Calibri" w:hAnsiTheme="minorHAnsi" w:cstheme="minorHAnsi"/>
          <w:bCs/>
          <w:lang w:eastAsia="en-US"/>
        </w:rPr>
        <w:t xml:space="preserve"> (50%-80%) </w:t>
      </w:r>
      <w:r w:rsidRPr="0094031C">
        <w:rPr>
          <w:rFonts w:asciiTheme="minorHAnsi" w:eastAsia="Calibri" w:hAnsiTheme="minorHAnsi" w:cstheme="minorHAnsi"/>
          <w:bCs/>
          <w:lang w:eastAsia="en-US"/>
        </w:rPr>
        <w:t xml:space="preserve">i </w:t>
      </w:r>
      <w:r w:rsidR="003B0F8C" w:rsidRPr="0094031C">
        <w:rPr>
          <w:rFonts w:asciiTheme="minorHAnsi" w:eastAsia="Calibri" w:hAnsiTheme="minorHAnsi" w:cstheme="minorHAnsi"/>
          <w:bCs/>
          <w:lang w:eastAsia="en-US"/>
        </w:rPr>
        <w:t xml:space="preserve">trajanja kredita </w:t>
      </w:r>
      <w:r w:rsidR="004F70E0" w:rsidRPr="0094031C">
        <w:rPr>
          <w:rFonts w:asciiTheme="minorHAnsi" w:eastAsia="Calibri" w:hAnsiTheme="minorHAnsi" w:cstheme="minorHAnsi"/>
          <w:bCs/>
          <w:lang w:eastAsia="en-US"/>
        </w:rPr>
        <w:t xml:space="preserve">(1-6 </w:t>
      </w:r>
      <w:r w:rsidRPr="0094031C">
        <w:rPr>
          <w:rFonts w:asciiTheme="minorHAnsi" w:eastAsia="Calibri" w:hAnsiTheme="minorHAnsi" w:cstheme="minorHAnsi"/>
          <w:bCs/>
          <w:lang w:eastAsia="en-US"/>
        </w:rPr>
        <w:t>godina</w:t>
      </w:r>
      <w:r w:rsidR="004F70E0" w:rsidRPr="0094031C">
        <w:rPr>
          <w:rFonts w:asciiTheme="minorHAnsi" w:eastAsia="Calibri" w:hAnsiTheme="minorHAnsi" w:cstheme="minorHAnsi"/>
          <w:bCs/>
          <w:lang w:eastAsia="en-US"/>
        </w:rPr>
        <w:t>)</w:t>
      </w:r>
    </w:p>
    <w:p w14:paraId="0FE79DFE" w14:textId="77777777" w:rsidR="004F70E0" w:rsidRPr="0094031C" w:rsidRDefault="004F70E0" w:rsidP="004F70E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</w:p>
    <w:tbl>
      <w:tblPr>
        <w:tblW w:w="87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992"/>
        <w:gridCol w:w="1070"/>
        <w:gridCol w:w="1070"/>
        <w:gridCol w:w="1070"/>
        <w:gridCol w:w="1070"/>
        <w:gridCol w:w="1070"/>
        <w:gridCol w:w="1070"/>
      </w:tblGrid>
      <w:tr w:rsidR="004F70E0" w:rsidRPr="0094031C" w14:paraId="002F68F4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4CD93" w14:textId="571FB783" w:rsidR="004F70E0" w:rsidRPr="0094031C" w:rsidRDefault="00BB1CFE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MSP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5200" w14:textId="76D00410" w:rsidR="004F70E0" w:rsidRPr="0094031C" w:rsidRDefault="00BB1CFE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Pokriće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9C6B" w14:textId="2538D419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1 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godina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AD94" w14:textId="102D8758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2 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godine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F881" w14:textId="3DAE00A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3 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godine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F62BB" w14:textId="575BDDA9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4 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godine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48B2" w14:textId="7A5371CF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5 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godina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A750" w14:textId="6E421519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6 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godina</w:t>
            </w:r>
          </w:p>
        </w:tc>
      </w:tr>
      <w:tr w:rsidR="00870A52" w:rsidRPr="0094031C" w14:paraId="16460DD1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A17A8" w14:textId="77777777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A58A9" w14:textId="77777777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50%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F7FB" w14:textId="3C837671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0E95" w14:textId="561E2BB2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0,17%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93F05" w14:textId="46ACCE55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0,17%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9B4D" w14:textId="1B185E3A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0,23%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B5CF" w14:textId="05D536B2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A20F" w14:textId="2802F9BE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0,26%</w:t>
            </w:r>
          </w:p>
        </w:tc>
      </w:tr>
      <w:tr w:rsidR="00BB1CFE" w:rsidRPr="0094031C" w14:paraId="29C62D4A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CC1C7" w14:textId="77777777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A145" w14:textId="77777777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60%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1B3D2" w14:textId="6E746B71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C84E4" w14:textId="034AC2B8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0,17%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2CD36" w14:textId="661CB946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0,17%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54CE" w14:textId="2E33AFA0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0,26%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218E" w14:textId="754AD2AC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CF956" w14:textId="5E266710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0,33%</w:t>
            </w:r>
          </w:p>
        </w:tc>
      </w:tr>
      <w:tr w:rsidR="00BB1CFE" w:rsidRPr="0094031C" w14:paraId="65BCB66F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44095" w14:textId="77777777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5FA8" w14:textId="77777777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70%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88D78" w14:textId="76FCA79E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7FB7B" w14:textId="55B74C89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0,17%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74AB7" w14:textId="74001296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0,17%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2EB1" w14:textId="047F9CE8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0,31%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DF878" w14:textId="0124376A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0,38%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1E7F6" w14:textId="39EA5750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0,42%</w:t>
            </w:r>
          </w:p>
        </w:tc>
      </w:tr>
      <w:tr w:rsidR="00870A52" w:rsidRPr="0094031C" w14:paraId="1A61A8EB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FBA03" w14:textId="77777777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B7F7" w14:textId="77777777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80%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16562" w14:textId="41D5F722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0,15%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3498" w14:textId="773F2F7A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0,26%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9CD0" w14:textId="6405553B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0,29%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9920" w14:textId="5983787F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0,50%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37FE" w14:textId="2D3C0839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0,61%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DD2C" w14:textId="23612955" w:rsidR="00BB1CFE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0,68%</w:t>
            </w:r>
          </w:p>
        </w:tc>
      </w:tr>
      <w:tr w:rsidR="00BB1CFE" w:rsidRPr="0094031C" w14:paraId="3CE3CFF4" w14:textId="77777777" w:rsidTr="003E6A0A">
        <w:trPr>
          <w:trHeight w:val="31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A013C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5F27D" w14:textId="77777777" w:rsidR="004F70E0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  <w:p w14:paraId="422E27AC" w14:textId="71643F86" w:rsidR="003E6A0A" w:rsidRPr="0094031C" w:rsidRDefault="003E6A0A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D942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A8C5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67B6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951EF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92D18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3C185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</w:tr>
      <w:tr w:rsidR="00BB1CFE" w:rsidRPr="0094031C" w14:paraId="10BEC273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D85CE" w14:textId="79F95CDB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lastRenderedPageBreak/>
              <w:t>Veliki</w:t>
            </w:r>
            <w:r w:rsidR="00BF01A5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poduzetnik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F239" w14:textId="6F0DCEC0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Pokriće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4C00" w14:textId="0DE45A5D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 godina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66EE" w14:textId="0C6B57A9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2 godine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8483" w14:textId="0D0EB8E0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3 godine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7D71" w14:textId="08D731FC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4 godine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289A" w14:textId="42A54466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5 godina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598A" w14:textId="593DCB34" w:rsidR="00BB1CFE" w:rsidRPr="0094031C" w:rsidRDefault="00BB1CFE" w:rsidP="00BB1CF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6 godina</w:t>
            </w:r>
          </w:p>
        </w:tc>
      </w:tr>
      <w:tr w:rsidR="004F70E0" w:rsidRPr="0094031C" w14:paraId="6AB14826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67BEA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7416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50%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2CB0" w14:textId="6967899F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15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1FDC" w14:textId="6A995113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23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41ACB" w14:textId="1080D838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25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B411" w14:textId="78BEC347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62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AD3D" w14:textId="73EEDADF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82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FECA" w14:textId="24C2B81A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95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</w:tr>
      <w:tr w:rsidR="004F70E0" w:rsidRPr="0094031C" w14:paraId="252E1AF1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9BF8F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9E0E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60%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2F0B" w14:textId="77400B3A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15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7610" w14:textId="7231A8DC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29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1F13" w14:textId="2BF05425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33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FEE2" w14:textId="5C08C20A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72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FBFE" w14:textId="488E1F7E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92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1B95" w14:textId="53081FC7" w:rsidR="004F70E0" w:rsidRPr="0094031C" w:rsidRDefault="004F70E0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,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06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</w:tr>
      <w:tr w:rsidR="004F70E0" w:rsidRPr="0094031C" w14:paraId="76F25816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C5408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B7DB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70%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3DA0" w14:textId="15DDD40A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15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B00A3" w14:textId="595041E1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37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3B12" w14:textId="240B8039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44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CA74" w14:textId="4FDFAF52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86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7E5D" w14:textId="2EC47748" w:rsidR="004F70E0" w:rsidRPr="0094031C" w:rsidRDefault="004F70E0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,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08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6E6E" w14:textId="2126F3F9" w:rsidR="004F70E0" w:rsidRPr="0094031C" w:rsidRDefault="004F70E0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,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22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</w:tr>
      <w:tr w:rsidR="004F70E0" w:rsidRPr="00BB1CFE" w14:paraId="244EE9E3" w14:textId="77777777" w:rsidTr="003E6A0A">
        <w:trPr>
          <w:trHeight w:val="3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A3402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1FD8" w14:textId="77777777" w:rsidR="004F70E0" w:rsidRPr="0094031C" w:rsidRDefault="004F70E0" w:rsidP="004F70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80%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899F" w14:textId="4017F36C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30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5EAD" w14:textId="200DBB9D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63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B204" w14:textId="752EBEE2" w:rsidR="004F70E0" w:rsidRPr="0094031C" w:rsidRDefault="00BB1CFE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0,</w:t>
            </w:r>
            <w:r w:rsidR="004F70E0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73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32E0" w14:textId="1D5CCCDB" w:rsidR="004F70E0" w:rsidRPr="0094031C" w:rsidRDefault="004F70E0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,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19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7E22" w14:textId="7EA25623" w:rsidR="004F70E0" w:rsidRPr="0094031C" w:rsidRDefault="004F70E0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,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40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D87C" w14:textId="017B6576" w:rsidR="004F70E0" w:rsidRPr="003B0F8C" w:rsidRDefault="004F70E0" w:rsidP="003B0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,</w:t>
            </w:r>
            <w:r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55</w:t>
            </w:r>
            <w:r w:rsidR="00BB1CFE" w:rsidRPr="0094031C">
              <w:rPr>
                <w:rFonts w:asciiTheme="minorHAnsi" w:eastAsia="Calibri" w:hAnsiTheme="minorHAnsi" w:cstheme="minorHAnsi"/>
                <w:bCs/>
                <w:lang w:eastAsia="en-US"/>
              </w:rPr>
              <w:t>%</w:t>
            </w:r>
          </w:p>
        </w:tc>
      </w:tr>
    </w:tbl>
    <w:p w14:paraId="026F5EF8" w14:textId="77777777" w:rsidR="004F70E0" w:rsidRPr="004F70E0" w:rsidRDefault="004F70E0" w:rsidP="004F70E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i/>
          <w:iCs/>
          <w:u w:val="single"/>
          <w:lang w:val="en-GB" w:eastAsia="en-US"/>
        </w:rPr>
      </w:pPr>
    </w:p>
    <w:p w14:paraId="735DE3F1" w14:textId="7F5499B0" w:rsidR="00BF5128" w:rsidRPr="002B47BD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10" w:name="_Hlk54868136"/>
      <w:bookmarkEnd w:id="9"/>
      <w:r w:rsidRPr="002B47BD">
        <w:rPr>
          <w:rFonts w:asciiTheme="minorHAnsi" w:eastAsia="Calibri" w:hAnsiTheme="minorHAnsi" w:cstheme="minorHAnsi"/>
          <w:b/>
          <w:lang w:eastAsia="en-US"/>
        </w:rPr>
        <w:t xml:space="preserve">Osnovni elementi </w:t>
      </w:r>
      <w:r>
        <w:rPr>
          <w:rFonts w:asciiTheme="minorHAnsi" w:eastAsia="Calibri" w:hAnsiTheme="minorHAnsi" w:cstheme="minorHAnsi"/>
          <w:b/>
          <w:lang w:eastAsia="en-US"/>
        </w:rPr>
        <w:t>mjere subvencija premije osiguranja</w:t>
      </w:r>
      <w:r w:rsidRPr="002B47BD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35167313" w14:textId="77777777" w:rsidR="00BF5128" w:rsidRPr="002451B4" w:rsidRDefault="00BF5128" w:rsidP="00BF512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451B4">
        <w:rPr>
          <w:rFonts w:asciiTheme="minorHAnsi" w:eastAsia="Calibri" w:hAnsiTheme="minorHAnsi" w:cstheme="minorHAnsi"/>
          <w:lang w:eastAsia="en-US"/>
        </w:rPr>
        <w:t>Pokriće premije osiguranja se može provesti bilo na način da se izvozniku odobre posebna sredstva za plaćanje HBOR-u premije osiguranja ili na način da se HBOR odrekne premije osiguranja koja mu pripada, do najvišeg iznosa u skladu s odjeljkom 3.1. Privremenog okvira.</w:t>
      </w:r>
    </w:p>
    <w:p w14:paraId="39497313" w14:textId="77777777" w:rsidR="00BF5128" w:rsidRPr="002451B4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3AD98C9" w14:textId="2F67C029" w:rsidR="00BF5128" w:rsidRPr="002451B4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451B4">
        <w:rPr>
          <w:rFonts w:asciiTheme="minorHAnsi" w:eastAsia="Calibri" w:hAnsiTheme="minorHAnsi" w:cstheme="minorHAnsi"/>
          <w:bCs/>
          <w:lang w:eastAsia="en-US"/>
        </w:rPr>
        <w:t>Kod potpora u obliku izravnih bespovratnih sredstava namijenjenih pokriću premije osiguranja</w:t>
      </w:r>
      <w:r w:rsidR="00A22546">
        <w:rPr>
          <w:rFonts w:asciiTheme="minorHAnsi" w:eastAsia="Calibri" w:hAnsiTheme="minorHAnsi" w:cstheme="minorHAnsi"/>
          <w:bCs/>
          <w:lang w:eastAsia="en-US"/>
        </w:rPr>
        <w:t xml:space="preserve">, </w:t>
      </w:r>
      <w:r w:rsidRPr="002451B4">
        <w:rPr>
          <w:rFonts w:asciiTheme="minorHAnsi" w:eastAsia="Calibri" w:hAnsiTheme="minorHAnsi" w:cstheme="minorHAnsi"/>
          <w:bCs/>
          <w:lang w:eastAsia="en-US"/>
        </w:rPr>
        <w:t>potrebno je poštovati granicu ma</w:t>
      </w:r>
      <w:r>
        <w:rPr>
          <w:rFonts w:asciiTheme="minorHAnsi" w:eastAsia="Calibri" w:hAnsiTheme="minorHAnsi" w:cstheme="minorHAnsi"/>
          <w:bCs/>
          <w:lang w:eastAsia="en-US"/>
        </w:rPr>
        <w:t>ksimalnog</w:t>
      </w:r>
      <w:r w:rsidRPr="002451B4">
        <w:rPr>
          <w:rFonts w:asciiTheme="minorHAnsi" w:eastAsia="Calibri" w:hAnsiTheme="minorHAnsi" w:cstheme="minorHAnsi"/>
          <w:bCs/>
          <w:lang w:eastAsia="en-US"/>
        </w:rPr>
        <w:t xml:space="preserve"> dopuštenog iznosa potpore od 800 000 EUR po poduzetniku; svi iznosi moraju biti bruto iznosi, tj. prije odbitka poreza ili drugih troškova. </w:t>
      </w:r>
    </w:p>
    <w:p w14:paraId="75CB2A43" w14:textId="77777777" w:rsidR="00BF5128" w:rsidRPr="002451B4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0E2144FA" w14:textId="77777777" w:rsidR="00BF5128" w:rsidRPr="002451B4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451B4">
        <w:rPr>
          <w:rFonts w:asciiTheme="minorHAnsi" w:eastAsia="Calibri" w:hAnsiTheme="minorHAnsi" w:cstheme="minorHAnsi"/>
          <w:bCs/>
          <w:lang w:eastAsia="en-US"/>
        </w:rPr>
        <w:t>U slučaju poduzetnika koji djeluje u sektoru ribarstva i akvakulture</w:t>
      </w:r>
      <w:r w:rsidRPr="002451B4">
        <w:rPr>
          <w:rStyle w:val="FootnoteReference"/>
          <w:rFonts w:asciiTheme="minorHAnsi" w:eastAsia="Calibri" w:hAnsiTheme="minorHAnsi" w:cstheme="minorHAnsi"/>
          <w:bCs/>
          <w:lang w:eastAsia="en-US"/>
        </w:rPr>
        <w:footnoteReference w:id="6"/>
      </w:r>
      <w:r w:rsidRPr="002451B4">
        <w:t xml:space="preserve"> </w:t>
      </w:r>
      <w:r w:rsidRPr="002451B4">
        <w:rPr>
          <w:rFonts w:asciiTheme="minorHAnsi" w:eastAsia="Calibri" w:hAnsiTheme="minorHAnsi" w:cstheme="minorHAnsi"/>
          <w:bCs/>
          <w:lang w:eastAsia="en-US"/>
        </w:rPr>
        <w:t>ukupna potpora ne prelazi iznos od 120 000 EUR po poduzetniku</w:t>
      </w:r>
      <w:r w:rsidRPr="002451B4">
        <w:t xml:space="preserve"> </w:t>
      </w:r>
      <w:r w:rsidRPr="002451B4">
        <w:rPr>
          <w:rFonts w:asciiTheme="minorHAnsi" w:eastAsia="Calibri" w:hAnsiTheme="minorHAnsi" w:cstheme="minorHAnsi"/>
          <w:bCs/>
          <w:lang w:eastAsia="en-US"/>
        </w:rPr>
        <w:t>ili 100 000 EUR po poduzetniku koji djeluje u sektoru primarne poljoprivredne proizvodnje</w:t>
      </w:r>
      <w:r w:rsidRPr="002451B4">
        <w:rPr>
          <w:rStyle w:val="FootnoteReference"/>
          <w:rFonts w:asciiTheme="minorHAnsi" w:eastAsia="Calibri" w:hAnsiTheme="minorHAnsi" w:cstheme="minorHAnsi"/>
          <w:bCs/>
          <w:lang w:eastAsia="en-US"/>
        </w:rPr>
        <w:footnoteReference w:id="7"/>
      </w:r>
      <w:r w:rsidRPr="002451B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14:paraId="2D5FEF62" w14:textId="77777777" w:rsidR="00BF5128" w:rsidRPr="002451B4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546F3DCB" w14:textId="77777777" w:rsidR="00BF5128" w:rsidRPr="002451B4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451B4">
        <w:rPr>
          <w:rFonts w:asciiTheme="minorHAnsi" w:eastAsia="Calibri" w:hAnsiTheme="minorHAnsi" w:cstheme="minorHAnsi"/>
          <w:bCs/>
          <w:lang w:eastAsia="en-US"/>
        </w:rPr>
        <w:t xml:space="preserve">U svim ostalim pitanjima dodjele potpore u obliku izravnih bespovratnih sredstava namijenjenih pokriću premije osiguranja supsidijarno se primjenjuju odredbe odjeljka 3.1. Privremenog okvira.   </w:t>
      </w:r>
    </w:p>
    <w:p w14:paraId="4AA2819E" w14:textId="77777777" w:rsidR="00BF5128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7536150" w14:textId="77777777" w:rsidR="00BF5128" w:rsidRPr="00D15E02" w:rsidRDefault="00BF5128" w:rsidP="00BF5128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HBOR zadržava pravo definirati posebne uvjete pod kojima će biti moguće pokriti premiju osiguranja, u skladu s potrebama upravljanja preuzetim rizicima, </w:t>
      </w:r>
      <w:r w:rsidRPr="007E796A">
        <w:rPr>
          <w:rFonts w:asciiTheme="minorHAnsi" w:eastAsia="Calibri" w:hAnsiTheme="minorHAnsi" w:cstheme="minorHAnsi"/>
          <w:lang w:eastAsia="en-US"/>
        </w:rPr>
        <w:t xml:space="preserve">potrebom prenošenja koristi od osiguranja na krajnje korisnike, </w:t>
      </w:r>
      <w:r>
        <w:rPr>
          <w:rFonts w:asciiTheme="minorHAnsi" w:eastAsia="Calibri" w:hAnsiTheme="minorHAnsi" w:cstheme="minorHAnsi"/>
          <w:lang w:eastAsia="en-US"/>
        </w:rPr>
        <w:t>poticanjem posebnih skupina poduzetnika te ostalim ciljevima definiranim od strane HBOR-a ili Vlade Republike Hrvatske. Navedeni uvjeti ni u kojem slučaju neće prelaziti uvjete iz ovog Programa.</w:t>
      </w:r>
    </w:p>
    <w:p w14:paraId="34C92EE0" w14:textId="77777777" w:rsidR="00BF5128" w:rsidRPr="00386CA1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5182809" w14:textId="3A43B78B" w:rsidR="00BF5128" w:rsidRPr="00386CA1" w:rsidRDefault="00BF5128" w:rsidP="00BF512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451B4">
        <w:rPr>
          <w:rFonts w:asciiTheme="minorHAnsi" w:hAnsiTheme="minorHAnsi" w:cstheme="minorHAnsi"/>
        </w:rPr>
        <w:t>Kombinacijom mjera iz odjeljaka</w:t>
      </w:r>
      <w:r w:rsidRPr="002451B4" w:rsidDel="00607BB2">
        <w:rPr>
          <w:rFonts w:asciiTheme="minorHAnsi" w:hAnsiTheme="minorHAnsi" w:cstheme="minorHAnsi"/>
        </w:rPr>
        <w:t xml:space="preserve"> </w:t>
      </w:r>
      <w:r w:rsidRPr="002451B4">
        <w:rPr>
          <w:rFonts w:asciiTheme="minorHAnsi" w:hAnsiTheme="minorHAnsi" w:cstheme="minorHAnsi"/>
        </w:rPr>
        <w:t xml:space="preserve">3.1. i 3.2. Privremenog okvira mogu se obuhvatiti i svi krediti koji su do sada uključeni u osigurani portfelj, </w:t>
      </w:r>
      <w:r w:rsidR="00A22546">
        <w:rPr>
          <w:rFonts w:asciiTheme="minorHAnsi" w:hAnsiTheme="minorHAnsi" w:cstheme="minorHAnsi"/>
        </w:rPr>
        <w:t>ako</w:t>
      </w:r>
      <w:r w:rsidR="00A22546" w:rsidRPr="002451B4">
        <w:rPr>
          <w:rFonts w:asciiTheme="minorHAnsi" w:hAnsiTheme="minorHAnsi" w:cstheme="minorHAnsi"/>
        </w:rPr>
        <w:t xml:space="preserve"> </w:t>
      </w:r>
      <w:r w:rsidRPr="002451B4">
        <w:rPr>
          <w:rFonts w:asciiTheme="minorHAnsi" w:hAnsiTheme="minorHAnsi" w:cstheme="minorHAnsi"/>
        </w:rPr>
        <w:t>korisnici u tom trenutku ispune posebne uvjete koje će HBOR naknadno propisati.</w:t>
      </w:r>
      <w:r>
        <w:rPr>
          <w:rFonts w:asciiTheme="minorHAnsi" w:hAnsiTheme="minorHAnsi" w:cstheme="minorHAnsi"/>
        </w:rPr>
        <w:t xml:space="preserve"> </w:t>
      </w:r>
    </w:p>
    <w:bookmarkEnd w:id="10"/>
    <w:p w14:paraId="1315D3F3" w14:textId="77777777" w:rsidR="00956799" w:rsidRDefault="00956799" w:rsidP="00B46633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E117265" w14:textId="092382E3" w:rsidR="00111C3F" w:rsidRDefault="009F2BD1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11" w:name="_Hlk54869478"/>
      <w:bookmarkStart w:id="12" w:name="_Hlk50654584"/>
      <w:r w:rsidRPr="00D15E02">
        <w:rPr>
          <w:rFonts w:asciiTheme="minorHAnsi" w:eastAsia="Calibri" w:hAnsiTheme="minorHAnsi" w:cstheme="minorHAnsi"/>
          <w:b/>
          <w:lang w:eastAsia="en-US"/>
        </w:rPr>
        <w:t>Kumulacija</w:t>
      </w:r>
    </w:p>
    <w:p w14:paraId="01EFDDCC" w14:textId="578B2C35" w:rsidR="00087518" w:rsidRDefault="00B74860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470908">
        <w:rPr>
          <w:rFonts w:asciiTheme="minorHAnsi" w:eastAsia="Calibri" w:hAnsiTheme="minorHAnsi" w:cstheme="minorHAnsi"/>
          <w:bCs/>
          <w:lang w:eastAsia="en-US"/>
        </w:rPr>
        <w:t xml:space="preserve">Potpora koja se </w:t>
      </w:r>
      <w:r>
        <w:rPr>
          <w:rFonts w:asciiTheme="minorHAnsi" w:eastAsia="Calibri" w:hAnsiTheme="minorHAnsi" w:cstheme="minorHAnsi"/>
          <w:bCs/>
          <w:lang w:eastAsia="en-US"/>
        </w:rPr>
        <w:t>dodjeljuje</w:t>
      </w:r>
      <w:r w:rsidRPr="00470908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607BB2">
        <w:rPr>
          <w:rFonts w:asciiTheme="minorHAnsi" w:eastAsia="Calibri" w:hAnsiTheme="minorHAnsi" w:cstheme="minorHAnsi"/>
          <w:bCs/>
          <w:lang w:eastAsia="en-US"/>
        </w:rPr>
        <w:t>temeljem odjeljka</w:t>
      </w:r>
      <w:r w:rsidRPr="00470908">
        <w:rPr>
          <w:rFonts w:asciiTheme="minorHAnsi" w:eastAsia="Calibri" w:hAnsiTheme="minorHAnsi" w:cstheme="minorHAnsi"/>
          <w:bCs/>
          <w:lang w:eastAsia="en-US"/>
        </w:rPr>
        <w:t xml:space="preserve"> 3.2. Privremenog okvira može se kumulirati s </w:t>
      </w:r>
      <w:r>
        <w:rPr>
          <w:rFonts w:asciiTheme="minorHAnsi" w:eastAsia="Calibri" w:hAnsiTheme="minorHAnsi" w:cstheme="minorHAnsi"/>
          <w:bCs/>
          <w:lang w:eastAsia="en-US"/>
        </w:rPr>
        <w:t>p</w:t>
      </w:r>
      <w:r w:rsidRPr="00470908">
        <w:rPr>
          <w:rFonts w:asciiTheme="minorHAnsi" w:eastAsia="Calibri" w:hAnsiTheme="minorHAnsi" w:cstheme="minorHAnsi"/>
          <w:bCs/>
          <w:lang w:eastAsia="en-US"/>
        </w:rPr>
        <w:t>otpor</w:t>
      </w:r>
      <w:r>
        <w:rPr>
          <w:rFonts w:asciiTheme="minorHAnsi" w:eastAsia="Calibri" w:hAnsiTheme="minorHAnsi" w:cstheme="minorHAnsi"/>
          <w:bCs/>
          <w:lang w:eastAsia="en-US"/>
        </w:rPr>
        <w:t>om</w:t>
      </w:r>
      <w:r w:rsidRPr="00470908">
        <w:rPr>
          <w:rFonts w:asciiTheme="minorHAnsi" w:eastAsia="Calibri" w:hAnsiTheme="minorHAnsi" w:cstheme="minorHAnsi"/>
          <w:bCs/>
          <w:lang w:eastAsia="en-US"/>
        </w:rPr>
        <w:t xml:space="preserve"> koja se </w:t>
      </w:r>
      <w:r>
        <w:rPr>
          <w:rFonts w:asciiTheme="minorHAnsi" w:eastAsia="Calibri" w:hAnsiTheme="minorHAnsi" w:cstheme="minorHAnsi"/>
          <w:bCs/>
          <w:lang w:eastAsia="en-US"/>
        </w:rPr>
        <w:t>dodjeljuje</w:t>
      </w:r>
      <w:r w:rsidRPr="00470908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607BB2" w:rsidRPr="00607BB2">
        <w:rPr>
          <w:rFonts w:asciiTheme="minorHAnsi" w:eastAsia="Calibri" w:hAnsiTheme="minorHAnsi" w:cstheme="minorHAnsi"/>
          <w:bCs/>
          <w:lang w:eastAsia="en-US"/>
        </w:rPr>
        <w:t>temeljem odjeljka</w:t>
      </w:r>
      <w:r w:rsidR="00607BB2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470908">
        <w:rPr>
          <w:rFonts w:asciiTheme="minorHAnsi" w:eastAsia="Calibri" w:hAnsiTheme="minorHAnsi" w:cstheme="minorHAnsi"/>
          <w:bCs/>
          <w:lang w:eastAsia="en-US"/>
        </w:rPr>
        <w:t>3.</w:t>
      </w:r>
      <w:r>
        <w:rPr>
          <w:rFonts w:asciiTheme="minorHAnsi" w:eastAsia="Calibri" w:hAnsiTheme="minorHAnsi" w:cstheme="minorHAnsi"/>
          <w:bCs/>
          <w:lang w:eastAsia="en-US"/>
        </w:rPr>
        <w:t>1</w:t>
      </w:r>
      <w:r w:rsidRPr="00470908">
        <w:rPr>
          <w:rFonts w:asciiTheme="minorHAnsi" w:eastAsia="Calibri" w:hAnsiTheme="minorHAnsi" w:cstheme="minorHAnsi"/>
          <w:bCs/>
          <w:lang w:eastAsia="en-US"/>
        </w:rPr>
        <w:t>. Privremenog okvira</w:t>
      </w:r>
      <w:r w:rsidR="001D6B7F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1D6B7F" w:rsidRPr="0038068C">
        <w:rPr>
          <w:rFonts w:asciiTheme="minorHAnsi" w:eastAsia="Calibri" w:hAnsiTheme="minorHAnsi" w:cstheme="minorHAnsi"/>
          <w:bCs/>
          <w:lang w:eastAsia="en-US"/>
        </w:rPr>
        <w:t xml:space="preserve">do ukupnog maksimalnog iznosa kredita/potpore po poduzetniku koji ne prelazi gornje granice utvrđene u točki 25. </w:t>
      </w:r>
      <w:proofErr w:type="spellStart"/>
      <w:r w:rsidR="001D6B7F" w:rsidRPr="0038068C">
        <w:rPr>
          <w:rFonts w:asciiTheme="minorHAnsi" w:eastAsia="Calibri" w:hAnsiTheme="minorHAnsi" w:cstheme="minorHAnsi"/>
          <w:bCs/>
          <w:lang w:eastAsia="en-US"/>
        </w:rPr>
        <w:t>podtočki</w:t>
      </w:r>
      <w:proofErr w:type="spellEnd"/>
      <w:r w:rsidR="001D6B7F" w:rsidRPr="0038068C">
        <w:rPr>
          <w:rFonts w:asciiTheme="minorHAnsi" w:eastAsia="Calibri" w:hAnsiTheme="minorHAnsi" w:cstheme="minorHAnsi"/>
          <w:bCs/>
          <w:lang w:eastAsia="en-US"/>
        </w:rPr>
        <w:t xml:space="preserve"> (d) ili točki 27. </w:t>
      </w:r>
      <w:proofErr w:type="spellStart"/>
      <w:r w:rsidR="001D6B7F" w:rsidRPr="0038068C">
        <w:rPr>
          <w:rFonts w:asciiTheme="minorHAnsi" w:eastAsia="Calibri" w:hAnsiTheme="minorHAnsi" w:cstheme="minorHAnsi"/>
          <w:bCs/>
          <w:lang w:eastAsia="en-US"/>
        </w:rPr>
        <w:t>podtočki</w:t>
      </w:r>
      <w:proofErr w:type="spellEnd"/>
      <w:r w:rsidR="001D6B7F" w:rsidRPr="0038068C">
        <w:rPr>
          <w:rFonts w:asciiTheme="minorHAnsi" w:eastAsia="Calibri" w:hAnsiTheme="minorHAnsi" w:cstheme="minorHAnsi"/>
          <w:bCs/>
          <w:lang w:eastAsia="en-US"/>
        </w:rPr>
        <w:t xml:space="preserve"> (d) Privremenog okvira.</w:t>
      </w:r>
    </w:p>
    <w:p w14:paraId="7AD856E7" w14:textId="77777777" w:rsidR="00B74860" w:rsidRDefault="00B74860" w:rsidP="00F51E3C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666C485E" w14:textId="42E6837C" w:rsidR="001D6B7F" w:rsidRDefault="00470908" w:rsidP="00F51E3C">
      <w:pPr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13" w:name="_Hlk54869546"/>
      <w:r w:rsidRPr="00470908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Potpora koja se </w:t>
      </w:r>
      <w:r w:rsidR="00AE567A">
        <w:rPr>
          <w:rFonts w:asciiTheme="minorHAnsi" w:eastAsia="Calibri" w:hAnsiTheme="minorHAnsi" w:cstheme="minorHAnsi"/>
          <w:bCs/>
          <w:lang w:eastAsia="en-US"/>
        </w:rPr>
        <w:t>dodjeljuje</w:t>
      </w:r>
      <w:r w:rsidR="00AE567A" w:rsidRPr="00470908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607BB2" w:rsidRPr="00607BB2">
        <w:rPr>
          <w:rFonts w:asciiTheme="minorHAnsi" w:eastAsia="Calibri" w:hAnsiTheme="minorHAnsi" w:cstheme="minorHAnsi"/>
          <w:bCs/>
          <w:lang w:eastAsia="en-US"/>
        </w:rPr>
        <w:t xml:space="preserve">temeljem odjeljka </w:t>
      </w:r>
      <w:r w:rsidRPr="00470908">
        <w:rPr>
          <w:rFonts w:asciiTheme="minorHAnsi" w:eastAsia="Calibri" w:hAnsiTheme="minorHAnsi" w:cstheme="minorHAnsi"/>
          <w:bCs/>
          <w:lang w:eastAsia="en-US"/>
        </w:rPr>
        <w:t xml:space="preserve">3.2. Privremenog okvira ne može se kumulirati s drugim potporama koje se dodjeljuju za istu glavnicu kredita </w:t>
      </w:r>
      <w:r w:rsidR="00607BB2" w:rsidRPr="00607BB2">
        <w:rPr>
          <w:rFonts w:asciiTheme="minorHAnsi" w:eastAsia="Calibri" w:hAnsiTheme="minorHAnsi" w:cstheme="minorHAnsi"/>
          <w:bCs/>
          <w:lang w:eastAsia="en-US"/>
        </w:rPr>
        <w:t xml:space="preserve">temeljem odjeljka </w:t>
      </w:r>
      <w:r w:rsidRPr="00470908">
        <w:rPr>
          <w:rFonts w:asciiTheme="minorHAnsi" w:eastAsia="Calibri" w:hAnsiTheme="minorHAnsi" w:cstheme="minorHAnsi"/>
          <w:bCs/>
          <w:lang w:eastAsia="en-US"/>
        </w:rPr>
        <w:t>3.3.</w:t>
      </w:r>
      <w:r w:rsidR="001D6B7F" w:rsidRPr="001D6B7F">
        <w:t xml:space="preserve"> </w:t>
      </w:r>
      <w:r w:rsidR="001D6B7F" w:rsidRPr="001D6B7F">
        <w:rPr>
          <w:rFonts w:asciiTheme="minorHAnsi" w:eastAsia="Calibri" w:hAnsiTheme="minorHAnsi" w:cstheme="minorHAnsi"/>
          <w:bCs/>
          <w:lang w:eastAsia="en-US"/>
        </w:rPr>
        <w:t>Privremenog okvira</w:t>
      </w:r>
      <w:r w:rsidR="001D6B7F">
        <w:rPr>
          <w:rFonts w:asciiTheme="minorHAnsi" w:eastAsia="Calibri" w:hAnsiTheme="minorHAnsi" w:cstheme="minorHAnsi"/>
          <w:bCs/>
          <w:lang w:eastAsia="en-US"/>
        </w:rPr>
        <w:t>.</w:t>
      </w:r>
    </w:p>
    <w:bookmarkEnd w:id="13"/>
    <w:p w14:paraId="0C53A087" w14:textId="77777777" w:rsidR="001D6B7F" w:rsidRDefault="001D6B7F" w:rsidP="00F51E3C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287CACF8" w14:textId="52E51062" w:rsidR="00D44FBC" w:rsidRPr="001D6B7F" w:rsidRDefault="001D6B7F" w:rsidP="00F51E3C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Dopušteno</w:t>
      </w:r>
      <w:r w:rsidRPr="001D6B7F">
        <w:rPr>
          <w:rFonts w:asciiTheme="minorHAnsi" w:eastAsia="Calibri" w:hAnsiTheme="minorHAnsi" w:cstheme="minorHAnsi"/>
          <w:bCs/>
          <w:lang w:eastAsia="en-US"/>
        </w:rPr>
        <w:t xml:space="preserve"> je kumulirati (kombinirati) potpore iz </w:t>
      </w:r>
      <w:r w:rsidR="00607BB2" w:rsidRPr="00607BB2">
        <w:rPr>
          <w:rFonts w:asciiTheme="minorHAnsi" w:eastAsia="Calibri" w:hAnsiTheme="minorHAnsi" w:cstheme="minorHAnsi"/>
          <w:bCs/>
          <w:lang w:eastAsia="en-US"/>
        </w:rPr>
        <w:t>odjelj</w:t>
      </w:r>
      <w:r w:rsidR="00607BB2">
        <w:rPr>
          <w:rFonts w:asciiTheme="minorHAnsi" w:eastAsia="Calibri" w:hAnsiTheme="minorHAnsi" w:cstheme="minorHAnsi"/>
          <w:bCs/>
          <w:lang w:eastAsia="en-US"/>
        </w:rPr>
        <w:t>a</w:t>
      </w:r>
      <w:r w:rsidR="00607BB2" w:rsidRPr="00607BB2">
        <w:rPr>
          <w:rFonts w:asciiTheme="minorHAnsi" w:eastAsia="Calibri" w:hAnsiTheme="minorHAnsi" w:cstheme="minorHAnsi"/>
          <w:bCs/>
          <w:lang w:eastAsia="en-US"/>
        </w:rPr>
        <w:t>ka</w:t>
      </w:r>
      <w:r w:rsidRPr="001D6B7F">
        <w:rPr>
          <w:rFonts w:asciiTheme="minorHAnsi" w:eastAsia="Calibri" w:hAnsiTheme="minorHAnsi" w:cstheme="minorHAnsi"/>
          <w:bCs/>
          <w:lang w:eastAsia="en-US"/>
        </w:rPr>
        <w:t xml:space="preserve"> 3.2. i 3.3 Privremenog okvira za istog korisnika u različitim kreditima</w:t>
      </w:r>
      <w:r>
        <w:rPr>
          <w:rFonts w:asciiTheme="minorHAnsi" w:eastAsia="Calibri" w:hAnsiTheme="minorHAnsi" w:cstheme="minorHAnsi"/>
          <w:bCs/>
          <w:lang w:eastAsia="en-US"/>
        </w:rPr>
        <w:t xml:space="preserve">, </w:t>
      </w:r>
      <w:r w:rsidR="00A22546">
        <w:rPr>
          <w:rFonts w:asciiTheme="minorHAnsi" w:eastAsia="Calibri" w:hAnsiTheme="minorHAnsi" w:cstheme="minorHAnsi"/>
          <w:bCs/>
          <w:lang w:eastAsia="en-US"/>
        </w:rPr>
        <w:t>ako</w:t>
      </w:r>
      <w:r w:rsidR="00A22546" w:rsidRPr="001D6B7F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470908" w:rsidRPr="001D6B7F">
        <w:rPr>
          <w:rFonts w:asciiTheme="minorHAnsi" w:eastAsia="Calibri" w:hAnsiTheme="minorHAnsi" w:cstheme="minorHAnsi"/>
          <w:bCs/>
          <w:lang w:eastAsia="en-US"/>
        </w:rPr>
        <w:t xml:space="preserve">ukupni iznos </w:t>
      </w:r>
      <w:r w:rsidR="00AE567A" w:rsidRPr="001D6B7F">
        <w:rPr>
          <w:rFonts w:asciiTheme="minorHAnsi" w:eastAsia="Calibri" w:hAnsiTheme="minorHAnsi" w:cstheme="minorHAnsi"/>
          <w:bCs/>
          <w:lang w:eastAsia="en-US"/>
        </w:rPr>
        <w:t xml:space="preserve">kredita </w:t>
      </w:r>
      <w:r w:rsidR="00470908" w:rsidRPr="001D6B7F">
        <w:rPr>
          <w:rFonts w:asciiTheme="minorHAnsi" w:eastAsia="Calibri" w:hAnsiTheme="minorHAnsi" w:cstheme="minorHAnsi"/>
          <w:bCs/>
          <w:lang w:eastAsia="en-US"/>
        </w:rPr>
        <w:t xml:space="preserve">po poduzetniku </w:t>
      </w:r>
      <w:r>
        <w:rPr>
          <w:rFonts w:asciiTheme="minorHAnsi" w:eastAsia="Calibri" w:hAnsiTheme="minorHAnsi" w:cstheme="minorHAnsi"/>
          <w:bCs/>
          <w:lang w:eastAsia="en-US"/>
        </w:rPr>
        <w:t xml:space="preserve">ne </w:t>
      </w:r>
      <w:r w:rsidR="00470908" w:rsidRPr="001D6B7F">
        <w:rPr>
          <w:rFonts w:asciiTheme="minorHAnsi" w:eastAsia="Calibri" w:hAnsiTheme="minorHAnsi" w:cstheme="minorHAnsi"/>
          <w:bCs/>
          <w:lang w:eastAsia="en-US"/>
        </w:rPr>
        <w:t xml:space="preserve">prelazi gornje granice utvrđene u točki 25. </w:t>
      </w:r>
      <w:proofErr w:type="spellStart"/>
      <w:r w:rsidR="00470908" w:rsidRPr="001D6B7F">
        <w:rPr>
          <w:rFonts w:asciiTheme="minorHAnsi" w:eastAsia="Calibri" w:hAnsiTheme="minorHAnsi" w:cstheme="minorHAnsi"/>
          <w:bCs/>
          <w:lang w:eastAsia="en-US"/>
        </w:rPr>
        <w:t>podtočki</w:t>
      </w:r>
      <w:proofErr w:type="spellEnd"/>
      <w:r w:rsidR="00470908" w:rsidRPr="001D6B7F">
        <w:rPr>
          <w:rFonts w:asciiTheme="minorHAnsi" w:eastAsia="Calibri" w:hAnsiTheme="minorHAnsi" w:cstheme="minorHAnsi"/>
          <w:bCs/>
          <w:lang w:eastAsia="en-US"/>
        </w:rPr>
        <w:t xml:space="preserve"> (d) ili točki 27. </w:t>
      </w:r>
      <w:proofErr w:type="spellStart"/>
      <w:r w:rsidR="00470908" w:rsidRPr="001D6B7F">
        <w:rPr>
          <w:rFonts w:asciiTheme="minorHAnsi" w:eastAsia="Calibri" w:hAnsiTheme="minorHAnsi" w:cstheme="minorHAnsi"/>
          <w:bCs/>
          <w:lang w:eastAsia="en-US"/>
        </w:rPr>
        <w:t>podtočki</w:t>
      </w:r>
      <w:proofErr w:type="spellEnd"/>
      <w:r w:rsidR="00470908" w:rsidRPr="001D6B7F">
        <w:rPr>
          <w:rFonts w:asciiTheme="minorHAnsi" w:eastAsia="Calibri" w:hAnsiTheme="minorHAnsi" w:cstheme="minorHAnsi"/>
          <w:bCs/>
          <w:lang w:eastAsia="en-US"/>
        </w:rPr>
        <w:t xml:space="preserve"> (d) Privremenog okvira. </w:t>
      </w:r>
      <w:bookmarkStart w:id="14" w:name="_Hlk37939824"/>
    </w:p>
    <w:p w14:paraId="0D123A86" w14:textId="77777777" w:rsidR="00D44FBC" w:rsidRDefault="00D44FBC" w:rsidP="00F51E3C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45925D4B" w14:textId="38B264FB" w:rsidR="005F2D7F" w:rsidRPr="002A61AF" w:rsidRDefault="00E15AA6" w:rsidP="00F51E3C">
      <w:pPr>
        <w:jc w:val="both"/>
        <w:rPr>
          <w:rFonts w:asciiTheme="minorHAnsi" w:eastAsia="Calibri" w:hAnsiTheme="minorHAnsi" w:cstheme="minorHAnsi"/>
          <w:bCs/>
          <w:highlight w:val="yellow"/>
          <w:lang w:eastAsia="en-US"/>
        </w:rPr>
      </w:pPr>
      <w:r w:rsidRPr="002A61AF">
        <w:rPr>
          <w:rFonts w:asciiTheme="minorHAnsi" w:eastAsia="Calibri" w:hAnsiTheme="minorHAnsi" w:cstheme="minorHAnsi"/>
          <w:bCs/>
          <w:lang w:eastAsia="en-US"/>
        </w:rPr>
        <w:t xml:space="preserve">U slučaju da isti korisnik kredita koristi više mjera u okviru Privremenog okvira paralelno, </w:t>
      </w:r>
      <w:r w:rsidR="00FB1150" w:rsidRPr="002F3CC7">
        <w:rPr>
          <w:rFonts w:asciiTheme="minorHAnsi" w:eastAsia="Calibri" w:hAnsiTheme="minorHAnsi" w:cstheme="minorHAnsi"/>
          <w:bCs/>
          <w:lang w:eastAsia="en-US"/>
        </w:rPr>
        <w:t xml:space="preserve">HBOR </w:t>
      </w:r>
      <w:r w:rsidR="00FB1150" w:rsidRPr="002A61AF">
        <w:rPr>
          <w:rFonts w:asciiTheme="minorHAnsi" w:eastAsia="Calibri" w:hAnsiTheme="minorHAnsi" w:cstheme="minorHAnsi"/>
          <w:bCs/>
          <w:lang w:eastAsia="en-US"/>
        </w:rPr>
        <w:t>potvrđuj</w:t>
      </w:r>
      <w:r w:rsidR="00FB1150">
        <w:rPr>
          <w:rFonts w:asciiTheme="minorHAnsi" w:eastAsia="Calibri" w:hAnsiTheme="minorHAnsi" w:cstheme="minorHAnsi"/>
          <w:bCs/>
          <w:lang w:eastAsia="en-US"/>
        </w:rPr>
        <w:t>e</w:t>
      </w:r>
      <w:r w:rsidR="00FB1150" w:rsidRPr="002A61AF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2A61AF">
        <w:rPr>
          <w:rFonts w:asciiTheme="minorHAnsi" w:eastAsia="Calibri" w:hAnsiTheme="minorHAnsi" w:cstheme="minorHAnsi"/>
          <w:bCs/>
          <w:lang w:eastAsia="en-US"/>
        </w:rPr>
        <w:t xml:space="preserve">da će poštivati </w:t>
      </w:r>
      <w:r w:rsidRPr="002F3CC7">
        <w:rPr>
          <w:rFonts w:asciiTheme="minorHAnsi" w:eastAsia="Calibri" w:hAnsiTheme="minorHAnsi" w:cstheme="minorHAnsi"/>
          <w:bCs/>
          <w:lang w:eastAsia="en-US"/>
        </w:rPr>
        <w:t>maksimaln</w:t>
      </w:r>
      <w:r w:rsidR="00BC329F" w:rsidRPr="002F3CC7">
        <w:rPr>
          <w:rFonts w:asciiTheme="minorHAnsi" w:eastAsia="Calibri" w:hAnsiTheme="minorHAnsi" w:cstheme="minorHAnsi"/>
          <w:bCs/>
          <w:lang w:eastAsia="en-US"/>
        </w:rPr>
        <w:t>e</w:t>
      </w:r>
      <w:r w:rsidRPr="002F3CC7">
        <w:rPr>
          <w:rFonts w:asciiTheme="minorHAnsi" w:eastAsia="Calibri" w:hAnsiTheme="minorHAnsi" w:cstheme="minorHAnsi"/>
          <w:bCs/>
          <w:lang w:eastAsia="en-US"/>
        </w:rPr>
        <w:t xml:space="preserve"> dozvoljen</w:t>
      </w:r>
      <w:r w:rsidR="00BC329F" w:rsidRPr="002F3CC7">
        <w:rPr>
          <w:rFonts w:asciiTheme="minorHAnsi" w:eastAsia="Calibri" w:hAnsiTheme="minorHAnsi" w:cstheme="minorHAnsi"/>
          <w:bCs/>
          <w:lang w:eastAsia="en-US"/>
        </w:rPr>
        <w:t>e</w:t>
      </w:r>
      <w:r w:rsidRPr="002F3CC7">
        <w:rPr>
          <w:rFonts w:asciiTheme="minorHAnsi" w:eastAsia="Calibri" w:hAnsiTheme="minorHAnsi" w:cstheme="minorHAnsi"/>
          <w:bCs/>
          <w:lang w:eastAsia="en-US"/>
        </w:rPr>
        <w:t xml:space="preserve"> pragov</w:t>
      </w:r>
      <w:r w:rsidR="00BC329F" w:rsidRPr="002F3CC7">
        <w:rPr>
          <w:rFonts w:asciiTheme="minorHAnsi" w:eastAsia="Calibri" w:hAnsiTheme="minorHAnsi" w:cstheme="minorHAnsi"/>
          <w:bCs/>
          <w:lang w:eastAsia="en-US"/>
        </w:rPr>
        <w:t>e</w:t>
      </w:r>
      <w:r w:rsidRPr="002A61AF">
        <w:rPr>
          <w:rFonts w:asciiTheme="minorHAnsi" w:eastAsia="Calibri" w:hAnsiTheme="minorHAnsi" w:cstheme="minorHAnsi"/>
          <w:bCs/>
          <w:lang w:eastAsia="en-US"/>
        </w:rPr>
        <w:t xml:space="preserve"> iznosa </w:t>
      </w:r>
      <w:r w:rsidR="00144E21" w:rsidRPr="002A61AF">
        <w:rPr>
          <w:rFonts w:asciiTheme="minorHAnsi" w:eastAsia="Calibri" w:hAnsiTheme="minorHAnsi" w:cstheme="minorHAnsi"/>
          <w:bCs/>
          <w:lang w:eastAsia="en-US"/>
        </w:rPr>
        <w:t>po</w:t>
      </w:r>
      <w:r w:rsidR="00144E21">
        <w:rPr>
          <w:rFonts w:asciiTheme="minorHAnsi" w:eastAsia="Calibri" w:hAnsiTheme="minorHAnsi" w:cstheme="minorHAnsi"/>
          <w:bCs/>
          <w:lang w:eastAsia="en-US"/>
        </w:rPr>
        <w:t xml:space="preserve">tpore </w:t>
      </w:r>
      <w:r w:rsidRPr="002A61AF">
        <w:rPr>
          <w:rFonts w:asciiTheme="minorHAnsi" w:eastAsia="Calibri" w:hAnsiTheme="minorHAnsi" w:cstheme="minorHAnsi"/>
          <w:bCs/>
          <w:lang w:eastAsia="en-US"/>
        </w:rPr>
        <w:t xml:space="preserve">po korisniku kako je definirano u točki 25. (d) Privremenog okvira, </w:t>
      </w:r>
      <w:r w:rsidR="00144E21">
        <w:rPr>
          <w:rFonts w:asciiTheme="minorHAnsi" w:eastAsia="Calibri" w:hAnsiTheme="minorHAnsi" w:cstheme="minorHAnsi"/>
          <w:bCs/>
          <w:lang w:eastAsia="en-US"/>
        </w:rPr>
        <w:t xml:space="preserve">odnosno </w:t>
      </w:r>
      <w:r w:rsidRPr="002A61AF">
        <w:rPr>
          <w:rFonts w:asciiTheme="minorHAnsi" w:eastAsia="Calibri" w:hAnsiTheme="minorHAnsi" w:cstheme="minorHAnsi"/>
          <w:bCs/>
          <w:lang w:eastAsia="en-US"/>
        </w:rPr>
        <w:t xml:space="preserve">na način da se isti ne premaše. </w:t>
      </w:r>
    </w:p>
    <w:bookmarkEnd w:id="14"/>
    <w:p w14:paraId="372A7246" w14:textId="726EC1B7" w:rsidR="007A5DD7" w:rsidRDefault="007A5DD7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44D203B3" w14:textId="37399ED8" w:rsidR="008D66D5" w:rsidRPr="008D66D5" w:rsidRDefault="002B47BD" w:rsidP="008D66D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bookmarkStart w:id="15" w:name="_Hlk54869720"/>
      <w:r>
        <w:rPr>
          <w:rFonts w:asciiTheme="minorHAnsi" w:eastAsia="Calibri" w:hAnsiTheme="minorHAnsi" w:cstheme="minorHAnsi"/>
          <w:bCs/>
          <w:lang w:eastAsia="en-US"/>
        </w:rPr>
        <w:t xml:space="preserve">Potpore iz Privremenog okvira </w:t>
      </w:r>
      <w:r w:rsidR="008D66D5">
        <w:rPr>
          <w:rFonts w:asciiTheme="minorHAnsi" w:eastAsia="Calibri" w:hAnsiTheme="minorHAnsi" w:cstheme="minorHAnsi"/>
          <w:lang w:eastAsia="en-US"/>
        </w:rPr>
        <w:t xml:space="preserve">obuhvaćene ovim Programom </w:t>
      </w:r>
      <w:r w:rsidR="008D66D5" w:rsidRPr="008D66D5">
        <w:rPr>
          <w:rFonts w:asciiTheme="minorHAnsi" w:eastAsia="Calibri" w:hAnsiTheme="minorHAnsi" w:cstheme="minorHAnsi"/>
          <w:lang w:eastAsia="en-US"/>
        </w:rPr>
        <w:t xml:space="preserve">mogu se zbrajati s potporom na temelju uredbi o de </w:t>
      </w:r>
      <w:proofErr w:type="spellStart"/>
      <w:r w:rsidR="008D66D5" w:rsidRPr="008D66D5">
        <w:rPr>
          <w:rFonts w:asciiTheme="minorHAnsi" w:eastAsia="Calibri" w:hAnsiTheme="minorHAnsi" w:cstheme="minorHAnsi"/>
          <w:lang w:eastAsia="en-US"/>
        </w:rPr>
        <w:t>minimis</w:t>
      </w:r>
      <w:proofErr w:type="spellEnd"/>
      <w:r w:rsidR="008D66D5" w:rsidRPr="008D66D5">
        <w:rPr>
          <w:rFonts w:asciiTheme="minorHAnsi" w:eastAsia="Calibri" w:hAnsiTheme="minorHAnsi" w:cstheme="minorHAnsi"/>
          <w:lang w:eastAsia="en-US"/>
        </w:rPr>
        <w:t xml:space="preserve"> potporama</w:t>
      </w:r>
      <w:r w:rsidR="008D66D5">
        <w:rPr>
          <w:rStyle w:val="FootnoteReference"/>
          <w:rFonts w:asciiTheme="minorHAnsi" w:eastAsia="Calibri" w:hAnsiTheme="minorHAnsi" w:cstheme="minorHAnsi"/>
          <w:lang w:eastAsia="en-US"/>
        </w:rPr>
        <w:footnoteReference w:id="8"/>
      </w:r>
      <w:r w:rsidR="008D66D5">
        <w:rPr>
          <w:rFonts w:asciiTheme="minorHAnsi" w:eastAsia="Calibri" w:hAnsiTheme="minorHAnsi" w:cstheme="minorHAnsi"/>
          <w:lang w:eastAsia="en-US"/>
        </w:rPr>
        <w:t xml:space="preserve"> </w:t>
      </w:r>
      <w:r w:rsidR="008D66D5" w:rsidRPr="008D66D5">
        <w:rPr>
          <w:rFonts w:asciiTheme="minorHAnsi" w:eastAsia="Calibri" w:hAnsiTheme="minorHAnsi" w:cstheme="minorHAnsi"/>
          <w:lang w:eastAsia="en-US"/>
        </w:rPr>
        <w:t>ili s potporom na temelju uredbi o skupnom izuzeću</w:t>
      </w:r>
      <w:r w:rsidR="008D66D5">
        <w:rPr>
          <w:rStyle w:val="FootnoteReference"/>
          <w:rFonts w:asciiTheme="minorHAnsi" w:eastAsia="Calibri" w:hAnsiTheme="minorHAnsi" w:cstheme="minorHAnsi"/>
          <w:lang w:eastAsia="en-US"/>
        </w:rPr>
        <w:footnoteReference w:id="9"/>
      </w:r>
      <w:r w:rsidR="009F3CDD">
        <w:rPr>
          <w:rFonts w:asciiTheme="minorHAnsi" w:eastAsia="Calibri" w:hAnsiTheme="minorHAnsi" w:cstheme="minorHAnsi"/>
          <w:lang w:eastAsia="en-US"/>
        </w:rPr>
        <w:t>,</w:t>
      </w:r>
      <w:r w:rsidR="008D66D5" w:rsidRPr="008D66D5">
        <w:rPr>
          <w:rFonts w:asciiTheme="minorHAnsi" w:eastAsia="Calibri" w:hAnsiTheme="minorHAnsi" w:cstheme="minorHAnsi"/>
          <w:lang w:eastAsia="en-US"/>
        </w:rPr>
        <w:t xml:space="preserve"> ako se poštuju odredbe i pravila o zbrajanju iz tih uredbi. </w:t>
      </w:r>
    </w:p>
    <w:bookmarkEnd w:id="11"/>
    <w:bookmarkEnd w:id="15"/>
    <w:p w14:paraId="3B3BE2D6" w14:textId="3573E74A" w:rsidR="0038068C" w:rsidRDefault="0038068C" w:rsidP="00F51E3C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highlight w:val="yellow"/>
          <w:lang w:eastAsia="en-US"/>
        </w:rPr>
      </w:pPr>
    </w:p>
    <w:p w14:paraId="4D3B0A62" w14:textId="402868B1" w:rsidR="00724B21" w:rsidRPr="00D15E02" w:rsidRDefault="00CA4A35" w:rsidP="00F51E3C">
      <w:pPr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18" w:name="_Hlk54869863"/>
      <w:bookmarkEnd w:id="12"/>
      <w:r w:rsidRPr="00D15E02">
        <w:rPr>
          <w:rFonts w:asciiTheme="minorHAnsi" w:eastAsia="Calibri" w:hAnsiTheme="minorHAnsi" w:cstheme="minorHAnsi"/>
          <w:b/>
          <w:lang w:eastAsia="en-US"/>
        </w:rPr>
        <w:t>Nadzor i izvještavanje</w:t>
      </w:r>
    </w:p>
    <w:p w14:paraId="59B5F42B" w14:textId="454035FA" w:rsidR="00CA4A35" w:rsidRPr="00D15E02" w:rsidRDefault="006E6470" w:rsidP="00F51E3C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F3CC7">
        <w:rPr>
          <w:rFonts w:asciiTheme="minorHAnsi" w:eastAsia="Calibri" w:hAnsiTheme="minorHAnsi" w:cstheme="minorHAnsi"/>
          <w:bCs/>
          <w:lang w:eastAsia="en-US"/>
        </w:rPr>
        <w:t>HBOR</w:t>
      </w:r>
      <w:r w:rsidR="00CA4A35" w:rsidRPr="00D15E02" w:rsidDel="006E6470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D15E02">
        <w:rPr>
          <w:rFonts w:asciiTheme="minorHAnsi" w:eastAsia="Calibri" w:hAnsiTheme="minorHAnsi" w:cstheme="minorHAnsi"/>
          <w:bCs/>
          <w:lang w:eastAsia="en-US"/>
        </w:rPr>
        <w:t>potvrđuj</w:t>
      </w:r>
      <w:r>
        <w:rPr>
          <w:rFonts w:asciiTheme="minorHAnsi" w:eastAsia="Calibri" w:hAnsiTheme="minorHAnsi" w:cstheme="minorHAnsi"/>
          <w:bCs/>
          <w:lang w:eastAsia="en-US"/>
        </w:rPr>
        <w:t>e</w:t>
      </w:r>
      <w:r w:rsidRPr="00D15E02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CA4A35" w:rsidRPr="00D15E02">
        <w:rPr>
          <w:rFonts w:asciiTheme="minorHAnsi" w:eastAsia="Calibri" w:hAnsiTheme="minorHAnsi" w:cstheme="minorHAnsi"/>
          <w:bCs/>
          <w:lang w:eastAsia="en-US"/>
        </w:rPr>
        <w:t xml:space="preserve">kako </w:t>
      </w:r>
      <w:r w:rsidR="0006537A">
        <w:rPr>
          <w:rFonts w:asciiTheme="minorHAnsi" w:eastAsia="Calibri" w:hAnsiTheme="minorHAnsi" w:cstheme="minorHAnsi"/>
          <w:bCs/>
          <w:lang w:eastAsia="en-US"/>
        </w:rPr>
        <w:t>ć</w:t>
      </w:r>
      <w:r w:rsidR="0006537A" w:rsidRPr="00D15E02">
        <w:rPr>
          <w:rFonts w:asciiTheme="minorHAnsi" w:eastAsia="Calibri" w:hAnsiTheme="minorHAnsi" w:cstheme="minorHAnsi"/>
          <w:bCs/>
          <w:lang w:eastAsia="en-US"/>
        </w:rPr>
        <w:t>e</w:t>
      </w:r>
      <w:r w:rsidR="0006537A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143BCE">
        <w:rPr>
          <w:rFonts w:asciiTheme="minorHAnsi" w:eastAsia="Calibri" w:hAnsiTheme="minorHAnsi" w:cstheme="minorHAnsi"/>
          <w:bCs/>
          <w:lang w:eastAsia="en-US"/>
        </w:rPr>
        <w:t>poštivati</w:t>
      </w:r>
      <w:r w:rsidR="00CA4A35" w:rsidRPr="00D15E02">
        <w:rPr>
          <w:rFonts w:asciiTheme="minorHAnsi" w:eastAsia="Calibri" w:hAnsiTheme="minorHAnsi" w:cstheme="minorHAnsi"/>
          <w:bCs/>
          <w:lang w:eastAsia="en-US"/>
        </w:rPr>
        <w:t xml:space="preserve"> sljedeće obveze </w:t>
      </w:r>
      <w:r w:rsidR="00143BCE" w:rsidRPr="00D15E02">
        <w:rPr>
          <w:rFonts w:asciiTheme="minorHAnsi" w:eastAsia="Calibri" w:hAnsiTheme="minorHAnsi" w:cstheme="minorHAnsi"/>
          <w:bCs/>
          <w:lang w:eastAsia="en-US"/>
        </w:rPr>
        <w:t>nadzor</w:t>
      </w:r>
      <w:r w:rsidR="00143BCE">
        <w:rPr>
          <w:rFonts w:asciiTheme="minorHAnsi" w:eastAsia="Calibri" w:hAnsiTheme="minorHAnsi" w:cstheme="minorHAnsi"/>
          <w:bCs/>
          <w:lang w:eastAsia="en-US"/>
        </w:rPr>
        <w:t>a</w:t>
      </w:r>
      <w:r w:rsidR="00143BCE" w:rsidRPr="00D15E02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CA4A35" w:rsidRPr="00D15E02">
        <w:rPr>
          <w:rFonts w:asciiTheme="minorHAnsi" w:eastAsia="Calibri" w:hAnsiTheme="minorHAnsi" w:cstheme="minorHAnsi"/>
          <w:bCs/>
          <w:lang w:eastAsia="en-US"/>
        </w:rPr>
        <w:t xml:space="preserve">i </w:t>
      </w:r>
      <w:r w:rsidR="00143BCE" w:rsidRPr="002F3CC7">
        <w:rPr>
          <w:rFonts w:asciiTheme="minorHAnsi" w:eastAsia="Calibri" w:hAnsiTheme="minorHAnsi" w:cstheme="minorHAnsi"/>
          <w:bCs/>
          <w:lang w:eastAsia="en-US"/>
        </w:rPr>
        <w:t>izvještavanja</w:t>
      </w:r>
      <w:r w:rsidR="00AD28EC" w:rsidRPr="00D15E02">
        <w:rPr>
          <w:rFonts w:asciiTheme="minorHAnsi" w:eastAsia="Calibri" w:hAnsiTheme="minorHAnsi" w:cstheme="minorHAnsi"/>
          <w:bCs/>
          <w:lang w:eastAsia="en-US"/>
        </w:rPr>
        <w:t>,</w:t>
      </w:r>
      <w:r w:rsidR="00CA4A35" w:rsidRPr="00D15E02">
        <w:rPr>
          <w:rFonts w:asciiTheme="minorHAnsi" w:eastAsia="Calibri" w:hAnsiTheme="minorHAnsi" w:cstheme="minorHAnsi"/>
          <w:bCs/>
          <w:lang w:eastAsia="en-US"/>
        </w:rPr>
        <w:t xml:space="preserve"> a koje su navedene u </w:t>
      </w:r>
      <w:r w:rsidR="00DF178E" w:rsidRPr="00D15E02">
        <w:rPr>
          <w:rFonts w:asciiTheme="minorHAnsi" w:eastAsia="Calibri" w:hAnsiTheme="minorHAnsi" w:cstheme="minorHAnsi"/>
          <w:bCs/>
          <w:lang w:eastAsia="en-US"/>
        </w:rPr>
        <w:t>toč</w:t>
      </w:r>
      <w:r w:rsidR="0068613D">
        <w:rPr>
          <w:rFonts w:asciiTheme="minorHAnsi" w:eastAsia="Calibri" w:hAnsiTheme="minorHAnsi" w:cstheme="minorHAnsi"/>
          <w:bCs/>
          <w:lang w:eastAsia="en-US"/>
        </w:rPr>
        <w:t>ki</w:t>
      </w:r>
      <w:r w:rsidR="00DF178E" w:rsidRPr="00D15E02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CA4A35" w:rsidRPr="00D15E02">
        <w:rPr>
          <w:rFonts w:asciiTheme="minorHAnsi" w:eastAsia="Calibri" w:hAnsiTheme="minorHAnsi" w:cstheme="minorHAnsi"/>
          <w:bCs/>
          <w:lang w:eastAsia="en-US"/>
        </w:rPr>
        <w:t>4. Privremenog okvira</w:t>
      </w:r>
      <w:r w:rsidR="00CA4A35" w:rsidRPr="002F3CC7">
        <w:rPr>
          <w:rFonts w:asciiTheme="minorHAnsi" w:eastAsia="Calibri" w:hAnsiTheme="minorHAnsi" w:cstheme="minorHAnsi"/>
          <w:bCs/>
          <w:lang w:eastAsia="en-US"/>
        </w:rPr>
        <w:t>:</w:t>
      </w:r>
    </w:p>
    <w:p w14:paraId="3C5BCD99" w14:textId="2F750B5E" w:rsidR="00CA4A35" w:rsidRPr="00D15E02" w:rsidRDefault="00CA4A35" w:rsidP="00F51E3C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3841E76C" w14:textId="28491CFB" w:rsidR="00CA4A35" w:rsidRPr="00D15E02" w:rsidRDefault="00CA4A35" w:rsidP="00F51E3C">
      <w:pPr>
        <w:pStyle w:val="ListParagraph"/>
        <w:numPr>
          <w:ilvl w:val="0"/>
          <w:numId w:val="37"/>
        </w:num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>Države članice dužne su objaviti relevantne informacije o svakoj pojedinačnoj potpori odobrenoj u skladu s ovom Komunikacijom na internetskim stranicama o državnim potporama u roku od 12 mjeseci od trenutka dodjele.</w:t>
      </w:r>
    </w:p>
    <w:p w14:paraId="0E3579E6" w14:textId="4C26A060" w:rsidR="00CA4A35" w:rsidRPr="00D15E02" w:rsidRDefault="00CA4A35" w:rsidP="00F51E3C">
      <w:pPr>
        <w:pStyle w:val="ListParagraph"/>
        <w:numPr>
          <w:ilvl w:val="0"/>
          <w:numId w:val="37"/>
        </w:num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>Države članice dužne su Komisiji dostavljati godišnja izvješća.</w:t>
      </w:r>
    </w:p>
    <w:p w14:paraId="61CB375C" w14:textId="77777777" w:rsidR="00CA4A35" w:rsidRPr="00D15E02" w:rsidRDefault="00CA4A35" w:rsidP="00F51E3C">
      <w:pPr>
        <w:pStyle w:val="ListParagraph"/>
        <w:numPr>
          <w:ilvl w:val="0"/>
          <w:numId w:val="37"/>
        </w:num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>Države članice dužne su do 31. prosinca 2020. Komisiji dostaviti popis mjera uvedenih</w:t>
      </w:r>
    </w:p>
    <w:p w14:paraId="0F75BF2D" w14:textId="712B33D9" w:rsidR="00CA4A35" w:rsidRPr="00D15E02" w:rsidRDefault="00CA4A35" w:rsidP="00F51E3C">
      <w:pPr>
        <w:pStyle w:val="ListParagraph"/>
        <w:numPr>
          <w:ilvl w:val="0"/>
          <w:numId w:val="37"/>
        </w:num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 xml:space="preserve">na temelju programa odobrenih na temelju ove Komunikacije. </w:t>
      </w:r>
    </w:p>
    <w:p w14:paraId="0A84FF88" w14:textId="77A52CA6" w:rsidR="00CA4A35" w:rsidRPr="00D15E02" w:rsidRDefault="00CA4A35" w:rsidP="00F51E3C">
      <w:pPr>
        <w:pStyle w:val="ListParagraph"/>
        <w:numPr>
          <w:ilvl w:val="0"/>
          <w:numId w:val="37"/>
        </w:num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>Države članice moraju osigurati vođenje detaljne evidencije o dodjeli potpora predviđenih ovom Komunikacijom. Takve se evidencije, koje moraju sadržavati sve informacije potrebne kako bi se utvrdilo da su ispunjeni potrebni uvjeti, moraju čuvati 10</w:t>
      </w:r>
      <w:r w:rsidR="002B47BD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D15E02">
        <w:rPr>
          <w:rFonts w:asciiTheme="minorHAnsi" w:eastAsia="Calibri" w:hAnsiTheme="minorHAnsi" w:cstheme="minorHAnsi"/>
          <w:bCs/>
          <w:lang w:eastAsia="en-US"/>
        </w:rPr>
        <w:t>godina nakon dodjele potpore i na zahtjev dostaviti Komisiji.</w:t>
      </w:r>
    </w:p>
    <w:p w14:paraId="334D53CD" w14:textId="7F4F91E2" w:rsidR="00CA4A35" w:rsidRPr="00D15E02" w:rsidRDefault="00CA4A35" w:rsidP="00F51E3C">
      <w:pPr>
        <w:pStyle w:val="ListParagraph"/>
        <w:numPr>
          <w:ilvl w:val="0"/>
          <w:numId w:val="37"/>
        </w:num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15E02">
        <w:rPr>
          <w:rFonts w:asciiTheme="minorHAnsi" w:eastAsia="Calibri" w:hAnsiTheme="minorHAnsi" w:cstheme="minorHAnsi"/>
          <w:bCs/>
          <w:lang w:eastAsia="en-US"/>
        </w:rPr>
        <w:t xml:space="preserve">Komisija može zatražiti dodatne informacije o dodijeljenim potporama kako bi provjerila jesu li se poštovali uvjeti utvrđeni u odluci Komisije kojom je odobrila potporu. </w:t>
      </w:r>
    </w:p>
    <w:bookmarkEnd w:id="18"/>
    <w:p w14:paraId="2A9C9678" w14:textId="3458522D" w:rsidR="0049238D" w:rsidRPr="00D15E02" w:rsidRDefault="0049238D" w:rsidP="00F51E3C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3B554EC8" w14:textId="4E9B9B02" w:rsidR="0049238D" w:rsidRPr="00D15E02" w:rsidRDefault="002B47BD" w:rsidP="00F51E3C">
      <w:pPr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19" w:name="_Hlk54870023"/>
      <w:r>
        <w:rPr>
          <w:rFonts w:asciiTheme="minorHAnsi" w:eastAsia="Calibri" w:hAnsiTheme="minorHAnsi" w:cstheme="minorHAnsi"/>
          <w:b/>
          <w:lang w:eastAsia="en-US"/>
        </w:rPr>
        <w:t>Klauzula mirovanja („</w:t>
      </w:r>
      <w:proofErr w:type="spellStart"/>
      <w:r>
        <w:rPr>
          <w:rFonts w:asciiTheme="minorHAnsi" w:eastAsia="Calibri" w:hAnsiTheme="minorHAnsi" w:cstheme="minorHAnsi"/>
          <w:b/>
          <w:lang w:eastAsia="en-US"/>
        </w:rPr>
        <w:t>Stand</w:t>
      </w:r>
      <w:proofErr w:type="spellEnd"/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lang w:eastAsia="en-US"/>
        </w:rPr>
        <w:t>still</w:t>
      </w:r>
      <w:proofErr w:type="spellEnd"/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lang w:eastAsia="en-US"/>
        </w:rPr>
        <w:t>clause</w:t>
      </w:r>
      <w:proofErr w:type="spellEnd"/>
      <w:r w:rsidR="00A22546">
        <w:rPr>
          <w:rFonts w:asciiTheme="minorHAnsi" w:eastAsia="Calibri" w:hAnsiTheme="minorHAnsi" w:cstheme="minorHAnsi"/>
          <w:b/>
          <w:lang w:eastAsia="en-US"/>
        </w:rPr>
        <w:t>“</w:t>
      </w:r>
      <w:r>
        <w:rPr>
          <w:rFonts w:asciiTheme="minorHAnsi" w:eastAsia="Calibri" w:hAnsiTheme="minorHAnsi" w:cstheme="minorHAnsi"/>
          <w:b/>
          <w:lang w:eastAsia="en-US"/>
        </w:rPr>
        <w:t>)</w:t>
      </w:r>
    </w:p>
    <w:p w14:paraId="663BA669" w14:textId="70B9B181" w:rsidR="0049238D" w:rsidRPr="00D15E02" w:rsidRDefault="002B47BD" w:rsidP="00F51E3C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Sukladno članku 108.3. UFEU, </w:t>
      </w:r>
      <w:r w:rsidR="0049238D" w:rsidRPr="00D15E02">
        <w:rPr>
          <w:rFonts w:asciiTheme="minorHAnsi" w:eastAsia="Calibri" w:hAnsiTheme="minorHAnsi" w:cstheme="minorHAnsi"/>
          <w:bCs/>
          <w:lang w:eastAsia="en-US"/>
        </w:rPr>
        <w:t>HBOR će poštovati tzv. “</w:t>
      </w:r>
      <w:proofErr w:type="spellStart"/>
      <w:r w:rsidR="0049238D" w:rsidRPr="00D15E02">
        <w:rPr>
          <w:rFonts w:asciiTheme="minorHAnsi" w:eastAsia="Calibri" w:hAnsiTheme="minorHAnsi" w:cstheme="minorHAnsi"/>
          <w:bCs/>
          <w:lang w:eastAsia="en-US"/>
        </w:rPr>
        <w:t>stand</w:t>
      </w:r>
      <w:proofErr w:type="spellEnd"/>
      <w:r w:rsidR="0049238D" w:rsidRPr="00D15E02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="0049238D" w:rsidRPr="00D15E02">
        <w:rPr>
          <w:rFonts w:asciiTheme="minorHAnsi" w:eastAsia="Calibri" w:hAnsiTheme="minorHAnsi" w:cstheme="minorHAnsi"/>
          <w:bCs/>
          <w:lang w:eastAsia="en-US"/>
        </w:rPr>
        <w:t>still</w:t>
      </w:r>
      <w:proofErr w:type="spellEnd"/>
      <w:r w:rsidR="0049238D" w:rsidRPr="00D15E02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="0049238D" w:rsidRPr="00D15E02">
        <w:rPr>
          <w:rFonts w:asciiTheme="minorHAnsi" w:eastAsia="Calibri" w:hAnsiTheme="minorHAnsi" w:cstheme="minorHAnsi"/>
          <w:bCs/>
          <w:lang w:eastAsia="en-US"/>
        </w:rPr>
        <w:t>clause</w:t>
      </w:r>
      <w:proofErr w:type="spellEnd"/>
      <w:r w:rsidR="0049238D" w:rsidRPr="00D15E02">
        <w:rPr>
          <w:rFonts w:asciiTheme="minorHAnsi" w:eastAsia="Calibri" w:hAnsiTheme="minorHAnsi" w:cstheme="minorHAnsi"/>
          <w:bCs/>
          <w:lang w:eastAsia="en-US"/>
        </w:rPr>
        <w:t xml:space="preserve">“, odnosno neće započeti s primjenom ovog </w:t>
      </w:r>
      <w:r w:rsidR="00386CA1">
        <w:rPr>
          <w:rFonts w:asciiTheme="minorHAnsi" w:eastAsia="Calibri" w:hAnsiTheme="minorHAnsi" w:cstheme="minorHAnsi"/>
          <w:bCs/>
          <w:lang w:eastAsia="en-US"/>
        </w:rPr>
        <w:t>Programa</w:t>
      </w:r>
      <w:r w:rsidR="0049238D" w:rsidRPr="00D15E02">
        <w:rPr>
          <w:rFonts w:asciiTheme="minorHAnsi" w:eastAsia="Calibri" w:hAnsiTheme="minorHAnsi" w:cstheme="minorHAnsi"/>
          <w:bCs/>
          <w:lang w:eastAsia="en-US"/>
        </w:rPr>
        <w:t xml:space="preserve"> prije dobivanja suglasnosti, odnosno odobrenja Europske komisije.</w:t>
      </w:r>
    </w:p>
    <w:bookmarkEnd w:id="19"/>
    <w:p w14:paraId="0D451A9D" w14:textId="7F4CD7FD" w:rsidR="00E06E15" w:rsidRPr="002F3CC7" w:rsidRDefault="00E06E15" w:rsidP="00F51E3C">
      <w:pPr>
        <w:jc w:val="both"/>
        <w:rPr>
          <w:rFonts w:asciiTheme="minorHAnsi" w:hAnsiTheme="minorHAnsi" w:cstheme="minorHAnsi"/>
          <w:highlight w:val="yellow"/>
        </w:rPr>
      </w:pPr>
    </w:p>
    <w:p w14:paraId="76EE97E8" w14:textId="3DA7A12B" w:rsidR="0049238D" w:rsidRPr="00D15E02" w:rsidRDefault="0049238D" w:rsidP="00F51E3C">
      <w:pPr>
        <w:rPr>
          <w:rFonts w:asciiTheme="minorHAnsi" w:hAnsiTheme="minorHAnsi" w:cstheme="minorHAnsi"/>
        </w:rPr>
      </w:pPr>
    </w:p>
    <w:sectPr w:rsidR="0049238D" w:rsidRPr="00D15E02" w:rsidSect="00E401FE">
      <w:footerReference w:type="even" r:id="rId11"/>
      <w:footerReference w:type="default" r:id="rId12"/>
      <w:headerReference w:type="first" r:id="rId13"/>
      <w:pgSz w:w="11907" w:h="16840" w:code="9"/>
      <w:pgMar w:top="1258" w:right="1418" w:bottom="1258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12B8" w14:textId="77777777" w:rsidR="00932187" w:rsidRDefault="00932187">
      <w:r>
        <w:separator/>
      </w:r>
    </w:p>
  </w:endnote>
  <w:endnote w:type="continuationSeparator" w:id="0">
    <w:p w14:paraId="1CA4FD5E" w14:textId="77777777" w:rsidR="00932187" w:rsidRDefault="00932187">
      <w:r>
        <w:continuationSeparator/>
      </w:r>
    </w:p>
  </w:endnote>
  <w:endnote w:type="continuationNotice" w:id="1">
    <w:p w14:paraId="7EA4834D" w14:textId="77777777" w:rsidR="00932187" w:rsidRDefault="00932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10E2" w14:textId="77777777" w:rsidR="004D52EA" w:rsidRDefault="004D52EA" w:rsidP="00E40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88911" w14:textId="77777777" w:rsidR="004D52EA" w:rsidRDefault="004D52EA" w:rsidP="00E10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6A74" w14:textId="77777777" w:rsidR="004D52EA" w:rsidRPr="004917FE" w:rsidRDefault="004D52EA" w:rsidP="00E401FE">
    <w:pPr>
      <w:pStyle w:val="Footer"/>
      <w:framePr w:wrap="around" w:vAnchor="text" w:hAnchor="margin" w:xAlign="right" w:y="1"/>
      <w:jc w:val="right"/>
      <w:rPr>
        <w:rStyle w:val="PageNumber"/>
        <w:rFonts w:ascii="Calibri" w:hAnsi="Calibri"/>
        <w:sz w:val="20"/>
        <w:szCs w:val="20"/>
      </w:rPr>
    </w:pPr>
    <w:r w:rsidRPr="0001599A">
      <w:rPr>
        <w:rStyle w:val="PageNumber"/>
        <w:rFonts w:ascii="Calibri" w:hAnsi="Calibri"/>
        <w:sz w:val="20"/>
        <w:szCs w:val="20"/>
      </w:rPr>
      <w:fldChar w:fldCharType="begin"/>
    </w:r>
    <w:r w:rsidRPr="0001599A">
      <w:rPr>
        <w:rStyle w:val="PageNumber"/>
        <w:rFonts w:ascii="Calibri" w:hAnsi="Calibri"/>
        <w:sz w:val="20"/>
        <w:szCs w:val="20"/>
      </w:rPr>
      <w:instrText xml:space="preserve">PAGE  </w:instrText>
    </w:r>
    <w:r w:rsidRPr="0001599A">
      <w:rPr>
        <w:rStyle w:val="PageNumber"/>
        <w:rFonts w:ascii="Calibri" w:hAnsi="Calibri"/>
        <w:sz w:val="20"/>
        <w:szCs w:val="20"/>
      </w:rPr>
      <w:fldChar w:fldCharType="separate"/>
    </w:r>
    <w:r w:rsidR="00452488">
      <w:rPr>
        <w:rStyle w:val="PageNumber"/>
        <w:rFonts w:ascii="Calibri" w:hAnsi="Calibri"/>
        <w:noProof/>
        <w:sz w:val="20"/>
        <w:szCs w:val="20"/>
      </w:rPr>
      <w:t>3</w:t>
    </w:r>
    <w:r w:rsidRPr="0001599A">
      <w:rPr>
        <w:rStyle w:val="PageNumber"/>
        <w:rFonts w:ascii="Calibri" w:hAnsi="Calibri"/>
        <w:sz w:val="20"/>
        <w:szCs w:val="20"/>
      </w:rPr>
      <w:fldChar w:fldCharType="end"/>
    </w:r>
  </w:p>
  <w:p w14:paraId="7D17DE58" w14:textId="77777777" w:rsidR="004D52EA" w:rsidRPr="004917FE" w:rsidRDefault="004D52EA" w:rsidP="00E401FE">
    <w:pPr>
      <w:pStyle w:val="Footer"/>
      <w:framePr w:wrap="around" w:vAnchor="text" w:hAnchor="margin" w:xAlign="right" w:y="1"/>
      <w:ind w:right="360"/>
      <w:jc w:val="right"/>
      <w:rPr>
        <w:rStyle w:val="PageNumber"/>
        <w:rFonts w:ascii="Calibri" w:hAnsi="Calibri"/>
        <w:sz w:val="20"/>
        <w:szCs w:val="20"/>
      </w:rPr>
    </w:pPr>
  </w:p>
  <w:p w14:paraId="17B9E010" w14:textId="77777777" w:rsidR="004D52EA" w:rsidRDefault="004D52EA" w:rsidP="0073434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A67E" w14:textId="77777777" w:rsidR="00932187" w:rsidRDefault="00932187">
      <w:r>
        <w:separator/>
      </w:r>
    </w:p>
  </w:footnote>
  <w:footnote w:type="continuationSeparator" w:id="0">
    <w:p w14:paraId="43C3B063" w14:textId="77777777" w:rsidR="00932187" w:rsidRDefault="00932187">
      <w:r>
        <w:continuationSeparator/>
      </w:r>
    </w:p>
  </w:footnote>
  <w:footnote w:type="continuationNotice" w:id="1">
    <w:p w14:paraId="0D59588E" w14:textId="77777777" w:rsidR="00932187" w:rsidRDefault="00932187"/>
  </w:footnote>
  <w:footnote w:id="2">
    <w:p w14:paraId="3288033A" w14:textId="68E502CF" w:rsidR="00747CCA" w:rsidRDefault="00747CCA" w:rsidP="003E6A0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47CCA">
        <w:t>Uredba Komisije (EU) br. 651/2014 od 17. lipnja 2014.</w:t>
      </w:r>
    </w:p>
  </w:footnote>
  <w:footnote w:id="3">
    <w:p w14:paraId="3AB64C3F" w14:textId="7661A6CB" w:rsidR="00747CCA" w:rsidRDefault="00747CCA" w:rsidP="003E6A0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47CCA">
        <w:t>Kao druga mogućnost, ako su primili potporu za sanaciju, nadoknadili zajam ili okončali jamstvo u trenutku dodjele potpore u skladu s ovom Komunikacijom.</w:t>
      </w:r>
    </w:p>
  </w:footnote>
  <w:footnote w:id="4">
    <w:p w14:paraId="4F0FBCAA" w14:textId="2C759222" w:rsidR="00747CCA" w:rsidRDefault="00747CCA" w:rsidP="003E6A0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47CCA">
        <w:t>Kao druga mogućnost, ako su primili potporu za restrukturiranje, više nisu podložni planu restrukturiranja u trenutku dodjele potpore u skladu s ovom Komunikacijom.</w:t>
      </w:r>
    </w:p>
  </w:footnote>
  <w:footnote w:id="5">
    <w:p w14:paraId="13247B85" w14:textId="1976DB74" w:rsidR="00602D19" w:rsidRDefault="00602D19" w:rsidP="003E6A0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02D19">
        <w:t>Plan likvidnosti može uključivati i obrtni kapital i troškove ulaganja.</w:t>
      </w:r>
    </w:p>
  </w:footnote>
  <w:footnote w:id="6">
    <w:p w14:paraId="63F11C2D" w14:textId="77777777" w:rsidR="00BF5128" w:rsidRPr="00F03030" w:rsidRDefault="00BF5128" w:rsidP="00BF5128">
      <w:pPr>
        <w:pStyle w:val="FootnoteText"/>
        <w:jc w:val="both"/>
        <w:rPr>
          <w:rFonts w:asciiTheme="minorHAnsi" w:hAnsiTheme="minorHAnsi"/>
        </w:rPr>
      </w:pPr>
      <w:r w:rsidRPr="00F03030">
        <w:rPr>
          <w:rStyle w:val="FootnoteReference"/>
          <w:rFonts w:asciiTheme="minorHAnsi" w:hAnsiTheme="minorHAnsi"/>
        </w:rPr>
        <w:footnoteRef/>
      </w:r>
      <w:r w:rsidRPr="00F03030">
        <w:rPr>
          <w:rFonts w:asciiTheme="minorHAnsi" w:hAnsiTheme="minorHAnsi"/>
        </w:rPr>
        <w:t xml:space="preserve"> Kako je definirano u članku 2. stavku 1. Uredbe Komisije (EU) br. 717/2014 </w:t>
      </w:r>
      <w:proofErr w:type="spellStart"/>
      <w:r w:rsidRPr="00F03030">
        <w:rPr>
          <w:rFonts w:asciiTheme="minorHAnsi" w:hAnsiTheme="minorHAnsi"/>
        </w:rPr>
        <w:t>оd</w:t>
      </w:r>
      <w:proofErr w:type="spellEnd"/>
      <w:r w:rsidRPr="00F03030">
        <w:rPr>
          <w:rFonts w:asciiTheme="minorHAnsi" w:hAnsiTheme="minorHAnsi"/>
        </w:rPr>
        <w:t xml:space="preserve"> 27. lipnja 2014. o primjeni članaka 107. i 108. Ugovora o funkcioniranju Europske unije na de </w:t>
      </w:r>
      <w:proofErr w:type="spellStart"/>
      <w:r w:rsidRPr="00F03030">
        <w:rPr>
          <w:rFonts w:asciiTheme="minorHAnsi" w:hAnsiTheme="minorHAnsi"/>
        </w:rPr>
        <w:t>minimis</w:t>
      </w:r>
      <w:proofErr w:type="spellEnd"/>
      <w:r w:rsidRPr="00F03030">
        <w:rPr>
          <w:rFonts w:asciiTheme="minorHAnsi" w:hAnsiTheme="minorHAnsi"/>
        </w:rPr>
        <w:t xml:space="preserve"> potpore u sektoru ribarstva i akvakulture, SL L 190, 28.6.2014., str. 45.</w:t>
      </w:r>
    </w:p>
  </w:footnote>
  <w:footnote w:id="7">
    <w:p w14:paraId="33D2E169" w14:textId="77777777" w:rsidR="00BF5128" w:rsidRDefault="00BF5128" w:rsidP="00BF5128">
      <w:pPr>
        <w:pStyle w:val="FootnoteText"/>
      </w:pPr>
      <w:r w:rsidRPr="00F03030">
        <w:rPr>
          <w:rStyle w:val="FootnoteReference"/>
          <w:rFonts w:asciiTheme="minorHAnsi" w:hAnsiTheme="minorHAnsi"/>
        </w:rPr>
        <w:footnoteRef/>
      </w:r>
      <w:r w:rsidRPr="00F03030">
        <w:rPr>
          <w:rFonts w:asciiTheme="minorHAnsi" w:hAnsiTheme="minorHAnsi"/>
        </w:rPr>
        <w:t xml:space="preserve"> Svi proizvodi navedeni u Prilogu I. UFEU-u uz iznimku proizvoda iz sektora ribarstva i akvakulture.</w:t>
      </w:r>
    </w:p>
  </w:footnote>
  <w:footnote w:id="8">
    <w:p w14:paraId="067C902E" w14:textId="46EA3C56" w:rsidR="008D66D5" w:rsidRDefault="008D66D5" w:rsidP="008D66D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bookmarkStart w:id="16" w:name="_Hlk50654676"/>
      <w:r w:rsidRPr="008D66D5">
        <w:t xml:space="preserve">Uredba Komisije (EU) br. 1407/2013 od 18. prosinca 2013. o primjeni članaka 107. i 108. Ugovora o funkcioniranju Europske unije na de </w:t>
      </w:r>
      <w:proofErr w:type="spellStart"/>
      <w:r w:rsidRPr="008D66D5">
        <w:t>minimis</w:t>
      </w:r>
      <w:proofErr w:type="spellEnd"/>
      <w:r w:rsidRPr="008D66D5">
        <w:t xml:space="preserve"> potpore (SL L 352, 24.12.2013., str. 1.), Uredba Komisije (EU) br. 1408/2013 od 18. prosinca 2013. o primjeni članaka 107. i 108. Ugovora o funkcioniranju Europske unije na potpore de </w:t>
      </w:r>
      <w:proofErr w:type="spellStart"/>
      <w:r w:rsidRPr="008D66D5">
        <w:t>minimis</w:t>
      </w:r>
      <w:proofErr w:type="spellEnd"/>
      <w:r w:rsidRPr="008D66D5">
        <w:t xml:space="preserve"> u poljoprivrednom sektoru (SL L 352, 24.12.2013., str. 9.), Uredba Komisije (EU) br. 717/2014 od 27. lipnja 2014. o primjeni članaka 107. i 108. Ugovora o funkcioniranju Europske unije na de </w:t>
      </w:r>
      <w:proofErr w:type="spellStart"/>
      <w:r w:rsidRPr="008D66D5">
        <w:t>minimis</w:t>
      </w:r>
      <w:proofErr w:type="spellEnd"/>
      <w:r w:rsidRPr="008D66D5">
        <w:t xml:space="preserve"> potpore u sektoru ribarstva i akvakulture (SL L 190, 28.6.2014., str. 45.) i Uredba Komisije (EU) br. 360/2012 od 25. travnja 2012. o primjeni članaka 107. i 108. Ugovora o funkcioniranju Europske unije na potpore de </w:t>
      </w:r>
      <w:proofErr w:type="spellStart"/>
      <w:r w:rsidRPr="008D66D5">
        <w:t>minimis</w:t>
      </w:r>
      <w:proofErr w:type="spellEnd"/>
      <w:r w:rsidRPr="008D66D5">
        <w:t xml:space="preserve"> koje se dodjeljuju poduzetnicima koji pružaju usluge od općeg gospodarskog interesa (SL L 114 od 26.4.2012., str. 8.).</w:t>
      </w:r>
      <w:bookmarkEnd w:id="16"/>
    </w:p>
    <w:p w14:paraId="23198AF5" w14:textId="77777777" w:rsidR="008D66D5" w:rsidRDefault="008D66D5" w:rsidP="002451B4">
      <w:pPr>
        <w:pStyle w:val="FootnoteText"/>
        <w:jc w:val="both"/>
      </w:pPr>
    </w:p>
  </w:footnote>
  <w:footnote w:id="9">
    <w:p w14:paraId="5C18B3D0" w14:textId="25A62079" w:rsidR="008D66D5" w:rsidRDefault="008D66D5" w:rsidP="002451B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bookmarkStart w:id="17" w:name="_Hlk50654708"/>
      <w:r w:rsidRPr="008D66D5">
        <w:t>Uredba Komisije (EU) br. 651/2014 od 17. lipnja 2014. o ocjenjivanju određenih kategorija potpora spojivima s unutarnjim tržištem u primjeni članaka 107. i 108. Ugovora (Opća uredba o skupnom izuzeću), Uredba Komisije (EZ) br. 702/2014 od 25. lipnja 2014. o proglašenju određenih kategorija potpora u sektoru poljoprivrede i šumarstva te u ruralnim područjima spojivima s unutarnjim tržištem u primjeni članaka 107. i 108. Ugovora o funkcioniranju Europske unije, SL L 193, 1.7.2014., str. 1. i Uredba Komisije (EU) br. 1388/2014 od 16. prosinca 2014. o ocjenjivanju određenih kategorija potpora poduzetnicima koji se bave proizvodnjom, preradom i stavljanjem na tržište proizvoda ribarstva i akvakulture spojivima s unutarnjim tržištem u primjeni članaka 107. i 108. Ugovora o funkcioniranju Europske unije, SL L 369, 24.12.2014., str. 37.</w:t>
      </w:r>
      <w:bookmarkEnd w:id="1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AADC" w14:textId="77777777" w:rsidR="004D52EA" w:rsidRDefault="002F6F61" w:rsidP="001D6823">
    <w:pPr>
      <w:pStyle w:val="Header"/>
      <w:tabs>
        <w:tab w:val="clear" w:pos="9406"/>
        <w:tab w:val="right" w:pos="8460"/>
      </w:tabs>
    </w:pPr>
    <w:r>
      <w:rPr>
        <w:noProof/>
      </w:rPr>
      <w:drawing>
        <wp:inline distT="0" distB="0" distL="0" distR="0" wp14:anchorId="0EF209D7" wp14:editId="76703D04">
          <wp:extent cx="2415540" cy="776605"/>
          <wp:effectExtent l="0" t="0" r="0" b="0"/>
          <wp:docPr id="2" name="Picture 2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1a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48F1E" w14:textId="77777777" w:rsidR="004D52EA" w:rsidRDefault="004D5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88"/>
    <w:multiLevelType w:val="hybridMultilevel"/>
    <w:tmpl w:val="7F1E3F5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32D60"/>
    <w:multiLevelType w:val="multilevel"/>
    <w:tmpl w:val="FA0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426DF"/>
    <w:multiLevelType w:val="multilevel"/>
    <w:tmpl w:val="055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803B3"/>
    <w:multiLevelType w:val="multilevel"/>
    <w:tmpl w:val="350205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 w15:restartNumberingAfterBreak="0">
    <w:nsid w:val="0A6445CD"/>
    <w:multiLevelType w:val="hybridMultilevel"/>
    <w:tmpl w:val="360A79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5A04BF"/>
    <w:multiLevelType w:val="hybridMultilevel"/>
    <w:tmpl w:val="89EE03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1E3937"/>
    <w:multiLevelType w:val="hybridMultilevel"/>
    <w:tmpl w:val="889434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61EE4"/>
    <w:multiLevelType w:val="hybridMultilevel"/>
    <w:tmpl w:val="C8D2C998"/>
    <w:lvl w:ilvl="0" w:tplc="53683064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25E38"/>
    <w:multiLevelType w:val="multilevel"/>
    <w:tmpl w:val="B774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75BDC"/>
    <w:multiLevelType w:val="hybridMultilevel"/>
    <w:tmpl w:val="89A898E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8D2208"/>
    <w:multiLevelType w:val="multilevel"/>
    <w:tmpl w:val="74EE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00BD8"/>
    <w:multiLevelType w:val="multilevel"/>
    <w:tmpl w:val="1EB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1018D"/>
    <w:multiLevelType w:val="hybridMultilevel"/>
    <w:tmpl w:val="75302FC2"/>
    <w:lvl w:ilvl="0" w:tplc="6D6667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86D"/>
    <w:multiLevelType w:val="hybridMultilevel"/>
    <w:tmpl w:val="4EF0B79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22648A"/>
    <w:multiLevelType w:val="hybridMultilevel"/>
    <w:tmpl w:val="9CE214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5A51"/>
    <w:multiLevelType w:val="multilevel"/>
    <w:tmpl w:val="4E46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32F51"/>
    <w:multiLevelType w:val="multilevel"/>
    <w:tmpl w:val="4FCA5FF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91AA0"/>
    <w:multiLevelType w:val="multilevel"/>
    <w:tmpl w:val="5510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05DBE"/>
    <w:multiLevelType w:val="multilevel"/>
    <w:tmpl w:val="341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A281E"/>
    <w:multiLevelType w:val="hybridMultilevel"/>
    <w:tmpl w:val="436294E6"/>
    <w:lvl w:ilvl="0" w:tplc="26B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7DD7"/>
    <w:multiLevelType w:val="multilevel"/>
    <w:tmpl w:val="C3C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318A8"/>
    <w:multiLevelType w:val="hybridMultilevel"/>
    <w:tmpl w:val="2934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064A8"/>
    <w:multiLevelType w:val="multilevel"/>
    <w:tmpl w:val="4FCA5FF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4122E"/>
    <w:multiLevelType w:val="hybridMultilevel"/>
    <w:tmpl w:val="42A64DEA"/>
    <w:lvl w:ilvl="0" w:tplc="F022C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D7F11"/>
    <w:multiLevelType w:val="hybridMultilevel"/>
    <w:tmpl w:val="0C7E7F7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4C727D"/>
    <w:multiLevelType w:val="multilevel"/>
    <w:tmpl w:val="0B9E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2623A8"/>
    <w:multiLevelType w:val="hybridMultilevel"/>
    <w:tmpl w:val="C73A8770"/>
    <w:lvl w:ilvl="0" w:tplc="385A6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C4949"/>
    <w:multiLevelType w:val="multilevel"/>
    <w:tmpl w:val="2250BF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912C20"/>
    <w:multiLevelType w:val="hybridMultilevel"/>
    <w:tmpl w:val="192CF76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C4F20"/>
    <w:multiLevelType w:val="hybridMultilevel"/>
    <w:tmpl w:val="6A4A0326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A0AC0"/>
    <w:multiLevelType w:val="hybridMultilevel"/>
    <w:tmpl w:val="36FCBB4C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2A65F23"/>
    <w:multiLevelType w:val="hybridMultilevel"/>
    <w:tmpl w:val="37E00B7A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3140B"/>
    <w:multiLevelType w:val="multilevel"/>
    <w:tmpl w:val="1A6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9368B7"/>
    <w:multiLevelType w:val="multilevel"/>
    <w:tmpl w:val="1E1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387D76"/>
    <w:multiLevelType w:val="multilevel"/>
    <w:tmpl w:val="CD2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261E21"/>
    <w:multiLevelType w:val="multilevel"/>
    <w:tmpl w:val="32B4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A11CB8"/>
    <w:multiLevelType w:val="hybridMultilevel"/>
    <w:tmpl w:val="84CE4FE0"/>
    <w:lvl w:ilvl="0" w:tplc="24762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415F7"/>
    <w:multiLevelType w:val="hybridMultilevel"/>
    <w:tmpl w:val="673AB1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FA1C26"/>
    <w:multiLevelType w:val="hybridMultilevel"/>
    <w:tmpl w:val="2E305894"/>
    <w:lvl w:ilvl="0" w:tplc="A59A9F46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2486C"/>
    <w:multiLevelType w:val="hybridMultilevel"/>
    <w:tmpl w:val="4768F2CE"/>
    <w:lvl w:ilvl="0" w:tplc="C6F062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C4EB2"/>
    <w:multiLevelType w:val="multilevel"/>
    <w:tmpl w:val="8BB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70817"/>
    <w:multiLevelType w:val="multilevel"/>
    <w:tmpl w:val="F6B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B67BAA"/>
    <w:multiLevelType w:val="hybridMultilevel"/>
    <w:tmpl w:val="6F4C18B4"/>
    <w:lvl w:ilvl="0" w:tplc="9F12F0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7"/>
  </w:num>
  <w:num w:numId="4">
    <w:abstractNumId w:val="22"/>
  </w:num>
  <w:num w:numId="5">
    <w:abstractNumId w:val="16"/>
  </w:num>
  <w:num w:numId="6">
    <w:abstractNumId w:val="25"/>
  </w:num>
  <w:num w:numId="7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0"/>
  </w:num>
  <w:num w:numId="11">
    <w:abstractNumId w:val="24"/>
  </w:num>
  <w:num w:numId="12">
    <w:abstractNumId w:val="5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2"/>
  </w:num>
  <w:num w:numId="25">
    <w:abstractNumId w:val="4"/>
  </w:num>
  <w:num w:numId="26">
    <w:abstractNumId w:val="0"/>
  </w:num>
  <w:num w:numId="27">
    <w:abstractNumId w:val="27"/>
  </w:num>
  <w:num w:numId="28">
    <w:abstractNumId w:val="3"/>
  </w:num>
  <w:num w:numId="29">
    <w:abstractNumId w:val="39"/>
  </w:num>
  <w:num w:numId="30">
    <w:abstractNumId w:val="42"/>
  </w:num>
  <w:num w:numId="31">
    <w:abstractNumId w:val="14"/>
  </w:num>
  <w:num w:numId="32">
    <w:abstractNumId w:val="30"/>
  </w:num>
  <w:num w:numId="33">
    <w:abstractNumId w:val="28"/>
  </w:num>
  <w:num w:numId="34">
    <w:abstractNumId w:val="35"/>
  </w:num>
  <w:num w:numId="35">
    <w:abstractNumId w:val="26"/>
  </w:num>
  <w:num w:numId="36">
    <w:abstractNumId w:val="7"/>
  </w:num>
  <w:num w:numId="37">
    <w:abstractNumId w:val="21"/>
  </w:num>
  <w:num w:numId="38">
    <w:abstractNumId w:val="38"/>
  </w:num>
  <w:num w:numId="39">
    <w:abstractNumId w:val="29"/>
  </w:num>
  <w:num w:numId="40">
    <w:abstractNumId w:val="19"/>
  </w:num>
  <w:num w:numId="41">
    <w:abstractNumId w:val="31"/>
  </w:num>
  <w:num w:numId="42">
    <w:abstractNumId w:val="23"/>
  </w:num>
  <w:num w:numId="43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6"/>
    <w:rsid w:val="00000F9D"/>
    <w:rsid w:val="00001826"/>
    <w:rsid w:val="00003280"/>
    <w:rsid w:val="00004BC2"/>
    <w:rsid w:val="00012442"/>
    <w:rsid w:val="000132D7"/>
    <w:rsid w:val="00013964"/>
    <w:rsid w:val="0001599A"/>
    <w:rsid w:val="000173B4"/>
    <w:rsid w:val="00023E1B"/>
    <w:rsid w:val="000263BC"/>
    <w:rsid w:val="00032838"/>
    <w:rsid w:val="000336F5"/>
    <w:rsid w:val="000374C4"/>
    <w:rsid w:val="00037EAB"/>
    <w:rsid w:val="00043805"/>
    <w:rsid w:val="00045ABC"/>
    <w:rsid w:val="00045D28"/>
    <w:rsid w:val="00052E07"/>
    <w:rsid w:val="0005518C"/>
    <w:rsid w:val="00060005"/>
    <w:rsid w:val="00060DC1"/>
    <w:rsid w:val="00062270"/>
    <w:rsid w:val="000626D1"/>
    <w:rsid w:val="0006461F"/>
    <w:rsid w:val="0006537A"/>
    <w:rsid w:val="00065E16"/>
    <w:rsid w:val="00074265"/>
    <w:rsid w:val="00074F36"/>
    <w:rsid w:val="000765FB"/>
    <w:rsid w:val="00076C77"/>
    <w:rsid w:val="00087518"/>
    <w:rsid w:val="00090DCA"/>
    <w:rsid w:val="000920E8"/>
    <w:rsid w:val="00094387"/>
    <w:rsid w:val="0009480C"/>
    <w:rsid w:val="00095DF5"/>
    <w:rsid w:val="000A1D28"/>
    <w:rsid w:val="000A2E81"/>
    <w:rsid w:val="000A3DF0"/>
    <w:rsid w:val="000B6BB9"/>
    <w:rsid w:val="000C490A"/>
    <w:rsid w:val="000C50F8"/>
    <w:rsid w:val="000D6EDD"/>
    <w:rsid w:val="000D799F"/>
    <w:rsid w:val="000D7DF4"/>
    <w:rsid w:val="000E0DA9"/>
    <w:rsid w:val="000E7E4E"/>
    <w:rsid w:val="000F16C3"/>
    <w:rsid w:val="000F186E"/>
    <w:rsid w:val="000F2862"/>
    <w:rsid w:val="00100090"/>
    <w:rsid w:val="0010150C"/>
    <w:rsid w:val="00102BEF"/>
    <w:rsid w:val="00103DD2"/>
    <w:rsid w:val="001051FB"/>
    <w:rsid w:val="00111C3F"/>
    <w:rsid w:val="001232A1"/>
    <w:rsid w:val="0013108B"/>
    <w:rsid w:val="0014235E"/>
    <w:rsid w:val="0014309B"/>
    <w:rsid w:val="00143BCE"/>
    <w:rsid w:val="00144D97"/>
    <w:rsid w:val="00144E21"/>
    <w:rsid w:val="00147A82"/>
    <w:rsid w:val="00151F70"/>
    <w:rsid w:val="0015211B"/>
    <w:rsid w:val="001542F8"/>
    <w:rsid w:val="00162201"/>
    <w:rsid w:val="001644B7"/>
    <w:rsid w:val="00165206"/>
    <w:rsid w:val="00171141"/>
    <w:rsid w:val="001727F3"/>
    <w:rsid w:val="001803BA"/>
    <w:rsid w:val="0018113A"/>
    <w:rsid w:val="00182303"/>
    <w:rsid w:val="00182A10"/>
    <w:rsid w:val="00183F2D"/>
    <w:rsid w:val="00184450"/>
    <w:rsid w:val="001914F9"/>
    <w:rsid w:val="00194D3F"/>
    <w:rsid w:val="001A132C"/>
    <w:rsid w:val="001A187F"/>
    <w:rsid w:val="001A2470"/>
    <w:rsid w:val="001A52F3"/>
    <w:rsid w:val="001A5B07"/>
    <w:rsid w:val="001A73BD"/>
    <w:rsid w:val="001C09DF"/>
    <w:rsid w:val="001C6EE3"/>
    <w:rsid w:val="001D6823"/>
    <w:rsid w:val="001D6B7F"/>
    <w:rsid w:val="001D798E"/>
    <w:rsid w:val="001E266B"/>
    <w:rsid w:val="001F2306"/>
    <w:rsid w:val="001F3AE8"/>
    <w:rsid w:val="001F4C50"/>
    <w:rsid w:val="001F6DC5"/>
    <w:rsid w:val="001F79F1"/>
    <w:rsid w:val="0020543A"/>
    <w:rsid w:val="00205CC9"/>
    <w:rsid w:val="00206E18"/>
    <w:rsid w:val="0020773B"/>
    <w:rsid w:val="00213C39"/>
    <w:rsid w:val="0021708E"/>
    <w:rsid w:val="002177A5"/>
    <w:rsid w:val="00220892"/>
    <w:rsid w:val="00222520"/>
    <w:rsid w:val="00223B13"/>
    <w:rsid w:val="00224A83"/>
    <w:rsid w:val="00226A00"/>
    <w:rsid w:val="0023394D"/>
    <w:rsid w:val="00234850"/>
    <w:rsid w:val="002378E2"/>
    <w:rsid w:val="002427F8"/>
    <w:rsid w:val="002438E7"/>
    <w:rsid w:val="002451B4"/>
    <w:rsid w:val="002552F9"/>
    <w:rsid w:val="00262AEF"/>
    <w:rsid w:val="00265D65"/>
    <w:rsid w:val="002706B2"/>
    <w:rsid w:val="00272725"/>
    <w:rsid w:val="0027280A"/>
    <w:rsid w:val="00276E21"/>
    <w:rsid w:val="00283920"/>
    <w:rsid w:val="00285386"/>
    <w:rsid w:val="00287BA0"/>
    <w:rsid w:val="0029029B"/>
    <w:rsid w:val="002930D6"/>
    <w:rsid w:val="0029546E"/>
    <w:rsid w:val="002A61AF"/>
    <w:rsid w:val="002A7C36"/>
    <w:rsid w:val="002B21F5"/>
    <w:rsid w:val="002B2255"/>
    <w:rsid w:val="002B47BD"/>
    <w:rsid w:val="002B70D1"/>
    <w:rsid w:val="002C0BB6"/>
    <w:rsid w:val="002C1228"/>
    <w:rsid w:val="002C4AAB"/>
    <w:rsid w:val="002D098C"/>
    <w:rsid w:val="002E0F21"/>
    <w:rsid w:val="002E564E"/>
    <w:rsid w:val="002E5749"/>
    <w:rsid w:val="002F2507"/>
    <w:rsid w:val="002F3CC7"/>
    <w:rsid w:val="002F42C7"/>
    <w:rsid w:val="002F4FDE"/>
    <w:rsid w:val="002F6F61"/>
    <w:rsid w:val="00302F6E"/>
    <w:rsid w:val="0030475C"/>
    <w:rsid w:val="00304D63"/>
    <w:rsid w:val="00305A85"/>
    <w:rsid w:val="003134E8"/>
    <w:rsid w:val="00313F9A"/>
    <w:rsid w:val="00315CF1"/>
    <w:rsid w:val="0031666F"/>
    <w:rsid w:val="00321C69"/>
    <w:rsid w:val="00331625"/>
    <w:rsid w:val="0033200B"/>
    <w:rsid w:val="00335015"/>
    <w:rsid w:val="003356F4"/>
    <w:rsid w:val="00337322"/>
    <w:rsid w:val="003424EF"/>
    <w:rsid w:val="00346DA3"/>
    <w:rsid w:val="0035100E"/>
    <w:rsid w:val="00352725"/>
    <w:rsid w:val="0035336F"/>
    <w:rsid w:val="00353AD4"/>
    <w:rsid w:val="00354888"/>
    <w:rsid w:val="0035558B"/>
    <w:rsid w:val="00357274"/>
    <w:rsid w:val="0035764C"/>
    <w:rsid w:val="00361E20"/>
    <w:rsid w:val="00363AEA"/>
    <w:rsid w:val="003715B7"/>
    <w:rsid w:val="0037370E"/>
    <w:rsid w:val="0038068C"/>
    <w:rsid w:val="003811B5"/>
    <w:rsid w:val="003812B0"/>
    <w:rsid w:val="00384DAD"/>
    <w:rsid w:val="00386CA1"/>
    <w:rsid w:val="00387DEE"/>
    <w:rsid w:val="00391153"/>
    <w:rsid w:val="00391B35"/>
    <w:rsid w:val="003924A5"/>
    <w:rsid w:val="003949A8"/>
    <w:rsid w:val="0039503F"/>
    <w:rsid w:val="00397249"/>
    <w:rsid w:val="003A2E95"/>
    <w:rsid w:val="003A32CE"/>
    <w:rsid w:val="003A3695"/>
    <w:rsid w:val="003A6768"/>
    <w:rsid w:val="003B0CF7"/>
    <w:rsid w:val="003B0F8C"/>
    <w:rsid w:val="003B1B31"/>
    <w:rsid w:val="003C164D"/>
    <w:rsid w:val="003C1AF4"/>
    <w:rsid w:val="003C5E5C"/>
    <w:rsid w:val="003C604C"/>
    <w:rsid w:val="003C6E4F"/>
    <w:rsid w:val="003D3375"/>
    <w:rsid w:val="003D75FE"/>
    <w:rsid w:val="003E3737"/>
    <w:rsid w:val="003E39CC"/>
    <w:rsid w:val="003E42DB"/>
    <w:rsid w:val="003E649C"/>
    <w:rsid w:val="003E6A0A"/>
    <w:rsid w:val="003F28EA"/>
    <w:rsid w:val="00403824"/>
    <w:rsid w:val="00404737"/>
    <w:rsid w:val="00405FAD"/>
    <w:rsid w:val="00410A34"/>
    <w:rsid w:val="00417F37"/>
    <w:rsid w:val="00424332"/>
    <w:rsid w:val="004267A4"/>
    <w:rsid w:val="00442CEA"/>
    <w:rsid w:val="00445439"/>
    <w:rsid w:val="00446C3A"/>
    <w:rsid w:val="004501A4"/>
    <w:rsid w:val="0045095C"/>
    <w:rsid w:val="00452488"/>
    <w:rsid w:val="0045407F"/>
    <w:rsid w:val="00455774"/>
    <w:rsid w:val="00455CC8"/>
    <w:rsid w:val="00455D6C"/>
    <w:rsid w:val="00460A21"/>
    <w:rsid w:val="00462325"/>
    <w:rsid w:val="00470908"/>
    <w:rsid w:val="00472095"/>
    <w:rsid w:val="00474C6C"/>
    <w:rsid w:val="00475B95"/>
    <w:rsid w:val="00482864"/>
    <w:rsid w:val="00486050"/>
    <w:rsid w:val="00486664"/>
    <w:rsid w:val="004868B8"/>
    <w:rsid w:val="004917FE"/>
    <w:rsid w:val="0049238D"/>
    <w:rsid w:val="00492F12"/>
    <w:rsid w:val="0049418E"/>
    <w:rsid w:val="00494930"/>
    <w:rsid w:val="00496A35"/>
    <w:rsid w:val="004970E6"/>
    <w:rsid w:val="004974A2"/>
    <w:rsid w:val="004A04B5"/>
    <w:rsid w:val="004A39B1"/>
    <w:rsid w:val="004A6720"/>
    <w:rsid w:val="004B0CBF"/>
    <w:rsid w:val="004C1291"/>
    <w:rsid w:val="004C1F08"/>
    <w:rsid w:val="004C744B"/>
    <w:rsid w:val="004D52EA"/>
    <w:rsid w:val="004D79B0"/>
    <w:rsid w:val="004E02B7"/>
    <w:rsid w:val="004E1794"/>
    <w:rsid w:val="004F1474"/>
    <w:rsid w:val="004F3F0A"/>
    <w:rsid w:val="004F62A0"/>
    <w:rsid w:val="004F70E0"/>
    <w:rsid w:val="005032FD"/>
    <w:rsid w:val="005069CD"/>
    <w:rsid w:val="00507633"/>
    <w:rsid w:val="0051494D"/>
    <w:rsid w:val="00522779"/>
    <w:rsid w:val="00525018"/>
    <w:rsid w:val="00525073"/>
    <w:rsid w:val="005251A6"/>
    <w:rsid w:val="00527D2A"/>
    <w:rsid w:val="00534BE9"/>
    <w:rsid w:val="005351E5"/>
    <w:rsid w:val="005424A2"/>
    <w:rsid w:val="005463CB"/>
    <w:rsid w:val="00550C31"/>
    <w:rsid w:val="00550C4B"/>
    <w:rsid w:val="005540A0"/>
    <w:rsid w:val="00556415"/>
    <w:rsid w:val="0055662B"/>
    <w:rsid w:val="00556A85"/>
    <w:rsid w:val="00564967"/>
    <w:rsid w:val="00572163"/>
    <w:rsid w:val="00573911"/>
    <w:rsid w:val="00576EA4"/>
    <w:rsid w:val="00577848"/>
    <w:rsid w:val="00581C8B"/>
    <w:rsid w:val="00581F02"/>
    <w:rsid w:val="00583283"/>
    <w:rsid w:val="00585D27"/>
    <w:rsid w:val="00591567"/>
    <w:rsid w:val="00591FA0"/>
    <w:rsid w:val="005974C8"/>
    <w:rsid w:val="005A36C6"/>
    <w:rsid w:val="005A4446"/>
    <w:rsid w:val="005B003C"/>
    <w:rsid w:val="005B1290"/>
    <w:rsid w:val="005B2592"/>
    <w:rsid w:val="005B5749"/>
    <w:rsid w:val="005B6301"/>
    <w:rsid w:val="005C0FF6"/>
    <w:rsid w:val="005D3A82"/>
    <w:rsid w:val="005D6A5C"/>
    <w:rsid w:val="005E09DB"/>
    <w:rsid w:val="005E19AA"/>
    <w:rsid w:val="005E42D0"/>
    <w:rsid w:val="005E449C"/>
    <w:rsid w:val="005F1009"/>
    <w:rsid w:val="005F2346"/>
    <w:rsid w:val="005F2D7F"/>
    <w:rsid w:val="005F5D82"/>
    <w:rsid w:val="00601DD6"/>
    <w:rsid w:val="00602D19"/>
    <w:rsid w:val="00604D58"/>
    <w:rsid w:val="006073CB"/>
    <w:rsid w:val="00607BB2"/>
    <w:rsid w:val="006119E1"/>
    <w:rsid w:val="006141BE"/>
    <w:rsid w:val="006153D7"/>
    <w:rsid w:val="00616027"/>
    <w:rsid w:val="0062583A"/>
    <w:rsid w:val="006269B9"/>
    <w:rsid w:val="006310C9"/>
    <w:rsid w:val="00634FB1"/>
    <w:rsid w:val="00635AA8"/>
    <w:rsid w:val="00635C95"/>
    <w:rsid w:val="006428AC"/>
    <w:rsid w:val="00646C70"/>
    <w:rsid w:val="00654FC1"/>
    <w:rsid w:val="0065565C"/>
    <w:rsid w:val="00657054"/>
    <w:rsid w:val="00660001"/>
    <w:rsid w:val="00662387"/>
    <w:rsid w:val="006726BB"/>
    <w:rsid w:val="006775C7"/>
    <w:rsid w:val="0068053D"/>
    <w:rsid w:val="0068613D"/>
    <w:rsid w:val="00691866"/>
    <w:rsid w:val="006951F3"/>
    <w:rsid w:val="006958FF"/>
    <w:rsid w:val="006A4737"/>
    <w:rsid w:val="006B061C"/>
    <w:rsid w:val="006B102D"/>
    <w:rsid w:val="006B1CB8"/>
    <w:rsid w:val="006B2ED8"/>
    <w:rsid w:val="006B3540"/>
    <w:rsid w:val="006C19FA"/>
    <w:rsid w:val="006C34DC"/>
    <w:rsid w:val="006D1085"/>
    <w:rsid w:val="006D3705"/>
    <w:rsid w:val="006D4A03"/>
    <w:rsid w:val="006D718C"/>
    <w:rsid w:val="006E0C3C"/>
    <w:rsid w:val="006E2CA9"/>
    <w:rsid w:val="006E46B4"/>
    <w:rsid w:val="006E6470"/>
    <w:rsid w:val="00701893"/>
    <w:rsid w:val="00706F96"/>
    <w:rsid w:val="00712B35"/>
    <w:rsid w:val="00716EAD"/>
    <w:rsid w:val="00717CFA"/>
    <w:rsid w:val="007222E5"/>
    <w:rsid w:val="00723595"/>
    <w:rsid w:val="00724B21"/>
    <w:rsid w:val="00724D3F"/>
    <w:rsid w:val="0072528A"/>
    <w:rsid w:val="0073434F"/>
    <w:rsid w:val="00734F88"/>
    <w:rsid w:val="00740D80"/>
    <w:rsid w:val="00747CCA"/>
    <w:rsid w:val="00751D9E"/>
    <w:rsid w:val="00753694"/>
    <w:rsid w:val="0076194C"/>
    <w:rsid w:val="007645EF"/>
    <w:rsid w:val="00765242"/>
    <w:rsid w:val="00767224"/>
    <w:rsid w:val="00780EC2"/>
    <w:rsid w:val="00785EC3"/>
    <w:rsid w:val="0078684A"/>
    <w:rsid w:val="007946E6"/>
    <w:rsid w:val="007A1E96"/>
    <w:rsid w:val="007A5DD7"/>
    <w:rsid w:val="007A62E1"/>
    <w:rsid w:val="007B3BF7"/>
    <w:rsid w:val="007B51CC"/>
    <w:rsid w:val="007B7C82"/>
    <w:rsid w:val="007C165E"/>
    <w:rsid w:val="007C4A4D"/>
    <w:rsid w:val="007D24F7"/>
    <w:rsid w:val="007D4FCA"/>
    <w:rsid w:val="007D553C"/>
    <w:rsid w:val="007E04DB"/>
    <w:rsid w:val="007E236A"/>
    <w:rsid w:val="007E5867"/>
    <w:rsid w:val="007E6E67"/>
    <w:rsid w:val="007E796A"/>
    <w:rsid w:val="007F1388"/>
    <w:rsid w:val="007F26CD"/>
    <w:rsid w:val="007F32E2"/>
    <w:rsid w:val="007F7CD0"/>
    <w:rsid w:val="00810849"/>
    <w:rsid w:val="008123A6"/>
    <w:rsid w:val="00816085"/>
    <w:rsid w:val="00823F03"/>
    <w:rsid w:val="008252F9"/>
    <w:rsid w:val="00825803"/>
    <w:rsid w:val="0082643C"/>
    <w:rsid w:val="00826AFE"/>
    <w:rsid w:val="008307DD"/>
    <w:rsid w:val="008358CF"/>
    <w:rsid w:val="0083661B"/>
    <w:rsid w:val="00844668"/>
    <w:rsid w:val="00853199"/>
    <w:rsid w:val="00853ED3"/>
    <w:rsid w:val="00860611"/>
    <w:rsid w:val="0086109F"/>
    <w:rsid w:val="0086287D"/>
    <w:rsid w:val="00865D63"/>
    <w:rsid w:val="00866A8A"/>
    <w:rsid w:val="00870A52"/>
    <w:rsid w:val="00871385"/>
    <w:rsid w:val="008773A7"/>
    <w:rsid w:val="00881794"/>
    <w:rsid w:val="00885F7F"/>
    <w:rsid w:val="00887F91"/>
    <w:rsid w:val="00895648"/>
    <w:rsid w:val="008963EF"/>
    <w:rsid w:val="008A0B16"/>
    <w:rsid w:val="008A46AD"/>
    <w:rsid w:val="008A728E"/>
    <w:rsid w:val="008A7E8A"/>
    <w:rsid w:val="008A7F0B"/>
    <w:rsid w:val="008B154B"/>
    <w:rsid w:val="008B39DE"/>
    <w:rsid w:val="008B57DC"/>
    <w:rsid w:val="008C0151"/>
    <w:rsid w:val="008C2BCD"/>
    <w:rsid w:val="008C4478"/>
    <w:rsid w:val="008C5813"/>
    <w:rsid w:val="008C7B28"/>
    <w:rsid w:val="008D19EF"/>
    <w:rsid w:val="008D4E6D"/>
    <w:rsid w:val="008D66D5"/>
    <w:rsid w:val="008E0B20"/>
    <w:rsid w:val="008E1482"/>
    <w:rsid w:val="008F0162"/>
    <w:rsid w:val="008F22AD"/>
    <w:rsid w:val="009003F3"/>
    <w:rsid w:val="0090361E"/>
    <w:rsid w:val="009056B4"/>
    <w:rsid w:val="009122CD"/>
    <w:rsid w:val="0091423D"/>
    <w:rsid w:val="00915BAD"/>
    <w:rsid w:val="00921243"/>
    <w:rsid w:val="009215FC"/>
    <w:rsid w:val="00922B1B"/>
    <w:rsid w:val="00923E93"/>
    <w:rsid w:val="00932187"/>
    <w:rsid w:val="00933283"/>
    <w:rsid w:val="0093718A"/>
    <w:rsid w:val="0094031C"/>
    <w:rsid w:val="009403FC"/>
    <w:rsid w:val="00940C06"/>
    <w:rsid w:val="00941B7F"/>
    <w:rsid w:val="00942CF5"/>
    <w:rsid w:val="00944B67"/>
    <w:rsid w:val="0094600D"/>
    <w:rsid w:val="00947DAC"/>
    <w:rsid w:val="00950E9A"/>
    <w:rsid w:val="0095279F"/>
    <w:rsid w:val="009535D4"/>
    <w:rsid w:val="00954BBB"/>
    <w:rsid w:val="00956799"/>
    <w:rsid w:val="00962547"/>
    <w:rsid w:val="0096522B"/>
    <w:rsid w:val="0096585E"/>
    <w:rsid w:val="0096600A"/>
    <w:rsid w:val="009677DF"/>
    <w:rsid w:val="009678C3"/>
    <w:rsid w:val="00976232"/>
    <w:rsid w:val="00976663"/>
    <w:rsid w:val="00982466"/>
    <w:rsid w:val="00982DB8"/>
    <w:rsid w:val="009955DD"/>
    <w:rsid w:val="009958F2"/>
    <w:rsid w:val="009A4A70"/>
    <w:rsid w:val="009B03AD"/>
    <w:rsid w:val="009B090D"/>
    <w:rsid w:val="009B1C5E"/>
    <w:rsid w:val="009B434B"/>
    <w:rsid w:val="009B69BC"/>
    <w:rsid w:val="009B71B7"/>
    <w:rsid w:val="009B742D"/>
    <w:rsid w:val="009C3A77"/>
    <w:rsid w:val="009D049A"/>
    <w:rsid w:val="009D08DE"/>
    <w:rsid w:val="009D6AEC"/>
    <w:rsid w:val="009E4200"/>
    <w:rsid w:val="009E4ADF"/>
    <w:rsid w:val="009E4D2E"/>
    <w:rsid w:val="009E5A47"/>
    <w:rsid w:val="009F2BD1"/>
    <w:rsid w:val="009F2DAB"/>
    <w:rsid w:val="009F3CDD"/>
    <w:rsid w:val="009F7A56"/>
    <w:rsid w:val="00A00BEE"/>
    <w:rsid w:val="00A024D5"/>
    <w:rsid w:val="00A06AF7"/>
    <w:rsid w:val="00A07A9E"/>
    <w:rsid w:val="00A16E82"/>
    <w:rsid w:val="00A22404"/>
    <w:rsid w:val="00A22546"/>
    <w:rsid w:val="00A307AE"/>
    <w:rsid w:val="00A30C7D"/>
    <w:rsid w:val="00A34F26"/>
    <w:rsid w:val="00A3678C"/>
    <w:rsid w:val="00A44E68"/>
    <w:rsid w:val="00A5418A"/>
    <w:rsid w:val="00A56943"/>
    <w:rsid w:val="00A61A31"/>
    <w:rsid w:val="00A61C64"/>
    <w:rsid w:val="00A67A40"/>
    <w:rsid w:val="00A71E25"/>
    <w:rsid w:val="00A77855"/>
    <w:rsid w:val="00A83072"/>
    <w:rsid w:val="00A922E8"/>
    <w:rsid w:val="00A95AFD"/>
    <w:rsid w:val="00AA16CA"/>
    <w:rsid w:val="00AA2192"/>
    <w:rsid w:val="00AA41D3"/>
    <w:rsid w:val="00AA41ED"/>
    <w:rsid w:val="00AA7001"/>
    <w:rsid w:val="00AB119D"/>
    <w:rsid w:val="00AB1414"/>
    <w:rsid w:val="00AB282B"/>
    <w:rsid w:val="00AB6A47"/>
    <w:rsid w:val="00AB7530"/>
    <w:rsid w:val="00AC0913"/>
    <w:rsid w:val="00AC558D"/>
    <w:rsid w:val="00AC6E19"/>
    <w:rsid w:val="00AC6F4C"/>
    <w:rsid w:val="00AC7981"/>
    <w:rsid w:val="00AD28EC"/>
    <w:rsid w:val="00AD3A15"/>
    <w:rsid w:val="00AD413A"/>
    <w:rsid w:val="00AD46D0"/>
    <w:rsid w:val="00AD4F2B"/>
    <w:rsid w:val="00AD57C6"/>
    <w:rsid w:val="00AD672E"/>
    <w:rsid w:val="00AD789C"/>
    <w:rsid w:val="00AD7CB8"/>
    <w:rsid w:val="00AE4701"/>
    <w:rsid w:val="00AE48F2"/>
    <w:rsid w:val="00AE567A"/>
    <w:rsid w:val="00AE7272"/>
    <w:rsid w:val="00AE754C"/>
    <w:rsid w:val="00AE7D67"/>
    <w:rsid w:val="00AF0BFA"/>
    <w:rsid w:val="00AF4556"/>
    <w:rsid w:val="00AF45C7"/>
    <w:rsid w:val="00AF6FBF"/>
    <w:rsid w:val="00B04D6A"/>
    <w:rsid w:val="00B05D37"/>
    <w:rsid w:val="00B05FD9"/>
    <w:rsid w:val="00B13184"/>
    <w:rsid w:val="00B131C7"/>
    <w:rsid w:val="00B26E83"/>
    <w:rsid w:val="00B27DDC"/>
    <w:rsid w:val="00B30D88"/>
    <w:rsid w:val="00B31C16"/>
    <w:rsid w:val="00B331DD"/>
    <w:rsid w:val="00B35DEC"/>
    <w:rsid w:val="00B4317E"/>
    <w:rsid w:val="00B450B6"/>
    <w:rsid w:val="00B45843"/>
    <w:rsid w:val="00B46633"/>
    <w:rsid w:val="00B5044C"/>
    <w:rsid w:val="00B515B0"/>
    <w:rsid w:val="00B52CDA"/>
    <w:rsid w:val="00B52ECA"/>
    <w:rsid w:val="00B55838"/>
    <w:rsid w:val="00B614DD"/>
    <w:rsid w:val="00B64574"/>
    <w:rsid w:val="00B64FE2"/>
    <w:rsid w:val="00B65EF5"/>
    <w:rsid w:val="00B67B50"/>
    <w:rsid w:val="00B70C8C"/>
    <w:rsid w:val="00B74860"/>
    <w:rsid w:val="00B821D1"/>
    <w:rsid w:val="00B84C80"/>
    <w:rsid w:val="00B925AA"/>
    <w:rsid w:val="00B935F1"/>
    <w:rsid w:val="00B937A8"/>
    <w:rsid w:val="00B96D91"/>
    <w:rsid w:val="00B9744A"/>
    <w:rsid w:val="00BA141B"/>
    <w:rsid w:val="00BA2068"/>
    <w:rsid w:val="00BA51F4"/>
    <w:rsid w:val="00BB0C93"/>
    <w:rsid w:val="00BB1CFE"/>
    <w:rsid w:val="00BB4E94"/>
    <w:rsid w:val="00BC185C"/>
    <w:rsid w:val="00BC26B7"/>
    <w:rsid w:val="00BC329F"/>
    <w:rsid w:val="00BC39DB"/>
    <w:rsid w:val="00BC59FC"/>
    <w:rsid w:val="00BC77DE"/>
    <w:rsid w:val="00BD0A61"/>
    <w:rsid w:val="00BD1AAE"/>
    <w:rsid w:val="00BD2828"/>
    <w:rsid w:val="00BD78FC"/>
    <w:rsid w:val="00BD7ADB"/>
    <w:rsid w:val="00BE20A5"/>
    <w:rsid w:val="00BE6DCE"/>
    <w:rsid w:val="00BF00B3"/>
    <w:rsid w:val="00BF01A5"/>
    <w:rsid w:val="00BF11FD"/>
    <w:rsid w:val="00BF4469"/>
    <w:rsid w:val="00BF458F"/>
    <w:rsid w:val="00BF5128"/>
    <w:rsid w:val="00BF5628"/>
    <w:rsid w:val="00BF5C42"/>
    <w:rsid w:val="00C07028"/>
    <w:rsid w:val="00C21746"/>
    <w:rsid w:val="00C217EB"/>
    <w:rsid w:val="00C21FC8"/>
    <w:rsid w:val="00C24DCC"/>
    <w:rsid w:val="00C401E6"/>
    <w:rsid w:val="00C42061"/>
    <w:rsid w:val="00C422D6"/>
    <w:rsid w:val="00C44693"/>
    <w:rsid w:val="00C46D1D"/>
    <w:rsid w:val="00C51787"/>
    <w:rsid w:val="00C55025"/>
    <w:rsid w:val="00C5585D"/>
    <w:rsid w:val="00C64154"/>
    <w:rsid w:val="00C66AE0"/>
    <w:rsid w:val="00C66E78"/>
    <w:rsid w:val="00C713D2"/>
    <w:rsid w:val="00C73D9A"/>
    <w:rsid w:val="00C74038"/>
    <w:rsid w:val="00C83AC5"/>
    <w:rsid w:val="00C84626"/>
    <w:rsid w:val="00C87358"/>
    <w:rsid w:val="00C92CC1"/>
    <w:rsid w:val="00CA1834"/>
    <w:rsid w:val="00CA4A35"/>
    <w:rsid w:val="00CA7463"/>
    <w:rsid w:val="00CB08F9"/>
    <w:rsid w:val="00CB0B8D"/>
    <w:rsid w:val="00CB390D"/>
    <w:rsid w:val="00CB6BDA"/>
    <w:rsid w:val="00CE0655"/>
    <w:rsid w:val="00CE094D"/>
    <w:rsid w:val="00CE2777"/>
    <w:rsid w:val="00CE42EF"/>
    <w:rsid w:val="00CE4DC1"/>
    <w:rsid w:val="00CE77C5"/>
    <w:rsid w:val="00CF0F9E"/>
    <w:rsid w:val="00CF23F0"/>
    <w:rsid w:val="00CF627C"/>
    <w:rsid w:val="00CF78B7"/>
    <w:rsid w:val="00D0465C"/>
    <w:rsid w:val="00D15E02"/>
    <w:rsid w:val="00D15E8E"/>
    <w:rsid w:val="00D17886"/>
    <w:rsid w:val="00D17D8E"/>
    <w:rsid w:val="00D24D7B"/>
    <w:rsid w:val="00D2519D"/>
    <w:rsid w:val="00D25C3B"/>
    <w:rsid w:val="00D2729C"/>
    <w:rsid w:val="00D30ED5"/>
    <w:rsid w:val="00D33DD1"/>
    <w:rsid w:val="00D34183"/>
    <w:rsid w:val="00D34EA1"/>
    <w:rsid w:val="00D44FBC"/>
    <w:rsid w:val="00D460FC"/>
    <w:rsid w:val="00D46A42"/>
    <w:rsid w:val="00D474AE"/>
    <w:rsid w:val="00D5268D"/>
    <w:rsid w:val="00D57072"/>
    <w:rsid w:val="00D61925"/>
    <w:rsid w:val="00D644C6"/>
    <w:rsid w:val="00D708E5"/>
    <w:rsid w:val="00D70C2F"/>
    <w:rsid w:val="00D71D29"/>
    <w:rsid w:val="00D72DFF"/>
    <w:rsid w:val="00D840D4"/>
    <w:rsid w:val="00D863DD"/>
    <w:rsid w:val="00D90852"/>
    <w:rsid w:val="00D94154"/>
    <w:rsid w:val="00D97FB1"/>
    <w:rsid w:val="00DA2C3B"/>
    <w:rsid w:val="00DA531D"/>
    <w:rsid w:val="00DA70EF"/>
    <w:rsid w:val="00DB3BB9"/>
    <w:rsid w:val="00DB3F3B"/>
    <w:rsid w:val="00DC1FCC"/>
    <w:rsid w:val="00DC2BE1"/>
    <w:rsid w:val="00DC6587"/>
    <w:rsid w:val="00DD050C"/>
    <w:rsid w:val="00DE4BBE"/>
    <w:rsid w:val="00DE697C"/>
    <w:rsid w:val="00DF178E"/>
    <w:rsid w:val="00DF2101"/>
    <w:rsid w:val="00DF2127"/>
    <w:rsid w:val="00DF4B2E"/>
    <w:rsid w:val="00E0009B"/>
    <w:rsid w:val="00E01221"/>
    <w:rsid w:val="00E02914"/>
    <w:rsid w:val="00E04484"/>
    <w:rsid w:val="00E06E15"/>
    <w:rsid w:val="00E10310"/>
    <w:rsid w:val="00E11342"/>
    <w:rsid w:val="00E15AA6"/>
    <w:rsid w:val="00E15AB3"/>
    <w:rsid w:val="00E16B30"/>
    <w:rsid w:val="00E20284"/>
    <w:rsid w:val="00E20756"/>
    <w:rsid w:val="00E22C6A"/>
    <w:rsid w:val="00E24080"/>
    <w:rsid w:val="00E263BF"/>
    <w:rsid w:val="00E311AE"/>
    <w:rsid w:val="00E31BCA"/>
    <w:rsid w:val="00E332DC"/>
    <w:rsid w:val="00E34335"/>
    <w:rsid w:val="00E401FE"/>
    <w:rsid w:val="00E42203"/>
    <w:rsid w:val="00E43834"/>
    <w:rsid w:val="00E445F0"/>
    <w:rsid w:val="00E457F1"/>
    <w:rsid w:val="00E46014"/>
    <w:rsid w:val="00E4631A"/>
    <w:rsid w:val="00E503F5"/>
    <w:rsid w:val="00E5241F"/>
    <w:rsid w:val="00E526F5"/>
    <w:rsid w:val="00E52EF0"/>
    <w:rsid w:val="00E54685"/>
    <w:rsid w:val="00E55532"/>
    <w:rsid w:val="00E55E72"/>
    <w:rsid w:val="00E56D88"/>
    <w:rsid w:val="00E57FD2"/>
    <w:rsid w:val="00E65739"/>
    <w:rsid w:val="00E667EB"/>
    <w:rsid w:val="00E66A05"/>
    <w:rsid w:val="00E66B9B"/>
    <w:rsid w:val="00E67713"/>
    <w:rsid w:val="00E72042"/>
    <w:rsid w:val="00E73BC5"/>
    <w:rsid w:val="00E8055F"/>
    <w:rsid w:val="00E905CC"/>
    <w:rsid w:val="00EB14F9"/>
    <w:rsid w:val="00EB1E64"/>
    <w:rsid w:val="00EB2844"/>
    <w:rsid w:val="00EB73D9"/>
    <w:rsid w:val="00EC43F8"/>
    <w:rsid w:val="00EC4CFB"/>
    <w:rsid w:val="00ED14C7"/>
    <w:rsid w:val="00ED1E27"/>
    <w:rsid w:val="00ED56E9"/>
    <w:rsid w:val="00ED59E5"/>
    <w:rsid w:val="00ED7089"/>
    <w:rsid w:val="00EF2314"/>
    <w:rsid w:val="00EF430A"/>
    <w:rsid w:val="00EF72E4"/>
    <w:rsid w:val="00F03030"/>
    <w:rsid w:val="00F047F7"/>
    <w:rsid w:val="00F06AC2"/>
    <w:rsid w:val="00F06C9A"/>
    <w:rsid w:val="00F07A1E"/>
    <w:rsid w:val="00F1005D"/>
    <w:rsid w:val="00F10226"/>
    <w:rsid w:val="00F11296"/>
    <w:rsid w:val="00F121D3"/>
    <w:rsid w:val="00F16A4A"/>
    <w:rsid w:val="00F16E3D"/>
    <w:rsid w:val="00F20173"/>
    <w:rsid w:val="00F2046B"/>
    <w:rsid w:val="00F20BB4"/>
    <w:rsid w:val="00F26A19"/>
    <w:rsid w:val="00F338FB"/>
    <w:rsid w:val="00F364A8"/>
    <w:rsid w:val="00F4187C"/>
    <w:rsid w:val="00F45999"/>
    <w:rsid w:val="00F460DB"/>
    <w:rsid w:val="00F50F5F"/>
    <w:rsid w:val="00F51E3C"/>
    <w:rsid w:val="00F5430B"/>
    <w:rsid w:val="00F54A29"/>
    <w:rsid w:val="00F55EE6"/>
    <w:rsid w:val="00F62CCE"/>
    <w:rsid w:val="00F66D23"/>
    <w:rsid w:val="00F6734B"/>
    <w:rsid w:val="00F71701"/>
    <w:rsid w:val="00F73448"/>
    <w:rsid w:val="00F73F25"/>
    <w:rsid w:val="00F756B4"/>
    <w:rsid w:val="00F82832"/>
    <w:rsid w:val="00F8540D"/>
    <w:rsid w:val="00F877C3"/>
    <w:rsid w:val="00F87C90"/>
    <w:rsid w:val="00F9786F"/>
    <w:rsid w:val="00FA3710"/>
    <w:rsid w:val="00FA3D68"/>
    <w:rsid w:val="00FA4B06"/>
    <w:rsid w:val="00FA6050"/>
    <w:rsid w:val="00FA614B"/>
    <w:rsid w:val="00FB0ADD"/>
    <w:rsid w:val="00FB1150"/>
    <w:rsid w:val="00FB2363"/>
    <w:rsid w:val="00FB53F1"/>
    <w:rsid w:val="00FB6F2A"/>
    <w:rsid w:val="00FD2EB1"/>
    <w:rsid w:val="00FD6FC2"/>
    <w:rsid w:val="00FE1033"/>
    <w:rsid w:val="00FE2D19"/>
    <w:rsid w:val="00FF0F27"/>
    <w:rsid w:val="00FF3370"/>
    <w:rsid w:val="00FF34A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C5CB6"/>
  <w15:docId w15:val="{5EC01E3E-FE59-4220-A037-B81D540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003F3"/>
    <w:pPr>
      <w:tabs>
        <w:tab w:val="center" w:pos="4703"/>
        <w:tab w:val="right" w:pos="9406"/>
      </w:tabs>
    </w:pPr>
  </w:style>
  <w:style w:type="character" w:customStyle="1" w:styleId="emailstyle17">
    <w:name w:val="emailstyle17"/>
    <w:semiHidden/>
    <w:rsid w:val="00E5241F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E10310"/>
  </w:style>
  <w:style w:type="table" w:styleId="TableGrid">
    <w:name w:val="Table Grid"/>
    <w:basedOn w:val="TableNormal"/>
    <w:rsid w:val="003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7A1E"/>
    <w:rPr>
      <w:color w:val="0000FF"/>
      <w:u w:val="single"/>
    </w:rPr>
  </w:style>
  <w:style w:type="paragraph" w:styleId="BalloonText">
    <w:name w:val="Balloon Text"/>
    <w:basedOn w:val="Normal"/>
    <w:semiHidden/>
    <w:rsid w:val="00F16A4A"/>
    <w:rPr>
      <w:rFonts w:ascii="Tahoma" w:hAnsi="Tahoma" w:cs="Tahoma"/>
      <w:sz w:val="16"/>
      <w:szCs w:val="16"/>
    </w:rPr>
  </w:style>
  <w:style w:type="character" w:styleId="Strong">
    <w:name w:val="Strong"/>
    <w:qFormat/>
    <w:rsid w:val="00003280"/>
    <w:rPr>
      <w:b/>
      <w:bCs/>
    </w:rPr>
  </w:style>
  <w:style w:type="character" w:customStyle="1" w:styleId="st">
    <w:name w:val="st"/>
    <w:rsid w:val="00D57072"/>
  </w:style>
  <w:style w:type="paragraph" w:styleId="ListParagraph">
    <w:name w:val="List Paragraph"/>
    <w:basedOn w:val="Normal"/>
    <w:uiPriority w:val="99"/>
    <w:qFormat/>
    <w:rsid w:val="003949A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338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3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38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8FB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AC79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7981"/>
  </w:style>
  <w:style w:type="character" w:styleId="FootnoteReference">
    <w:name w:val="footnote reference"/>
    <w:basedOn w:val="DefaultParagraphFont"/>
    <w:semiHidden/>
    <w:unhideWhenUsed/>
    <w:rsid w:val="00AC798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8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870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52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8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9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34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87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21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84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722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535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2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70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3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0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11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87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6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F7F712310654EAB1B0117BA8862EC" ma:contentTypeVersion="1" ma:contentTypeDescription="Create a new document." ma:contentTypeScope="" ma:versionID="599a9ccd80e17a24517cd2e065a15a0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13d209ee6fcbad0fc41235b99368786a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E1D8-0D9E-4644-B3D0-52C831B0A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C9D1C-3E02-4DA1-BEFD-67B4847C1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B97D4-B1AA-448C-A7D5-048D8429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3028E-F534-43AA-A206-52FEEBFC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OSIGURANJE IZVOZA</vt:lpstr>
    </vt:vector>
  </TitlesOfParts>
  <Company>HBOR</Company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OSIGURANJE IZVOZA</dc:title>
  <dc:subject/>
  <dc:creator>Kupanovac, Gabrijela</dc:creator>
  <cp:keywords/>
  <cp:lastModifiedBy>Radić Tanja</cp:lastModifiedBy>
  <cp:revision>2</cp:revision>
  <cp:lastPrinted>2014-09-19T19:53:00Z</cp:lastPrinted>
  <dcterms:created xsi:type="dcterms:W3CDTF">2020-12-09T07:45:00Z</dcterms:created>
  <dcterms:modified xsi:type="dcterms:W3CDTF">2020-12-09T07:45:00Z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0x010100A33F7F712310654EAB1B0117BA8862EC</vt:lpwstr>
  </property>
</Properties>
</file>