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FF2D" w14:textId="1FC6C36C" w:rsidR="00D35B1D" w:rsidRDefault="00D35B1D" w:rsidP="00824F4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43C301" w14:textId="77777777" w:rsidR="00257B37" w:rsidRPr="003B39F2" w:rsidRDefault="00257B37" w:rsidP="00824F4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80693D" w14:textId="77777777" w:rsidR="00FD20C2" w:rsidRDefault="004A680D" w:rsidP="00824F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B4007">
        <w:rPr>
          <w:rFonts w:ascii="Arial" w:hAnsi="Arial" w:cs="Arial"/>
          <w:b/>
          <w:sz w:val="20"/>
          <w:szCs w:val="20"/>
        </w:rPr>
        <w:t xml:space="preserve">PROGRAM OSIGURANJA </w:t>
      </w:r>
      <w:r w:rsidR="00FD2A6C" w:rsidRPr="002B4007">
        <w:rPr>
          <w:rFonts w:ascii="Arial" w:hAnsi="Arial" w:cs="Arial"/>
          <w:b/>
          <w:sz w:val="20"/>
          <w:szCs w:val="20"/>
        </w:rPr>
        <w:t>PORTFELJA</w:t>
      </w:r>
      <w:r w:rsidR="00010806" w:rsidRPr="002B4007">
        <w:rPr>
          <w:rFonts w:ascii="Arial" w:hAnsi="Arial" w:cs="Arial"/>
          <w:b/>
          <w:sz w:val="20"/>
          <w:szCs w:val="20"/>
        </w:rPr>
        <w:t xml:space="preserve"> </w:t>
      </w:r>
      <w:r w:rsidRPr="002B4007">
        <w:rPr>
          <w:rFonts w:ascii="Arial" w:hAnsi="Arial" w:cs="Arial"/>
          <w:b/>
          <w:sz w:val="20"/>
          <w:szCs w:val="20"/>
        </w:rPr>
        <w:t>KREDITA ZA LIKVIDNOST IZVOZNIKA</w:t>
      </w:r>
    </w:p>
    <w:p w14:paraId="1C26A7BF" w14:textId="7D6E3F54" w:rsidR="008A6AD6" w:rsidRDefault="00211F8A" w:rsidP="00824F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B4007">
        <w:rPr>
          <w:rFonts w:ascii="Arial" w:hAnsi="Arial" w:cs="Arial"/>
          <w:b/>
          <w:sz w:val="20"/>
          <w:szCs w:val="20"/>
        </w:rPr>
        <w:t>-</w:t>
      </w:r>
      <w:r w:rsidR="004A680D" w:rsidRPr="002B4007">
        <w:rPr>
          <w:rFonts w:ascii="Arial" w:hAnsi="Arial" w:cs="Arial"/>
          <w:b/>
          <w:sz w:val="20"/>
          <w:szCs w:val="20"/>
        </w:rPr>
        <w:t xml:space="preserve"> COVID-19 MJER</w:t>
      </w:r>
      <w:r w:rsidRPr="002B4007">
        <w:rPr>
          <w:rFonts w:ascii="Arial" w:hAnsi="Arial" w:cs="Arial"/>
          <w:b/>
          <w:sz w:val="20"/>
          <w:szCs w:val="20"/>
        </w:rPr>
        <w:t>A</w:t>
      </w:r>
      <w:r w:rsidR="004A680D" w:rsidRPr="002B4007">
        <w:rPr>
          <w:rFonts w:ascii="Arial" w:hAnsi="Arial" w:cs="Arial"/>
          <w:b/>
          <w:sz w:val="20"/>
          <w:szCs w:val="20"/>
        </w:rPr>
        <w:t xml:space="preserve"> R</w:t>
      </w:r>
      <w:r w:rsidR="00135C4F" w:rsidRPr="002B4007">
        <w:rPr>
          <w:rFonts w:ascii="Arial" w:hAnsi="Arial" w:cs="Arial"/>
          <w:b/>
          <w:sz w:val="20"/>
          <w:szCs w:val="20"/>
        </w:rPr>
        <w:t>EPUBLIKE HRVATSKE</w:t>
      </w:r>
      <w:r w:rsidR="004A680D" w:rsidRPr="002B4007">
        <w:rPr>
          <w:rFonts w:ascii="Arial" w:hAnsi="Arial" w:cs="Arial"/>
          <w:b/>
          <w:sz w:val="20"/>
          <w:szCs w:val="20"/>
        </w:rPr>
        <w:t xml:space="preserve"> POMOĆI </w:t>
      </w:r>
      <w:bookmarkStart w:id="0" w:name="_Hlk57637439"/>
      <w:r w:rsidR="004A680D" w:rsidRPr="002B4007">
        <w:rPr>
          <w:rFonts w:ascii="Arial" w:hAnsi="Arial" w:cs="Arial"/>
          <w:b/>
          <w:sz w:val="20"/>
          <w:szCs w:val="20"/>
        </w:rPr>
        <w:t>GOSPODARSTVU</w:t>
      </w:r>
      <w:bookmarkEnd w:id="0"/>
    </w:p>
    <w:p w14:paraId="568FCFFF" w14:textId="6148110E" w:rsidR="0064788D" w:rsidRPr="002B4007" w:rsidRDefault="0064788D" w:rsidP="00824F4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57622770"/>
      <w:r w:rsidRPr="0064788D">
        <w:rPr>
          <w:rFonts w:ascii="Arial" w:hAnsi="Arial" w:cs="Arial"/>
          <w:b/>
          <w:bCs/>
          <w:sz w:val="20"/>
          <w:szCs w:val="20"/>
        </w:rPr>
        <w:t>P</w:t>
      </w:r>
      <w:r w:rsidR="0049785C">
        <w:rPr>
          <w:rFonts w:ascii="Arial" w:hAnsi="Arial" w:cs="Arial"/>
          <w:b/>
          <w:bCs/>
          <w:sz w:val="20"/>
          <w:szCs w:val="20"/>
        </w:rPr>
        <w:t>O-</w:t>
      </w:r>
      <w:r w:rsidRPr="0064788D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PK-COVID</w:t>
      </w:r>
      <w:r w:rsidR="00202D2C">
        <w:rPr>
          <w:rFonts w:ascii="Arial" w:hAnsi="Arial" w:cs="Arial"/>
          <w:b/>
          <w:bCs/>
          <w:sz w:val="20"/>
          <w:szCs w:val="20"/>
        </w:rPr>
        <w:t>-</w:t>
      </w:r>
      <w:r w:rsidRPr="0064788D">
        <w:rPr>
          <w:rFonts w:ascii="Arial" w:hAnsi="Arial" w:cs="Arial"/>
          <w:b/>
          <w:bCs/>
          <w:sz w:val="20"/>
          <w:szCs w:val="20"/>
        </w:rPr>
        <w:t>0</w:t>
      </w:r>
      <w:r w:rsidR="002B6831">
        <w:rPr>
          <w:rFonts w:ascii="Arial" w:hAnsi="Arial" w:cs="Arial"/>
          <w:b/>
          <w:bCs/>
          <w:sz w:val="20"/>
          <w:szCs w:val="20"/>
        </w:rPr>
        <w:t>1</w:t>
      </w:r>
      <w:r w:rsidR="00202D2C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2B6831">
        <w:rPr>
          <w:rFonts w:ascii="Arial" w:hAnsi="Arial" w:cs="Arial"/>
          <w:b/>
          <w:bCs/>
          <w:sz w:val="20"/>
          <w:szCs w:val="20"/>
        </w:rPr>
        <w:t>1</w:t>
      </w:r>
    </w:p>
    <w:bookmarkEnd w:id="1"/>
    <w:p w14:paraId="6E3870B8" w14:textId="77777777" w:rsidR="00781312" w:rsidRPr="002B4007" w:rsidRDefault="0078131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1FDFC84" w14:textId="69DB5F36" w:rsidR="008B0189" w:rsidRPr="002B4007" w:rsidRDefault="00D0218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hr-HR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Program osiguranja portfelja kredita za </w:t>
      </w:r>
      <w:r w:rsidR="00506FD2" w:rsidRPr="002B4007">
        <w:rPr>
          <w:rFonts w:ascii="Arial" w:eastAsia="Calibri" w:hAnsi="Arial" w:cs="Arial"/>
          <w:sz w:val="20"/>
          <w:szCs w:val="20"/>
          <w:lang w:eastAsia="en-US"/>
        </w:rPr>
        <w:t>likvidnost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izvoznik</w:t>
      </w:r>
      <w:r w:rsidR="003C4C9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211F8A" w:rsidRPr="002B4007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6B38D1" w:rsidRPr="002B4007">
        <w:rPr>
          <w:rFonts w:ascii="Arial" w:eastAsia="Calibri" w:hAnsi="Arial" w:cs="Arial"/>
          <w:sz w:val="20"/>
          <w:szCs w:val="20"/>
          <w:lang w:eastAsia="en-US"/>
        </w:rPr>
        <w:t xml:space="preserve"> Covid-19 mjera</w:t>
      </w:r>
      <w:r w:rsidR="00DC2290" w:rsidRPr="002B4007">
        <w:rPr>
          <w:rFonts w:ascii="Arial" w:eastAsia="Calibri" w:hAnsi="Arial" w:cs="Arial"/>
          <w:sz w:val="20"/>
          <w:szCs w:val="20"/>
          <w:lang w:eastAsia="en-US"/>
        </w:rPr>
        <w:t xml:space="preserve"> Republike Hrvatsk</w:t>
      </w:r>
      <w:r w:rsidR="0066489E" w:rsidRPr="002B400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DC2290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pomoć</w:t>
      </w:r>
      <w:r w:rsidR="0066489E" w:rsidRPr="002B4007">
        <w:rPr>
          <w:rFonts w:ascii="Arial" w:eastAsia="Calibri" w:hAnsi="Arial" w:cs="Arial"/>
          <w:sz w:val="20"/>
          <w:szCs w:val="20"/>
          <w:lang w:eastAsia="en-US"/>
        </w:rPr>
        <w:t>i</w:t>
      </w:r>
      <w:r w:rsidR="00DC2290" w:rsidRPr="002B4007">
        <w:rPr>
          <w:rFonts w:ascii="Arial" w:eastAsia="Calibri" w:hAnsi="Arial" w:cs="Arial"/>
          <w:sz w:val="20"/>
          <w:szCs w:val="20"/>
          <w:lang w:eastAsia="en-US"/>
        </w:rPr>
        <w:t xml:space="preserve"> gospodarstvu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(dalje: Program osiguranja) </w:t>
      </w:r>
      <w:r w:rsidR="00791935" w:rsidRPr="002B4007">
        <w:rPr>
          <w:rFonts w:ascii="Arial" w:eastAsia="Calibri" w:hAnsi="Arial" w:cs="Arial"/>
          <w:sz w:val="20"/>
          <w:szCs w:val="20"/>
          <w:lang w:eastAsia="en-US"/>
        </w:rPr>
        <w:t>Hr</w:t>
      </w:r>
      <w:r w:rsidR="00791935" w:rsidRPr="002B4007">
        <w:rPr>
          <w:rFonts w:ascii="Arial" w:hAnsi="Arial" w:cs="Arial"/>
          <w:sz w:val="20"/>
          <w:szCs w:val="20"/>
          <w:lang w:bidi="hr-HR"/>
        </w:rPr>
        <w:t>vatska banka za obnovu i razvitak</w:t>
      </w:r>
      <w:r w:rsidR="00344714" w:rsidRPr="002B4007">
        <w:rPr>
          <w:rFonts w:ascii="Arial" w:hAnsi="Arial" w:cs="Arial"/>
          <w:sz w:val="20"/>
          <w:szCs w:val="20"/>
          <w:lang w:bidi="hr-HR"/>
        </w:rPr>
        <w:t xml:space="preserve"> (dalje: </w:t>
      </w:r>
      <w:r w:rsidR="003C1A39" w:rsidRPr="002B4007">
        <w:rPr>
          <w:rFonts w:ascii="Arial" w:hAnsi="Arial" w:cs="Arial"/>
          <w:sz w:val="20"/>
          <w:szCs w:val="20"/>
          <w:lang w:bidi="hr-HR"/>
        </w:rPr>
        <w:t>Osiguratelj</w:t>
      </w:r>
      <w:r w:rsidR="00344714" w:rsidRPr="002B4007">
        <w:rPr>
          <w:rFonts w:ascii="Arial" w:hAnsi="Arial" w:cs="Arial"/>
          <w:sz w:val="20"/>
          <w:szCs w:val="20"/>
          <w:lang w:bidi="hr-HR"/>
        </w:rPr>
        <w:t>)</w:t>
      </w:r>
      <w:r w:rsidR="00791935" w:rsidRPr="002B4007">
        <w:rPr>
          <w:rFonts w:ascii="Arial" w:hAnsi="Arial" w:cs="Arial"/>
          <w:sz w:val="20"/>
          <w:szCs w:val="20"/>
          <w:lang w:bidi="hr-HR"/>
        </w:rPr>
        <w:t xml:space="preserve"> </w:t>
      </w:r>
      <w:r w:rsidR="003C1A39" w:rsidRPr="002B4007">
        <w:rPr>
          <w:rFonts w:ascii="Arial" w:hAnsi="Arial" w:cs="Arial"/>
          <w:sz w:val="20"/>
          <w:szCs w:val="20"/>
          <w:lang w:bidi="hr-HR"/>
        </w:rPr>
        <w:t>provodi</w:t>
      </w:r>
      <w:r w:rsidR="003C1A39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u okviru poslova osiguranja izvoza u ime i za račun Republike </w:t>
      </w:r>
      <w:r w:rsidRPr="002B4007">
        <w:rPr>
          <w:rFonts w:ascii="Arial" w:hAnsi="Arial" w:cs="Arial"/>
          <w:sz w:val="20"/>
          <w:szCs w:val="20"/>
          <w:lang w:bidi="hr-HR"/>
        </w:rPr>
        <w:t>Hrvatske</w:t>
      </w:r>
      <w:r w:rsidR="0046479C" w:rsidRPr="002B4007">
        <w:rPr>
          <w:rFonts w:ascii="Arial" w:hAnsi="Arial" w:cs="Arial"/>
          <w:sz w:val="20"/>
          <w:szCs w:val="20"/>
          <w:lang w:bidi="hr-HR"/>
        </w:rPr>
        <w:t xml:space="preserve"> kao jednu od Vladinih mjera pomoći hrvatskom gospodarstvu uslijed poteškoća </w:t>
      </w:r>
      <w:r w:rsidR="00211F8A" w:rsidRPr="002B4007">
        <w:rPr>
          <w:rFonts w:ascii="Arial" w:hAnsi="Arial" w:cs="Arial"/>
          <w:sz w:val="20"/>
          <w:szCs w:val="20"/>
          <w:lang w:bidi="hr-HR"/>
        </w:rPr>
        <w:t>uzrokovanih</w:t>
      </w:r>
      <w:r w:rsidR="0046479C" w:rsidRPr="002B4007">
        <w:rPr>
          <w:rFonts w:ascii="Arial" w:hAnsi="Arial" w:cs="Arial"/>
          <w:sz w:val="20"/>
          <w:szCs w:val="20"/>
          <w:lang w:bidi="hr-HR"/>
        </w:rPr>
        <w:t xml:space="preserve"> pandemij</w:t>
      </w:r>
      <w:r w:rsidR="00211F8A" w:rsidRPr="002B4007">
        <w:rPr>
          <w:rFonts w:ascii="Arial" w:hAnsi="Arial" w:cs="Arial"/>
          <w:sz w:val="20"/>
          <w:szCs w:val="20"/>
          <w:lang w:bidi="hr-HR"/>
        </w:rPr>
        <w:t>om</w:t>
      </w:r>
      <w:r w:rsidR="0046479C" w:rsidRPr="002B4007">
        <w:rPr>
          <w:rFonts w:ascii="Arial" w:hAnsi="Arial" w:cs="Arial"/>
          <w:sz w:val="20"/>
          <w:szCs w:val="20"/>
          <w:lang w:bidi="hr-HR"/>
        </w:rPr>
        <w:t xml:space="preserve"> COVIDa-19</w:t>
      </w:r>
      <w:r w:rsidR="00CE7BE7" w:rsidRPr="002B4007">
        <w:rPr>
          <w:rFonts w:ascii="Arial" w:hAnsi="Arial" w:cs="Arial"/>
          <w:sz w:val="20"/>
          <w:szCs w:val="20"/>
          <w:lang w:bidi="hr-HR"/>
        </w:rPr>
        <w:t xml:space="preserve">, </w:t>
      </w:r>
      <w:r w:rsidR="00717033">
        <w:rPr>
          <w:rFonts w:ascii="Arial" w:hAnsi="Arial" w:cs="Arial"/>
          <w:sz w:val="20"/>
          <w:szCs w:val="20"/>
          <w:lang w:bidi="hr-HR"/>
        </w:rPr>
        <w:t xml:space="preserve">na </w:t>
      </w:r>
      <w:r w:rsidR="00CE7BE7" w:rsidRPr="002B4007">
        <w:rPr>
          <w:rFonts w:ascii="Arial" w:hAnsi="Arial" w:cs="Arial"/>
          <w:sz w:val="20"/>
          <w:szCs w:val="20"/>
          <w:lang w:bidi="hr-HR"/>
        </w:rPr>
        <w:t>temelj</w:t>
      </w:r>
      <w:r w:rsidR="00717033">
        <w:rPr>
          <w:rFonts w:ascii="Arial" w:hAnsi="Arial" w:cs="Arial"/>
          <w:sz w:val="20"/>
          <w:szCs w:val="20"/>
          <w:lang w:bidi="hr-HR"/>
        </w:rPr>
        <w:t>u</w:t>
      </w:r>
      <w:r w:rsidR="00CE7BE7" w:rsidRPr="002B4007">
        <w:rPr>
          <w:rFonts w:ascii="Arial" w:hAnsi="Arial" w:cs="Arial"/>
          <w:sz w:val="20"/>
          <w:szCs w:val="20"/>
          <w:lang w:bidi="hr-HR"/>
        </w:rPr>
        <w:t xml:space="preserve"> </w:t>
      </w:r>
      <w:r w:rsidR="00382C99">
        <w:rPr>
          <w:rFonts w:ascii="Arial" w:hAnsi="Arial" w:cs="Arial"/>
          <w:sz w:val="20"/>
          <w:szCs w:val="20"/>
          <w:lang w:bidi="hr-HR"/>
        </w:rPr>
        <w:t>poglavlja</w:t>
      </w:r>
      <w:r w:rsidR="00CE7BE7" w:rsidRPr="002B4007">
        <w:rPr>
          <w:rFonts w:ascii="Arial" w:hAnsi="Arial" w:cs="Arial"/>
          <w:sz w:val="20"/>
          <w:szCs w:val="20"/>
          <w:lang w:bidi="hr-HR"/>
        </w:rPr>
        <w:t xml:space="preserve"> 3.2. Komunikacije EK</w:t>
      </w:r>
      <w:r w:rsidR="00547245" w:rsidRPr="002B4007">
        <w:rPr>
          <w:rStyle w:val="FootnoteReference"/>
          <w:rFonts w:ascii="Arial" w:hAnsi="Arial" w:cs="Arial"/>
          <w:sz w:val="20"/>
          <w:szCs w:val="20"/>
          <w:lang w:eastAsia="en-US"/>
        </w:rPr>
        <w:footnoteReference w:id="1"/>
      </w:r>
      <w:r w:rsidR="0046479C" w:rsidRPr="002B4007">
        <w:rPr>
          <w:rFonts w:ascii="Arial" w:hAnsi="Arial" w:cs="Arial"/>
          <w:sz w:val="20"/>
          <w:szCs w:val="20"/>
          <w:lang w:bidi="hr-HR"/>
        </w:rPr>
        <w:t>.</w:t>
      </w:r>
      <w:r w:rsidR="00547245" w:rsidRPr="002B4007">
        <w:rPr>
          <w:rFonts w:ascii="Arial" w:hAnsi="Arial" w:cs="Arial"/>
          <w:sz w:val="20"/>
          <w:szCs w:val="20"/>
          <w:lang w:bidi="hr-HR"/>
        </w:rPr>
        <w:t xml:space="preserve"> Program osiguranja uveden je 7. 4. 2020. i izmijenjen 30. 4. 2020.</w:t>
      </w:r>
      <w:r w:rsidR="0054348A">
        <w:rPr>
          <w:rFonts w:ascii="Arial" w:hAnsi="Arial" w:cs="Arial"/>
          <w:sz w:val="20"/>
          <w:szCs w:val="20"/>
          <w:lang w:bidi="hr-HR"/>
        </w:rPr>
        <w:t xml:space="preserve">, </w:t>
      </w:r>
      <w:r w:rsidR="00910149">
        <w:rPr>
          <w:rFonts w:ascii="Arial" w:hAnsi="Arial" w:cs="Arial"/>
          <w:sz w:val="20"/>
          <w:szCs w:val="20"/>
          <w:lang w:bidi="hr-HR"/>
        </w:rPr>
        <w:t>1</w:t>
      </w:r>
      <w:r w:rsidR="002C4229">
        <w:rPr>
          <w:rFonts w:ascii="Arial" w:hAnsi="Arial" w:cs="Arial"/>
          <w:sz w:val="20"/>
          <w:szCs w:val="20"/>
          <w:lang w:bidi="hr-HR"/>
        </w:rPr>
        <w:t>3</w:t>
      </w:r>
      <w:r w:rsidR="00817AF0" w:rsidRPr="002B4007">
        <w:rPr>
          <w:rFonts w:ascii="Arial" w:hAnsi="Arial" w:cs="Arial"/>
          <w:sz w:val="20"/>
          <w:szCs w:val="20"/>
          <w:lang w:bidi="hr-HR"/>
        </w:rPr>
        <w:t>. 11. 2020.</w:t>
      </w:r>
      <w:r w:rsidR="0054348A">
        <w:rPr>
          <w:rFonts w:ascii="Arial" w:hAnsi="Arial" w:cs="Arial"/>
          <w:sz w:val="20"/>
          <w:szCs w:val="20"/>
          <w:lang w:bidi="hr-HR"/>
        </w:rPr>
        <w:t xml:space="preserve"> i </w:t>
      </w:r>
      <w:r w:rsidR="00B76E19">
        <w:rPr>
          <w:rFonts w:ascii="Arial" w:hAnsi="Arial" w:cs="Arial"/>
          <w:sz w:val="20"/>
          <w:szCs w:val="20"/>
          <w:lang w:bidi="hr-HR"/>
        </w:rPr>
        <w:t>28</w:t>
      </w:r>
      <w:r w:rsidR="0054348A">
        <w:rPr>
          <w:rFonts w:ascii="Arial" w:hAnsi="Arial" w:cs="Arial"/>
          <w:sz w:val="20"/>
          <w:szCs w:val="20"/>
          <w:lang w:bidi="hr-HR"/>
        </w:rPr>
        <w:t xml:space="preserve">. </w:t>
      </w:r>
      <w:r w:rsidR="00B76E19">
        <w:rPr>
          <w:rFonts w:ascii="Arial" w:hAnsi="Arial" w:cs="Arial"/>
          <w:sz w:val="20"/>
          <w:szCs w:val="20"/>
          <w:lang w:bidi="hr-HR"/>
        </w:rPr>
        <w:t>5</w:t>
      </w:r>
      <w:r w:rsidR="0054348A">
        <w:rPr>
          <w:rFonts w:ascii="Arial" w:hAnsi="Arial" w:cs="Arial"/>
          <w:sz w:val="20"/>
          <w:szCs w:val="20"/>
          <w:lang w:bidi="hr-HR"/>
        </w:rPr>
        <w:t>. 2021.</w:t>
      </w:r>
    </w:p>
    <w:p w14:paraId="3AE87F28" w14:textId="42F1EBE2" w:rsidR="00E06DFD" w:rsidRPr="002B4007" w:rsidRDefault="00013959" w:rsidP="00013959">
      <w:pPr>
        <w:tabs>
          <w:tab w:val="left" w:pos="1240"/>
        </w:tabs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5F2BF453" w14:textId="77777777" w:rsidR="00E06DFD" w:rsidRPr="002B4007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Priroda i oblik mjere </w:t>
      </w:r>
    </w:p>
    <w:p w14:paraId="378AB623" w14:textId="2261C754" w:rsidR="00E06DFD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Mjera </w:t>
      </w:r>
      <w:r w:rsidR="00CE7BE7" w:rsidRPr="002B4007">
        <w:rPr>
          <w:rFonts w:ascii="Arial" w:eastAsia="Calibri" w:hAnsi="Arial" w:cs="Arial"/>
          <w:sz w:val="20"/>
          <w:szCs w:val="20"/>
          <w:lang w:eastAsia="en-US"/>
        </w:rPr>
        <w:t xml:space="preserve">u obliku portfeljnog osiguranja za nove kredite za likvidnost izvoznika provodi se </w:t>
      </w:r>
      <w:r w:rsidR="00703585" w:rsidRPr="002B4007">
        <w:rPr>
          <w:rFonts w:ascii="Arial" w:eastAsia="Calibri" w:hAnsi="Arial" w:cs="Arial"/>
          <w:sz w:val="20"/>
          <w:szCs w:val="20"/>
          <w:lang w:eastAsia="en-US"/>
        </w:rPr>
        <w:t>kroz</w:t>
      </w:r>
      <w:r w:rsidR="008F428B" w:rsidRPr="002B4007">
        <w:rPr>
          <w:rFonts w:ascii="Arial" w:eastAsia="Calibri" w:hAnsi="Arial" w:cs="Arial"/>
          <w:sz w:val="20"/>
          <w:szCs w:val="20"/>
          <w:lang w:eastAsia="en-US"/>
        </w:rPr>
        <w:t xml:space="preserve"> zaključenje sporazuma za suradnju po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Program</w:t>
      </w:r>
      <w:r w:rsidR="008F428B" w:rsidRPr="002B4007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osiguranja </w:t>
      </w:r>
      <w:r w:rsidR="00703585" w:rsidRPr="002B4007">
        <w:rPr>
          <w:rFonts w:ascii="Arial" w:eastAsia="Calibri" w:hAnsi="Arial" w:cs="Arial"/>
          <w:sz w:val="20"/>
          <w:szCs w:val="20"/>
          <w:lang w:eastAsia="en-US"/>
        </w:rPr>
        <w:t xml:space="preserve">između Osiguratelja i </w:t>
      </w:r>
      <w:bookmarkStart w:id="3" w:name="_Hlk72493640"/>
      <w:r w:rsidR="0049785C">
        <w:rPr>
          <w:rFonts w:ascii="Arial" w:eastAsia="Calibri" w:hAnsi="Arial" w:cs="Arial"/>
          <w:sz w:val="20"/>
          <w:szCs w:val="20"/>
          <w:lang w:eastAsia="en-US"/>
        </w:rPr>
        <w:t>kreditne institucije</w:t>
      </w:r>
      <w:bookmarkEnd w:id="3"/>
      <w:r w:rsidR="003B39F2" w:rsidRPr="002B400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03585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F428B" w:rsidRPr="002B4007">
        <w:rPr>
          <w:rFonts w:ascii="Arial" w:eastAsia="Calibri" w:hAnsi="Arial" w:cs="Arial"/>
          <w:sz w:val="20"/>
          <w:szCs w:val="20"/>
          <w:lang w:eastAsia="en-US"/>
        </w:rPr>
        <w:t xml:space="preserve">kojim će biti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pokriveno</w:t>
      </w:r>
      <w:r w:rsidR="00316B83" w:rsidRPr="002B4007">
        <w:rPr>
          <w:rFonts w:ascii="Arial" w:eastAsia="Calibri" w:hAnsi="Arial" w:cs="Arial"/>
          <w:sz w:val="20"/>
          <w:szCs w:val="20"/>
          <w:lang w:eastAsia="en-US"/>
        </w:rPr>
        <w:t xml:space="preserve"> do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najviše</w:t>
      </w:r>
      <w:r w:rsidR="00316B83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54BA2" w:rsidRPr="002B4007">
        <w:rPr>
          <w:rFonts w:ascii="Arial" w:eastAsia="Calibri" w:hAnsi="Arial" w:cs="Arial"/>
          <w:sz w:val="20"/>
          <w:szCs w:val="20"/>
          <w:lang w:eastAsia="en-US"/>
        </w:rPr>
        <w:t>90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% iznosa glavnice</w:t>
      </w:r>
      <w:r w:rsidR="00211F8A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F428B" w:rsidRPr="002B4007">
        <w:rPr>
          <w:rFonts w:ascii="Arial" w:eastAsia="Calibri" w:hAnsi="Arial" w:cs="Arial"/>
          <w:sz w:val="20"/>
          <w:szCs w:val="20"/>
          <w:lang w:eastAsia="en-US"/>
        </w:rPr>
        <w:t>kredita za likvi</w:t>
      </w:r>
      <w:r w:rsidR="00316B83" w:rsidRPr="002B4007">
        <w:rPr>
          <w:rFonts w:ascii="Arial" w:eastAsia="Calibri" w:hAnsi="Arial" w:cs="Arial"/>
          <w:sz w:val="20"/>
          <w:szCs w:val="20"/>
          <w:lang w:eastAsia="en-US"/>
        </w:rPr>
        <w:t>d</w:t>
      </w:r>
      <w:r w:rsidR="008F428B" w:rsidRPr="002B4007">
        <w:rPr>
          <w:rFonts w:ascii="Arial" w:eastAsia="Calibri" w:hAnsi="Arial" w:cs="Arial"/>
          <w:sz w:val="20"/>
          <w:szCs w:val="20"/>
          <w:lang w:eastAsia="en-US"/>
        </w:rPr>
        <w:t>nost izvoznicima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bookmarkStart w:id="4" w:name="_Hlk57601146"/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>Kod visin</w:t>
      </w:r>
      <w:r w:rsidR="00E04E31" w:rsidRPr="002B400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pokrića niž</w:t>
      </w:r>
      <w:r w:rsidR="00E04E31" w:rsidRPr="002B400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od 90%</w:t>
      </w:r>
      <w:r w:rsidR="003E6194">
        <w:rPr>
          <w:rFonts w:ascii="Arial" w:eastAsia="Calibri" w:hAnsi="Arial" w:cs="Arial"/>
          <w:sz w:val="20"/>
          <w:szCs w:val="20"/>
          <w:lang w:eastAsia="en-US"/>
        </w:rPr>
        <w:t xml:space="preserve"> (10%, 20%, 30%, 40%, 50%, 60%, 70% ili 80%)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, osiguranjem može biti pokrivena i </w:t>
      </w:r>
      <w:r w:rsidR="00367985" w:rsidRPr="002B4007">
        <w:rPr>
          <w:rFonts w:ascii="Arial" w:eastAsia="Calibri" w:hAnsi="Arial" w:cs="Arial"/>
          <w:sz w:val="20"/>
          <w:szCs w:val="20"/>
          <w:lang w:eastAsia="en-US"/>
        </w:rPr>
        <w:t>U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>govorena kamata</w:t>
      </w:r>
      <w:r w:rsidR="00367985" w:rsidRPr="002B4007">
        <w:rPr>
          <w:rFonts w:ascii="Arial" w:eastAsia="Calibri" w:hAnsi="Arial" w:cs="Arial"/>
          <w:sz w:val="20"/>
          <w:szCs w:val="20"/>
          <w:lang w:eastAsia="en-US"/>
        </w:rPr>
        <w:t xml:space="preserve"> (redovna, interkalarna i kamata u počeku)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, no ukupan iznos </w:t>
      </w:r>
      <w:r w:rsidR="00615350">
        <w:rPr>
          <w:rFonts w:ascii="Arial" w:eastAsia="Calibri" w:hAnsi="Arial" w:cs="Arial"/>
          <w:sz w:val="20"/>
          <w:szCs w:val="20"/>
          <w:lang w:eastAsia="en-US"/>
        </w:rPr>
        <w:t>O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>dštete</w:t>
      </w:r>
      <w:r w:rsidR="00615350">
        <w:rPr>
          <w:rFonts w:ascii="Arial" w:eastAsia="Calibri" w:hAnsi="Arial" w:cs="Arial"/>
          <w:sz w:val="20"/>
          <w:szCs w:val="20"/>
          <w:lang w:eastAsia="en-US"/>
        </w:rPr>
        <w:t xml:space="preserve"> ni u kojem slučaju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ne </w:t>
      </w:r>
      <w:r w:rsidR="00615350">
        <w:rPr>
          <w:rFonts w:ascii="Arial" w:eastAsia="Calibri" w:hAnsi="Arial" w:cs="Arial"/>
          <w:sz w:val="20"/>
          <w:szCs w:val="20"/>
          <w:lang w:eastAsia="en-US"/>
        </w:rPr>
        <w:t>smije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premašiti 90% </w:t>
      </w:r>
      <w:r w:rsidR="00717033">
        <w:rPr>
          <w:rFonts w:ascii="Arial" w:eastAsia="Calibri" w:hAnsi="Arial" w:cs="Arial"/>
          <w:sz w:val="20"/>
          <w:szCs w:val="20"/>
          <w:lang w:eastAsia="en-US"/>
        </w:rPr>
        <w:t xml:space="preserve">iznosa </w:t>
      </w:r>
      <w:r w:rsidR="00615350">
        <w:rPr>
          <w:rFonts w:ascii="Arial" w:eastAsia="Calibri" w:hAnsi="Arial" w:cs="Arial"/>
          <w:sz w:val="20"/>
          <w:szCs w:val="20"/>
          <w:lang w:eastAsia="en-US"/>
        </w:rPr>
        <w:t xml:space="preserve">dospjele 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glavnice </w:t>
      </w:r>
      <w:r w:rsidR="00615350">
        <w:rPr>
          <w:rFonts w:ascii="Arial" w:eastAsia="Calibri" w:hAnsi="Arial" w:cs="Arial"/>
          <w:sz w:val="20"/>
          <w:szCs w:val="20"/>
          <w:lang w:eastAsia="en-US"/>
        </w:rPr>
        <w:t>K</w:t>
      </w:r>
      <w:r w:rsidR="00B82234" w:rsidRPr="002B4007">
        <w:rPr>
          <w:rFonts w:ascii="Arial" w:eastAsia="Calibri" w:hAnsi="Arial" w:cs="Arial"/>
          <w:sz w:val="20"/>
          <w:szCs w:val="20"/>
          <w:lang w:eastAsia="en-US"/>
        </w:rPr>
        <w:t>redita.</w:t>
      </w:r>
      <w:bookmarkEnd w:id="4"/>
    </w:p>
    <w:p w14:paraId="303F491B" w14:textId="77777777" w:rsidR="001C14D9" w:rsidRPr="002B4007" w:rsidRDefault="001C14D9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D0CD477" w14:textId="1FE09461" w:rsidR="008F428B" w:rsidRPr="000F6FC3" w:rsidRDefault="008F428B" w:rsidP="000F6FC3">
      <w:pPr>
        <w:spacing w:line="276" w:lineRule="auto"/>
        <w:jc w:val="both"/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Mjera je otvorena za sve </w:t>
      </w:r>
      <w:r w:rsidR="00F82209">
        <w:rPr>
          <w:rFonts w:ascii="Arial" w:eastAsia="Calibri" w:hAnsi="Arial" w:cs="Arial"/>
          <w:sz w:val="20"/>
          <w:szCs w:val="20"/>
          <w:lang w:eastAsia="en-US"/>
        </w:rPr>
        <w:t>kredit</w:t>
      </w:r>
      <w:r w:rsidR="00C94D15">
        <w:rPr>
          <w:rFonts w:ascii="Arial" w:eastAsia="Calibri" w:hAnsi="Arial" w:cs="Arial"/>
          <w:sz w:val="20"/>
          <w:szCs w:val="20"/>
          <w:lang w:eastAsia="en-US"/>
        </w:rPr>
        <w:t>ne institucije</w:t>
      </w:r>
      <w:r w:rsidR="00F82209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u Republici Hrvatskoj koje </w:t>
      </w:r>
      <w:r w:rsidR="009326B1" w:rsidRPr="008D58B1">
        <w:rPr>
          <w:rFonts w:ascii="Arial" w:eastAsia="Calibri" w:hAnsi="Arial" w:cs="Arial"/>
          <w:sz w:val="20"/>
          <w:szCs w:val="20"/>
          <w:lang w:eastAsia="en-US"/>
        </w:rPr>
        <w:t>ima</w:t>
      </w:r>
      <w:r w:rsidR="009326B1">
        <w:rPr>
          <w:rFonts w:ascii="Arial" w:eastAsia="Calibri" w:hAnsi="Arial" w:cs="Arial"/>
          <w:sz w:val="20"/>
          <w:szCs w:val="20"/>
          <w:lang w:eastAsia="en-US"/>
        </w:rPr>
        <w:t>ju</w:t>
      </w:r>
      <w:r w:rsidR="009326B1" w:rsidRPr="008D58B1">
        <w:rPr>
          <w:rFonts w:ascii="Arial" w:eastAsia="Calibri" w:hAnsi="Arial" w:cs="Arial"/>
          <w:sz w:val="20"/>
          <w:szCs w:val="20"/>
          <w:lang w:eastAsia="en-US"/>
        </w:rPr>
        <w:t xml:space="preserve"> poslovni nastan u R</w:t>
      </w:r>
      <w:r w:rsidR="0029658E">
        <w:rPr>
          <w:rFonts w:ascii="Arial" w:eastAsia="Calibri" w:hAnsi="Arial" w:cs="Arial"/>
          <w:sz w:val="20"/>
          <w:szCs w:val="20"/>
          <w:lang w:eastAsia="en-US"/>
        </w:rPr>
        <w:t xml:space="preserve">epublici </w:t>
      </w:r>
      <w:r w:rsidR="009326B1" w:rsidRPr="008D58B1">
        <w:rPr>
          <w:rFonts w:ascii="Arial" w:eastAsia="Calibri" w:hAnsi="Arial" w:cs="Arial"/>
          <w:sz w:val="20"/>
          <w:szCs w:val="20"/>
          <w:lang w:eastAsia="en-US"/>
        </w:rPr>
        <w:t>H</w:t>
      </w:r>
      <w:r w:rsidR="0029658E">
        <w:rPr>
          <w:rFonts w:ascii="Arial" w:eastAsia="Calibri" w:hAnsi="Arial" w:cs="Arial"/>
          <w:sz w:val="20"/>
          <w:szCs w:val="20"/>
          <w:lang w:eastAsia="en-US"/>
        </w:rPr>
        <w:t>rvatskoj</w:t>
      </w:r>
      <w:r w:rsidR="009326B1" w:rsidRPr="008D58B1">
        <w:rPr>
          <w:rFonts w:ascii="Arial" w:eastAsia="Calibri" w:hAnsi="Arial" w:cs="Arial"/>
          <w:sz w:val="20"/>
          <w:szCs w:val="20"/>
          <w:lang w:eastAsia="en-US"/>
        </w:rPr>
        <w:t xml:space="preserve"> (sjedište ili podružnicu)</w:t>
      </w:r>
      <w:r w:rsidR="009326B1">
        <w:rPr>
          <w:rFonts w:ascii="Arial" w:eastAsia="Calibri" w:hAnsi="Arial" w:cs="Arial"/>
          <w:sz w:val="20"/>
          <w:szCs w:val="20"/>
          <w:lang w:eastAsia="en-US"/>
        </w:rPr>
        <w:t xml:space="preserve"> i koje</w:t>
      </w:r>
      <w:r w:rsidR="009326B1" w:rsidRPr="008D58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posluju u skladu sa Zakonom o kreditnim institucijama</w:t>
      </w:r>
      <w:r w:rsidR="002B6831" w:rsidRPr="008D58B1">
        <w:rPr>
          <w:rFonts w:ascii="Arial" w:eastAsia="Calibri" w:hAnsi="Arial" w:cs="Arial"/>
          <w:sz w:val="20"/>
          <w:szCs w:val="20"/>
          <w:lang w:eastAsia="en-US"/>
        </w:rPr>
        <w:t xml:space="preserve"> (ima</w:t>
      </w:r>
      <w:r w:rsidR="009326B1">
        <w:rPr>
          <w:rFonts w:ascii="Arial" w:eastAsia="Calibri" w:hAnsi="Arial" w:cs="Arial"/>
          <w:sz w:val="20"/>
          <w:szCs w:val="20"/>
          <w:lang w:eastAsia="en-US"/>
        </w:rPr>
        <w:t>ju</w:t>
      </w:r>
      <w:r w:rsidR="002B6831" w:rsidRPr="008D58B1">
        <w:rPr>
          <w:rFonts w:ascii="Arial" w:eastAsia="Calibri" w:hAnsi="Arial" w:cs="Arial"/>
          <w:sz w:val="20"/>
          <w:szCs w:val="20"/>
          <w:lang w:eastAsia="en-US"/>
        </w:rPr>
        <w:t xml:space="preserve"> dozvol</w:t>
      </w:r>
      <w:r w:rsidR="0056276A">
        <w:rPr>
          <w:rFonts w:ascii="Arial" w:eastAsia="Calibri" w:hAnsi="Arial" w:cs="Arial"/>
          <w:sz w:val="20"/>
          <w:szCs w:val="20"/>
          <w:lang w:eastAsia="en-US"/>
        </w:rPr>
        <w:t>u za rad u Republici Hrvatskoj</w:t>
      </w:r>
      <w:r w:rsidR="002B6831" w:rsidRPr="008D58B1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i za HBOR </w:t>
      </w:r>
      <w:r w:rsidR="00010806" w:rsidRPr="002B4007">
        <w:rPr>
          <w:rFonts w:ascii="Arial" w:eastAsia="Calibri" w:hAnsi="Arial" w:cs="Arial"/>
          <w:sz w:val="20"/>
          <w:szCs w:val="20"/>
          <w:lang w:eastAsia="en-US"/>
        </w:rPr>
        <w:t>(dalje: Osiguranici)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0A1E8C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jera se odnosi samo na nove kredite za likvidnost, a ne na već postojeće kredite</w:t>
      </w:r>
      <w:r w:rsidR="000A1E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B66DD">
        <w:rPr>
          <w:rFonts w:ascii="Arial" w:eastAsia="Calibri" w:hAnsi="Arial" w:cs="Arial"/>
          <w:sz w:val="20"/>
          <w:szCs w:val="20"/>
          <w:lang w:eastAsia="en-US"/>
        </w:rPr>
        <w:t>te</w:t>
      </w:r>
      <w:r w:rsidR="000F6FC3">
        <w:rPr>
          <w:rFonts w:ascii="Arial" w:eastAsia="Calibri" w:hAnsi="Arial" w:cs="Arial"/>
          <w:sz w:val="20"/>
          <w:szCs w:val="20"/>
          <w:lang w:eastAsia="en-US"/>
        </w:rPr>
        <w:t xml:space="preserve"> se ne radi o potporama kreditnim institucijama</w:t>
      </w:r>
      <w:r w:rsidR="000A1E8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132F2A2" w14:textId="77777777" w:rsidR="001C14D9" w:rsidRPr="002B4007" w:rsidRDefault="001C14D9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6E19EC1" w14:textId="3DCE0892" w:rsidR="008A76BF" w:rsidRPr="002B4007" w:rsidRDefault="003B39F2" w:rsidP="00824F4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Osiguranici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su kao financijski posrednici dužn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i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9785C">
        <w:rPr>
          <w:rFonts w:ascii="Arial" w:eastAsia="Calibri" w:hAnsi="Arial" w:cs="Arial"/>
          <w:sz w:val="20"/>
          <w:szCs w:val="20"/>
          <w:lang w:eastAsia="en-US"/>
        </w:rPr>
        <w:t xml:space="preserve">omogućiti </w:t>
      </w:r>
      <w:r w:rsidR="00734102">
        <w:rPr>
          <w:rFonts w:ascii="Arial" w:eastAsia="Calibri" w:hAnsi="Arial" w:cs="Arial"/>
          <w:sz w:val="20"/>
          <w:szCs w:val="20"/>
          <w:lang w:eastAsia="en-US"/>
        </w:rPr>
        <w:t>i</w:t>
      </w:r>
      <w:r w:rsidR="0049785C">
        <w:rPr>
          <w:rFonts w:ascii="Arial" w:eastAsia="Calibri" w:hAnsi="Arial" w:cs="Arial"/>
          <w:sz w:val="20"/>
          <w:szCs w:val="20"/>
          <w:lang w:eastAsia="en-US"/>
        </w:rPr>
        <w:t>zvoznicima povoljnije uvjete kreditiranja, npr.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u </w:t>
      </w:r>
      <w:r w:rsidR="00F24AF3">
        <w:rPr>
          <w:rFonts w:ascii="Arial" w:eastAsia="Calibri" w:hAnsi="Arial" w:cs="Arial"/>
          <w:sz w:val="20"/>
          <w:szCs w:val="20"/>
          <w:lang w:eastAsia="en-US"/>
        </w:rPr>
        <w:t>obliku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viš</w:t>
      </w:r>
      <w:r w:rsidR="0049785C">
        <w:rPr>
          <w:rFonts w:ascii="Arial" w:eastAsia="Calibri" w:hAnsi="Arial" w:cs="Arial"/>
          <w:sz w:val="20"/>
          <w:szCs w:val="20"/>
          <w:lang w:eastAsia="en-US"/>
        </w:rPr>
        <w:t>eg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volumena financiranja</w:t>
      </w:r>
      <w:r w:rsidR="00734102">
        <w:rPr>
          <w:rFonts w:ascii="Arial" w:eastAsia="Calibri" w:hAnsi="Arial" w:cs="Arial"/>
          <w:sz w:val="20"/>
          <w:szCs w:val="20"/>
          <w:lang w:eastAsia="en-US"/>
        </w:rPr>
        <w:t xml:space="preserve"> (odobrenjem veće izloženosti prema izvozniku)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34102">
        <w:rPr>
          <w:rFonts w:ascii="Arial" w:eastAsia="Calibri" w:hAnsi="Arial" w:cs="Arial"/>
          <w:sz w:val="20"/>
          <w:szCs w:val="20"/>
          <w:lang w:eastAsia="en-US"/>
        </w:rPr>
        <w:t xml:space="preserve">preuzimanjem 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>rizičnijih portfelja</w:t>
      </w:r>
      <w:r w:rsidR="00734102">
        <w:rPr>
          <w:rFonts w:ascii="Arial" w:eastAsia="Calibri" w:hAnsi="Arial" w:cs="Arial"/>
          <w:sz w:val="20"/>
          <w:szCs w:val="20"/>
          <w:lang w:eastAsia="en-US"/>
        </w:rPr>
        <w:t xml:space="preserve"> (odobrenjem kredita unatoč rizičnijem rejtingu izvoznika)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, nižih zahtjeva za </w:t>
      </w:r>
      <w:r w:rsidR="00734102">
        <w:rPr>
          <w:rFonts w:ascii="Arial" w:eastAsia="Calibri" w:hAnsi="Arial" w:cs="Arial"/>
          <w:sz w:val="20"/>
          <w:szCs w:val="20"/>
          <w:lang w:eastAsia="en-US"/>
        </w:rPr>
        <w:t>drugim instrumentima osiguranja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>, nižih kamatnih stopa i dr.</w:t>
      </w:r>
      <w:r w:rsidR="002B4007" w:rsidRPr="002B400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 čemu će biti obvezn</w:t>
      </w:r>
      <w:r w:rsidR="007778F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34102">
        <w:rPr>
          <w:rFonts w:ascii="Arial" w:eastAsia="Calibri" w:hAnsi="Arial" w:cs="Arial"/>
          <w:sz w:val="20"/>
          <w:szCs w:val="20"/>
          <w:lang w:eastAsia="en-US"/>
        </w:rPr>
        <w:t>obavijestiti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Osiguratelja</w:t>
      </w:r>
      <w:r w:rsidR="00817AF0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prilikom uključ</w:t>
      </w:r>
      <w:r w:rsidR="00E570F8">
        <w:rPr>
          <w:rFonts w:ascii="Arial" w:eastAsia="Calibri" w:hAnsi="Arial" w:cs="Arial"/>
          <w:sz w:val="20"/>
          <w:szCs w:val="20"/>
          <w:lang w:eastAsia="en-US"/>
        </w:rPr>
        <w:t>enja</w:t>
      </w:r>
      <w:r w:rsidR="00817AF0" w:rsidRPr="002B4007">
        <w:rPr>
          <w:rFonts w:ascii="Arial" w:eastAsia="Calibri" w:hAnsi="Arial" w:cs="Arial"/>
          <w:sz w:val="20"/>
          <w:szCs w:val="20"/>
          <w:lang w:eastAsia="en-US"/>
        </w:rPr>
        <w:t xml:space="preserve"> kredita u portfelj</w:t>
      </w:r>
      <w:r w:rsidR="00615350">
        <w:rPr>
          <w:rFonts w:ascii="Arial" w:eastAsia="Calibri" w:hAnsi="Arial" w:cs="Arial"/>
          <w:sz w:val="20"/>
          <w:szCs w:val="20"/>
          <w:lang w:eastAsia="en-US"/>
        </w:rPr>
        <w:t xml:space="preserve"> u sklopu Obavijesti o uključivanju</w:t>
      </w:r>
      <w:r w:rsidR="008A76BF" w:rsidRPr="002B400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FD1E0E3" w14:textId="77777777" w:rsidR="008A76BF" w:rsidRPr="002B4007" w:rsidRDefault="008A76B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F7A1B5A" w14:textId="05A90716" w:rsidR="00E06DFD" w:rsidRPr="00B039CB" w:rsidRDefault="008A76BF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5" w:name="_Hlk48043966"/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Izvoznici će moći </w:t>
      </w:r>
      <w:r w:rsidRPr="00615350">
        <w:rPr>
          <w:rFonts w:ascii="Arial" w:eastAsia="Calibri" w:hAnsi="Arial" w:cs="Arial"/>
          <w:sz w:val="20"/>
          <w:szCs w:val="20"/>
          <w:lang w:eastAsia="en-US"/>
        </w:rPr>
        <w:t xml:space="preserve">koristiti </w:t>
      </w:r>
      <w:bookmarkEnd w:id="5"/>
      <w:r w:rsidR="00844F0E">
        <w:rPr>
          <w:rFonts w:ascii="Arial" w:eastAsia="Calibri" w:hAnsi="Arial" w:cs="Arial"/>
          <w:sz w:val="20"/>
          <w:szCs w:val="20"/>
          <w:lang w:eastAsia="en-US"/>
        </w:rPr>
        <w:t>subvencioniranj</w:t>
      </w:r>
      <w:r w:rsidR="001D506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844F0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1630F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remij</w:t>
      </w:r>
      <w:r w:rsidR="00844F0E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za predmetn</w:t>
      </w:r>
      <w:r w:rsidR="00844F0E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B039CB">
        <w:rPr>
          <w:rFonts w:ascii="Arial" w:eastAsia="Calibri" w:hAnsi="Arial" w:cs="Arial"/>
          <w:sz w:val="20"/>
          <w:szCs w:val="20"/>
          <w:lang w:eastAsia="en-US"/>
        </w:rPr>
        <w:t xml:space="preserve"> kredite </w:t>
      </w:r>
      <w:r w:rsidRPr="00B039CB">
        <w:rPr>
          <w:rFonts w:ascii="Arial" w:eastAsia="Calibri" w:hAnsi="Arial" w:cs="Arial"/>
          <w:bCs/>
          <w:sz w:val="20"/>
          <w:szCs w:val="20"/>
          <w:lang w:eastAsia="en-US"/>
        </w:rPr>
        <w:t>za likvidnost</w:t>
      </w:r>
      <w:r w:rsidR="00CE7BE7" w:rsidRPr="00B039CB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615350" w:rsidRPr="00B039CB">
        <w:rPr>
          <w:rFonts w:ascii="Arial" w:eastAsia="Calibri" w:hAnsi="Arial" w:cs="Arial"/>
          <w:sz w:val="20"/>
          <w:szCs w:val="20"/>
          <w:lang w:eastAsia="en-US"/>
        </w:rPr>
        <w:t>koj</w:t>
      </w:r>
      <w:r w:rsidR="00844F0E">
        <w:rPr>
          <w:rFonts w:ascii="Arial" w:eastAsia="Calibri" w:hAnsi="Arial" w:cs="Arial"/>
          <w:sz w:val="20"/>
          <w:szCs w:val="20"/>
          <w:lang w:eastAsia="en-US"/>
        </w:rPr>
        <w:t>e</w:t>
      </w:r>
      <w:r w:rsidR="00615350" w:rsidRPr="00B039C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07CAB">
        <w:rPr>
          <w:rFonts w:ascii="Arial" w:eastAsia="Calibri" w:hAnsi="Arial" w:cs="Arial"/>
          <w:sz w:val="20"/>
          <w:szCs w:val="20"/>
          <w:lang w:eastAsia="en-US"/>
        </w:rPr>
        <w:t xml:space="preserve">subvencioniranje </w:t>
      </w:r>
      <w:r w:rsidR="00615350" w:rsidRPr="00B039CB">
        <w:rPr>
          <w:rFonts w:ascii="Arial" w:eastAsia="Calibri" w:hAnsi="Arial" w:cs="Arial"/>
          <w:sz w:val="20"/>
          <w:szCs w:val="20"/>
          <w:lang w:eastAsia="en-US"/>
        </w:rPr>
        <w:t xml:space="preserve">će se odobravati u skladu s </w:t>
      </w:r>
      <w:r w:rsidR="00615350" w:rsidRPr="00157D72">
        <w:rPr>
          <w:rFonts w:ascii="Arial" w:eastAsia="Calibri" w:hAnsi="Arial" w:cs="Arial"/>
          <w:sz w:val="20"/>
          <w:szCs w:val="20"/>
          <w:lang w:eastAsia="en-US"/>
        </w:rPr>
        <w:t>Programom subvencioniranja premije osiguranja –</w:t>
      </w:r>
      <w:r w:rsidR="00DC0CEA" w:rsidRPr="00157D7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15350" w:rsidRPr="00157D72">
        <w:rPr>
          <w:rFonts w:ascii="Arial" w:eastAsia="Calibri" w:hAnsi="Arial" w:cs="Arial"/>
          <w:sz w:val="20"/>
          <w:szCs w:val="20"/>
          <w:lang w:eastAsia="en-US"/>
        </w:rPr>
        <w:t>Covid-19 mjera Republike Hrvatske pomoći gospodarstvu PSP/</w:t>
      </w:r>
      <w:r w:rsidR="00AB66DD">
        <w:rPr>
          <w:rFonts w:ascii="Arial" w:eastAsia="Calibri" w:hAnsi="Arial" w:cs="Arial"/>
          <w:sz w:val="20"/>
          <w:szCs w:val="20"/>
          <w:lang w:eastAsia="en-US"/>
        </w:rPr>
        <w:t>0</w:t>
      </w:r>
      <w:r w:rsidR="00615350" w:rsidRPr="00157D72">
        <w:rPr>
          <w:rFonts w:ascii="Arial" w:eastAsia="Calibri" w:hAnsi="Arial" w:cs="Arial"/>
          <w:sz w:val="20"/>
          <w:szCs w:val="20"/>
          <w:lang w:eastAsia="en-US"/>
        </w:rPr>
        <w:t>1</w:t>
      </w:r>
      <w:r w:rsidR="001C14D9" w:rsidRPr="00157D72">
        <w:rPr>
          <w:rFonts w:ascii="Arial" w:eastAsia="Calibri" w:hAnsi="Arial" w:cs="Arial"/>
          <w:sz w:val="20"/>
          <w:szCs w:val="20"/>
          <w:lang w:eastAsia="en-US"/>
        </w:rPr>
        <w:t>-</w:t>
      </w:r>
      <w:r w:rsidR="00615350" w:rsidRPr="00157D72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57312C">
        <w:rPr>
          <w:rFonts w:ascii="Arial" w:eastAsia="Calibri" w:hAnsi="Arial" w:cs="Arial"/>
          <w:sz w:val="20"/>
          <w:szCs w:val="20"/>
          <w:lang w:eastAsia="en-US"/>
        </w:rPr>
        <w:t>1</w:t>
      </w:r>
      <w:r w:rsidR="00E53740" w:rsidRPr="00B039C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7312C">
        <w:rPr>
          <w:rFonts w:ascii="Arial" w:eastAsia="Calibri" w:hAnsi="Arial" w:cs="Arial"/>
          <w:sz w:val="20"/>
          <w:szCs w:val="20"/>
          <w:lang w:eastAsia="en-US"/>
        </w:rPr>
        <w:t>i svim njegovim izmjenama i dopunama</w:t>
      </w:r>
      <w:r w:rsidR="0057312C" w:rsidRPr="00B039C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53740" w:rsidRPr="00B039CB">
        <w:rPr>
          <w:rFonts w:ascii="Arial" w:eastAsia="Calibri" w:hAnsi="Arial" w:cs="Arial"/>
          <w:sz w:val="20"/>
          <w:szCs w:val="20"/>
          <w:lang w:eastAsia="en-US"/>
        </w:rPr>
        <w:t>(dalje: Program subvencioniranja premije)</w:t>
      </w:r>
      <w:r w:rsidR="00615350" w:rsidRPr="00B039CB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17033" w:rsidRPr="00B039CB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="00CE7BE7" w:rsidRPr="00B039CB">
        <w:rPr>
          <w:rFonts w:ascii="Arial" w:eastAsia="Calibri" w:hAnsi="Arial" w:cs="Arial"/>
          <w:sz w:val="20"/>
          <w:szCs w:val="20"/>
          <w:lang w:eastAsia="en-US"/>
        </w:rPr>
        <w:t>temelj</w:t>
      </w:r>
      <w:r w:rsidR="00717033" w:rsidRPr="00B039CB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E7BE7" w:rsidRPr="00B039C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82C99">
        <w:rPr>
          <w:rFonts w:ascii="Arial" w:eastAsia="Calibri" w:hAnsi="Arial" w:cs="Arial"/>
          <w:sz w:val="20"/>
          <w:szCs w:val="20"/>
          <w:lang w:eastAsia="en-US"/>
        </w:rPr>
        <w:t>poglavlja</w:t>
      </w:r>
      <w:r w:rsidR="00CE7BE7" w:rsidRPr="00B039CB">
        <w:rPr>
          <w:rFonts w:ascii="Arial" w:eastAsia="Calibri" w:hAnsi="Arial" w:cs="Arial"/>
          <w:sz w:val="20"/>
          <w:szCs w:val="20"/>
          <w:lang w:eastAsia="en-US"/>
        </w:rPr>
        <w:t xml:space="preserve"> 3.1. Komunikacije EK.</w:t>
      </w:r>
    </w:p>
    <w:p w14:paraId="1F1061B7" w14:textId="77777777" w:rsidR="008A76BF" w:rsidRPr="00B039CB" w:rsidRDefault="008A76BF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E48F49" w14:textId="5C89592F" w:rsidR="00316B83" w:rsidRPr="002B4007" w:rsidRDefault="00010806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039CB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="00E06DFD" w:rsidRPr="00B039CB">
        <w:rPr>
          <w:rFonts w:ascii="Arial" w:eastAsia="Calibri" w:hAnsi="Arial" w:cs="Arial"/>
          <w:b/>
          <w:sz w:val="20"/>
          <w:szCs w:val="20"/>
          <w:lang w:eastAsia="en-US"/>
        </w:rPr>
        <w:t>rajanje mjere</w:t>
      </w:r>
      <w:r w:rsidR="00E06DFD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232A120F" w14:textId="0C5F0778" w:rsidR="00E06DFD" w:rsidRPr="002B4007" w:rsidRDefault="00CF6D52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Program osiguranja će se provoditi </w:t>
      </w:r>
      <w:r w:rsidR="00E06DFD" w:rsidRPr="002B4007">
        <w:rPr>
          <w:rFonts w:ascii="Arial" w:eastAsia="Calibri" w:hAnsi="Arial" w:cs="Arial"/>
          <w:sz w:val="20"/>
          <w:szCs w:val="20"/>
          <w:lang w:eastAsia="en-US"/>
        </w:rPr>
        <w:t>do 3</w:t>
      </w:r>
      <w:r w:rsidR="00D3304E">
        <w:rPr>
          <w:rFonts w:ascii="Arial" w:eastAsia="Calibri" w:hAnsi="Arial" w:cs="Arial"/>
          <w:sz w:val="20"/>
          <w:szCs w:val="20"/>
          <w:lang w:eastAsia="en-US"/>
        </w:rPr>
        <w:t>1</w:t>
      </w:r>
      <w:r w:rsidR="00E06DFD" w:rsidRPr="002B400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D3304E">
        <w:rPr>
          <w:rFonts w:ascii="Arial" w:eastAsia="Calibri" w:hAnsi="Arial" w:cs="Arial"/>
          <w:sz w:val="20"/>
          <w:szCs w:val="20"/>
          <w:lang w:eastAsia="en-US"/>
        </w:rPr>
        <w:t>12</w:t>
      </w:r>
      <w:r w:rsidR="00813E03" w:rsidRPr="002B4007">
        <w:rPr>
          <w:rFonts w:ascii="Arial" w:eastAsia="Calibri" w:hAnsi="Arial" w:cs="Arial"/>
          <w:sz w:val="20"/>
          <w:szCs w:val="20"/>
          <w:lang w:eastAsia="en-US"/>
        </w:rPr>
        <w:t>.</w:t>
      </w:r>
      <w:r w:rsidR="00054BA2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06DFD" w:rsidRPr="002B4007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054BA2" w:rsidRPr="002B4007">
        <w:rPr>
          <w:rFonts w:ascii="Arial" w:eastAsia="Calibri" w:hAnsi="Arial" w:cs="Arial"/>
          <w:sz w:val="20"/>
          <w:szCs w:val="20"/>
          <w:lang w:eastAsia="en-US"/>
        </w:rPr>
        <w:t>1</w:t>
      </w:r>
      <w:r w:rsidR="009B33DA" w:rsidRPr="002B4007">
        <w:rPr>
          <w:rFonts w:ascii="Arial" w:eastAsia="Calibri" w:hAnsi="Arial" w:cs="Arial"/>
          <w:sz w:val="20"/>
          <w:szCs w:val="20"/>
          <w:lang w:eastAsia="en-US"/>
        </w:rPr>
        <w:t>.</w:t>
      </w:r>
      <w:r w:rsidR="00824F4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A1188">
        <w:rPr>
          <w:rFonts w:ascii="Arial" w:eastAsia="Calibri" w:hAnsi="Arial" w:cs="Arial"/>
          <w:sz w:val="20"/>
          <w:szCs w:val="20"/>
          <w:lang w:eastAsia="en-US"/>
        </w:rPr>
        <w:t xml:space="preserve">U skladu s time, Osiguranici mogu uključivati u Portfelj kredite za koje su Ugovori o kreditu </w:t>
      </w:r>
      <w:r w:rsidR="00824F4F">
        <w:rPr>
          <w:rFonts w:ascii="Arial" w:eastAsia="Calibri" w:hAnsi="Arial" w:cs="Arial"/>
          <w:sz w:val="20"/>
          <w:szCs w:val="20"/>
          <w:lang w:eastAsia="en-US"/>
        </w:rPr>
        <w:t>zaključe</w:t>
      </w:r>
      <w:r w:rsidR="006A1188">
        <w:rPr>
          <w:rFonts w:ascii="Arial" w:eastAsia="Calibri" w:hAnsi="Arial" w:cs="Arial"/>
          <w:sz w:val="20"/>
          <w:szCs w:val="20"/>
          <w:lang w:eastAsia="en-US"/>
        </w:rPr>
        <w:t>ni do 3</w:t>
      </w:r>
      <w:r w:rsidR="00D3304E">
        <w:rPr>
          <w:rFonts w:ascii="Arial" w:eastAsia="Calibri" w:hAnsi="Arial" w:cs="Arial"/>
          <w:sz w:val="20"/>
          <w:szCs w:val="20"/>
          <w:lang w:eastAsia="en-US"/>
        </w:rPr>
        <w:t>1</w:t>
      </w:r>
      <w:r w:rsidR="006A1188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D3304E">
        <w:rPr>
          <w:rFonts w:ascii="Arial" w:eastAsia="Calibri" w:hAnsi="Arial" w:cs="Arial"/>
          <w:sz w:val="20"/>
          <w:szCs w:val="20"/>
          <w:lang w:eastAsia="en-US"/>
        </w:rPr>
        <w:t>12</w:t>
      </w:r>
      <w:r w:rsidR="006A1188">
        <w:rPr>
          <w:rFonts w:ascii="Arial" w:eastAsia="Calibri" w:hAnsi="Arial" w:cs="Arial"/>
          <w:sz w:val="20"/>
          <w:szCs w:val="20"/>
          <w:lang w:eastAsia="en-US"/>
        </w:rPr>
        <w:t>. 2021.</w:t>
      </w:r>
    </w:p>
    <w:p w14:paraId="41BC97AF" w14:textId="77777777" w:rsidR="00E06DFD" w:rsidRPr="002B4007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13DF6D" w14:textId="36A8DDEF" w:rsidR="00E06DFD" w:rsidRPr="002B4007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Korisnici mjere</w:t>
      </w:r>
    </w:p>
    <w:p w14:paraId="446F440B" w14:textId="1ADF9740" w:rsidR="00E06DFD" w:rsidRPr="002B4007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Krajnji korisnici ove mjere su izvoznici u </w:t>
      </w:r>
      <w:r w:rsidR="00211F8A" w:rsidRPr="002B4007">
        <w:rPr>
          <w:rFonts w:ascii="Arial" w:eastAsia="Calibri" w:hAnsi="Arial" w:cs="Arial"/>
          <w:sz w:val="20"/>
          <w:szCs w:val="20"/>
          <w:lang w:eastAsia="en-US"/>
        </w:rPr>
        <w:t xml:space="preserve">Republici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Hrvatskoj 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="00211F8A" w:rsidRPr="002B4007">
        <w:rPr>
          <w:rFonts w:ascii="Arial" w:eastAsia="Calibri" w:hAnsi="Arial" w:cs="Arial"/>
          <w:sz w:val="20"/>
          <w:szCs w:val="20"/>
          <w:lang w:eastAsia="en-US"/>
        </w:rPr>
        <w:t>sklad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>u s</w:t>
      </w:r>
      <w:r w:rsidR="00211F8A" w:rsidRPr="002B4007">
        <w:rPr>
          <w:rFonts w:ascii="Arial" w:eastAsia="Calibri" w:hAnsi="Arial" w:cs="Arial"/>
          <w:sz w:val="20"/>
          <w:szCs w:val="20"/>
          <w:lang w:eastAsia="en-US"/>
        </w:rPr>
        <w:t xml:space="preserve"> Kriterijima prihvatljivosti za uključenje kredita u portfelj u odnosu na Korisnika kredita,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kojima je potrebna likvidnost za njihove aktivnosti jer su suočeni s poteškoćama koje su rezultat pandemije uzrokovane COVID-19 virusom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(poduzetnici koji nisu bili u teškoćama na 31. </w:t>
      </w:r>
      <w:r w:rsidR="00813E03" w:rsidRPr="002B4007">
        <w:rPr>
          <w:rFonts w:ascii="Arial" w:eastAsia="Calibri" w:hAnsi="Arial" w:cs="Arial"/>
          <w:sz w:val="20"/>
          <w:szCs w:val="20"/>
          <w:lang w:eastAsia="en-US"/>
        </w:rPr>
        <w:t>12.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2019., ali koji su se susreli s poteškoćama u poslovanju kao posljedic</w:t>
      </w:r>
      <w:r w:rsidR="0066489E" w:rsidRPr="002B4007">
        <w:rPr>
          <w:rFonts w:ascii="Arial" w:eastAsia="Calibri" w:hAnsi="Arial" w:cs="Arial"/>
          <w:sz w:val="20"/>
          <w:szCs w:val="20"/>
          <w:lang w:eastAsia="en-US"/>
        </w:rPr>
        <w:t>om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pandemije uzrokovane COVID-19 </w:t>
      </w:r>
      <w:r w:rsidRPr="002248A2">
        <w:rPr>
          <w:rFonts w:ascii="Arial" w:eastAsia="Calibri" w:hAnsi="Arial" w:cs="Arial"/>
          <w:sz w:val="20"/>
          <w:szCs w:val="20"/>
          <w:lang w:eastAsia="en-US"/>
        </w:rPr>
        <w:t>virusom).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B92461D" w14:textId="77777777" w:rsidR="00E06DFD" w:rsidRPr="002B4007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98CADC" w14:textId="276B333A" w:rsidR="00E06DFD" w:rsidRPr="002B4007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Prema ovom Programu osiguranja ne mogu se dodijeliti potpore poduzetnicima koji podliježu neizvršenom nalogu za povrat sredstava na temelju prethodne odluke Europske komisije kojom se potpora ocjenjuje nezakonitom i nespojivom s unutarnjim tržištem.</w:t>
      </w:r>
      <w:r w:rsidR="00A33930">
        <w:rPr>
          <w:rStyle w:val="FootnoteReference"/>
          <w:rFonts w:ascii="Arial" w:eastAsia="Calibri" w:hAnsi="Arial" w:cs="Arial"/>
          <w:sz w:val="20"/>
          <w:szCs w:val="20"/>
          <w:lang w:eastAsia="en-US"/>
        </w:rPr>
        <w:footnoteReference w:id="2"/>
      </w:r>
    </w:p>
    <w:p w14:paraId="41AB2B5F" w14:textId="77777777" w:rsidR="00E06DFD" w:rsidRPr="002B4007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B4B7FB3" w14:textId="0B52D54C" w:rsidR="00E06DFD" w:rsidRPr="002B4007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Sektorski i regionalni opseg mjere</w:t>
      </w:r>
    </w:p>
    <w:p w14:paraId="5A6ECC91" w14:textId="006FEF4D" w:rsidR="00E06DFD" w:rsidRPr="002B4007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Mjera je otvorena za izvoznike iz svih sektora i primjenjivat će se na cijelom teritoriju Republike Hrvatske.</w:t>
      </w:r>
    </w:p>
    <w:p w14:paraId="67AACF02" w14:textId="77777777" w:rsidR="00E06DFD" w:rsidRPr="002B4007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14D562C" w14:textId="0EBA1FE2" w:rsidR="00E732E8" w:rsidRPr="000F6FC3" w:rsidRDefault="003C1A39" w:rsidP="000F6FC3">
      <w:pPr>
        <w:spacing w:line="276" w:lineRule="auto"/>
        <w:jc w:val="both"/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Program</w:t>
      </w:r>
      <w:r w:rsidR="00E732E8" w:rsidRPr="002B4007">
        <w:rPr>
          <w:rFonts w:ascii="Arial" w:eastAsia="Calibri" w:hAnsi="Arial" w:cs="Arial"/>
          <w:sz w:val="20"/>
          <w:szCs w:val="20"/>
          <w:lang w:eastAsia="en-US"/>
        </w:rPr>
        <w:t xml:space="preserve">om osiguranja omogućava se osiguranje kredita za </w:t>
      </w:r>
      <w:r w:rsidR="00506FD2" w:rsidRPr="002B4007">
        <w:rPr>
          <w:rFonts w:ascii="Arial" w:eastAsia="Calibri" w:hAnsi="Arial" w:cs="Arial"/>
          <w:sz w:val="20"/>
          <w:szCs w:val="20"/>
          <w:lang w:eastAsia="en-US"/>
        </w:rPr>
        <w:t>likvidnost</w:t>
      </w:r>
      <w:r w:rsidR="006A1188">
        <w:rPr>
          <w:rFonts w:ascii="Arial" w:eastAsia="Calibri" w:hAnsi="Arial" w:cs="Arial"/>
          <w:sz w:val="20"/>
          <w:szCs w:val="20"/>
          <w:lang w:eastAsia="en-US"/>
        </w:rPr>
        <w:t xml:space="preserve"> s Trajanjem kredita najduže šest godina</w:t>
      </w:r>
      <w:r w:rsidR="00813E03" w:rsidRPr="002B400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4A523B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732E8" w:rsidRPr="002B4007">
        <w:rPr>
          <w:rFonts w:ascii="Arial" w:eastAsia="Calibri" w:hAnsi="Arial" w:cs="Arial"/>
          <w:sz w:val="20"/>
          <w:szCs w:val="20"/>
          <w:lang w:eastAsia="en-US"/>
        </w:rPr>
        <w:t xml:space="preserve">koje Osiguranici odobravaju </w:t>
      </w:r>
      <w:r w:rsidR="002D273A" w:rsidRPr="002B4007">
        <w:rPr>
          <w:rFonts w:ascii="Arial" w:eastAsia="Calibri" w:hAnsi="Arial" w:cs="Arial"/>
          <w:sz w:val="20"/>
          <w:szCs w:val="20"/>
          <w:lang w:eastAsia="en-US"/>
        </w:rPr>
        <w:t xml:space="preserve">poduzetnicima </w:t>
      </w:r>
      <w:r w:rsidR="00E732E8" w:rsidRPr="002B4007">
        <w:rPr>
          <w:rFonts w:ascii="Arial" w:eastAsia="Calibri" w:hAnsi="Arial" w:cs="Arial"/>
          <w:sz w:val="20"/>
          <w:szCs w:val="20"/>
          <w:lang w:eastAsia="en-US"/>
        </w:rPr>
        <w:t xml:space="preserve">koji su u </w:t>
      </w:r>
      <w:r w:rsidR="00824F4F">
        <w:rPr>
          <w:rFonts w:ascii="Arial" w:eastAsia="Calibri" w:hAnsi="Arial" w:cs="Arial"/>
          <w:sz w:val="20"/>
          <w:szCs w:val="20"/>
          <w:lang w:eastAsia="en-US"/>
        </w:rPr>
        <w:t>posljednjoj</w:t>
      </w:r>
      <w:r w:rsidR="00E732E8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poslovnoj godini </w:t>
      </w:r>
      <w:r w:rsidR="00DC4B9B" w:rsidRPr="009B3BE9">
        <w:rPr>
          <w:rFonts w:ascii="Arial" w:eastAsia="Calibri" w:hAnsi="Arial" w:cs="Arial"/>
          <w:sz w:val="20"/>
          <w:szCs w:val="20"/>
          <w:lang w:eastAsia="en-US"/>
        </w:rPr>
        <w:t>koja je prema izjavi poduzetnika relevantna za njegovo poslovanje</w:t>
      </w:r>
      <w:r w:rsidR="00DC4B9B">
        <w:rPr>
          <w:rFonts w:ascii="Arial" w:eastAsia="Calibri" w:hAnsi="Arial" w:cs="Arial"/>
          <w:sz w:val="20"/>
          <w:szCs w:val="20"/>
          <w:lang w:eastAsia="en-US"/>
        </w:rPr>
        <w:t xml:space="preserve"> (ne ranije od 2019.) i</w:t>
      </w:r>
      <w:r w:rsidR="00DC4B9B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65466" w:rsidRPr="002B4007">
        <w:rPr>
          <w:rFonts w:ascii="Arial" w:eastAsia="Calibri" w:hAnsi="Arial" w:cs="Arial"/>
          <w:sz w:val="20"/>
          <w:szCs w:val="20"/>
          <w:lang w:eastAsia="en-US"/>
        </w:rPr>
        <w:t xml:space="preserve">za koju su dostupna službena </w:t>
      </w:r>
      <w:r w:rsidR="00DC4B9B">
        <w:rPr>
          <w:rFonts w:ascii="Arial" w:eastAsia="Calibri" w:hAnsi="Arial" w:cs="Arial"/>
          <w:sz w:val="20"/>
          <w:szCs w:val="20"/>
          <w:lang w:eastAsia="en-US"/>
        </w:rPr>
        <w:t xml:space="preserve">godišnja </w:t>
      </w:r>
      <w:r w:rsidR="00A65466" w:rsidRPr="002B4007">
        <w:rPr>
          <w:rFonts w:ascii="Arial" w:eastAsia="Calibri" w:hAnsi="Arial" w:cs="Arial"/>
          <w:sz w:val="20"/>
          <w:szCs w:val="20"/>
          <w:lang w:eastAsia="en-US"/>
        </w:rPr>
        <w:t>financijska izvješća</w:t>
      </w:r>
      <w:r w:rsidR="000C4741" w:rsidRPr="002B400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A65466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732E8" w:rsidRPr="002B4007">
        <w:rPr>
          <w:rFonts w:ascii="Arial" w:eastAsia="Calibri" w:hAnsi="Arial" w:cs="Arial"/>
          <w:sz w:val="20"/>
          <w:szCs w:val="20"/>
          <w:lang w:eastAsia="en-US"/>
        </w:rPr>
        <w:t>ostvarili</w:t>
      </w:r>
      <w:r w:rsidR="00DC4B9B">
        <w:rPr>
          <w:rFonts w:ascii="Arial" w:eastAsia="Calibri" w:hAnsi="Arial" w:cs="Arial"/>
          <w:sz w:val="20"/>
          <w:szCs w:val="20"/>
          <w:lang w:eastAsia="en-US"/>
        </w:rPr>
        <w:t>: a)</w:t>
      </w:r>
      <w:r w:rsidR="00E732E8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65466" w:rsidRPr="002B4007">
        <w:rPr>
          <w:rFonts w:ascii="Arial" w:eastAsia="Calibri" w:hAnsi="Arial" w:cs="Arial"/>
          <w:sz w:val="20"/>
          <w:szCs w:val="20"/>
          <w:lang w:eastAsia="en-US"/>
        </w:rPr>
        <w:t xml:space="preserve">najmanje </w:t>
      </w:r>
      <w:r w:rsidR="00054BA2" w:rsidRPr="002B4007">
        <w:rPr>
          <w:rFonts w:ascii="Arial" w:eastAsia="Calibri" w:hAnsi="Arial" w:cs="Arial"/>
          <w:sz w:val="20"/>
          <w:szCs w:val="20"/>
          <w:lang w:eastAsia="en-US"/>
        </w:rPr>
        <w:t>1</w:t>
      </w:r>
      <w:r w:rsidR="00A65466" w:rsidRPr="002B4007">
        <w:rPr>
          <w:rFonts w:ascii="Arial" w:eastAsia="Calibri" w:hAnsi="Arial" w:cs="Arial"/>
          <w:sz w:val="20"/>
          <w:szCs w:val="20"/>
          <w:lang w:eastAsia="en-US"/>
        </w:rPr>
        <w:t xml:space="preserve">0% izvoznog prihoda u </w:t>
      </w:r>
      <w:r w:rsidR="009B33DA" w:rsidRPr="002B4007">
        <w:rPr>
          <w:rFonts w:ascii="Arial" w:eastAsia="Calibri" w:hAnsi="Arial" w:cs="Arial"/>
          <w:sz w:val="20"/>
          <w:szCs w:val="20"/>
          <w:lang w:eastAsia="en-US"/>
        </w:rPr>
        <w:t>poslovnim</w:t>
      </w:r>
      <w:r w:rsidR="00A65466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prihodima</w:t>
      </w:r>
      <w:r w:rsidR="003E52C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ili </w:t>
      </w:r>
      <w:r w:rsidR="00DC4B9B">
        <w:rPr>
          <w:rFonts w:ascii="Arial" w:eastAsia="Calibri" w:hAnsi="Arial" w:cs="Arial"/>
          <w:sz w:val="20"/>
          <w:szCs w:val="20"/>
          <w:lang w:eastAsia="en-US"/>
        </w:rPr>
        <w:t xml:space="preserve">b) </w:t>
      </w:r>
      <w:r w:rsidR="000F59BC">
        <w:rPr>
          <w:rFonts w:ascii="Arial" w:eastAsia="Calibri" w:hAnsi="Arial" w:cs="Arial"/>
          <w:sz w:val="20"/>
          <w:szCs w:val="20"/>
          <w:lang w:eastAsia="en-US"/>
        </w:rPr>
        <w:t xml:space="preserve">više od 50% </w:t>
      </w:r>
      <w:r w:rsidR="000F59BC" w:rsidRPr="006C3AC0">
        <w:rPr>
          <w:rFonts w:ascii="Arial" w:eastAsia="Calibri" w:hAnsi="Arial" w:cs="Arial"/>
          <w:sz w:val="20"/>
          <w:szCs w:val="20"/>
          <w:lang w:eastAsia="en-US"/>
        </w:rPr>
        <w:t xml:space="preserve">prihoda od </w:t>
      </w:r>
      <w:r w:rsidR="00D257F4">
        <w:rPr>
          <w:rFonts w:ascii="Arial" w:eastAsia="Calibri" w:hAnsi="Arial" w:cs="Arial"/>
          <w:sz w:val="20"/>
          <w:szCs w:val="20"/>
          <w:lang w:eastAsia="en-US"/>
        </w:rPr>
        <w:t>noćenja</w:t>
      </w:r>
      <w:r w:rsidR="000F59BC" w:rsidRPr="006C3AC0">
        <w:rPr>
          <w:rFonts w:ascii="Arial" w:eastAsia="Calibri" w:hAnsi="Arial" w:cs="Arial"/>
          <w:sz w:val="20"/>
          <w:szCs w:val="20"/>
          <w:lang w:eastAsia="en-US"/>
        </w:rPr>
        <w:t xml:space="preserve"> u poslovnim prihodima</w:t>
      </w:r>
      <w:r w:rsidR="000F59BC">
        <w:rPr>
          <w:rFonts w:ascii="Arial" w:eastAsia="Calibri" w:hAnsi="Arial" w:cs="Arial"/>
          <w:sz w:val="20"/>
          <w:szCs w:val="20"/>
          <w:lang w:eastAsia="en-US"/>
        </w:rPr>
        <w:t>, pri čemu je</w:t>
      </w:r>
      <w:r w:rsidR="000F59BC" w:rsidRPr="006C3A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F6FC3">
        <w:rPr>
          <w:rFonts w:ascii="Arial" w:eastAsia="Calibri" w:hAnsi="Arial" w:cs="Arial"/>
          <w:sz w:val="20"/>
          <w:szCs w:val="20"/>
          <w:lang w:eastAsia="en-US"/>
        </w:rPr>
        <w:t xml:space="preserve">u toj godini </w:t>
      </w:r>
      <w:r w:rsidR="000F59BC">
        <w:rPr>
          <w:rFonts w:ascii="Arial" w:eastAsia="Calibri" w:hAnsi="Arial" w:cs="Arial"/>
          <w:sz w:val="20"/>
          <w:szCs w:val="20"/>
          <w:lang w:eastAsia="en-US"/>
        </w:rPr>
        <w:t xml:space="preserve">udio ostvarenih noćenja </w:t>
      </w:r>
      <w:r w:rsidR="000F59BC" w:rsidRPr="005B6920">
        <w:rPr>
          <w:rFonts w:ascii="Arial" w:eastAsia="Calibri" w:hAnsi="Arial" w:cs="Arial"/>
          <w:sz w:val="20"/>
          <w:szCs w:val="20"/>
          <w:lang w:eastAsia="en-US"/>
        </w:rPr>
        <w:t>nereziden</w:t>
      </w:r>
      <w:r w:rsidR="000F59BC">
        <w:rPr>
          <w:rFonts w:ascii="Arial" w:eastAsia="Calibri" w:hAnsi="Arial" w:cs="Arial"/>
          <w:sz w:val="20"/>
          <w:szCs w:val="20"/>
          <w:lang w:eastAsia="en-US"/>
        </w:rPr>
        <w:t>a</w:t>
      </w:r>
      <w:r w:rsidR="000F59BC" w:rsidRPr="005B6920">
        <w:rPr>
          <w:rFonts w:ascii="Arial" w:eastAsia="Calibri" w:hAnsi="Arial" w:cs="Arial"/>
          <w:sz w:val="20"/>
          <w:szCs w:val="20"/>
          <w:lang w:eastAsia="en-US"/>
        </w:rPr>
        <w:t>t</w:t>
      </w:r>
      <w:r w:rsidR="000F59BC">
        <w:rPr>
          <w:rFonts w:ascii="Arial" w:eastAsia="Calibri" w:hAnsi="Arial" w:cs="Arial"/>
          <w:sz w:val="20"/>
          <w:szCs w:val="20"/>
          <w:lang w:eastAsia="en-US"/>
        </w:rPr>
        <w:t>a</w:t>
      </w:r>
      <w:r w:rsidR="000F59BC" w:rsidRPr="005B6920">
        <w:rPr>
          <w:rFonts w:ascii="Arial" w:eastAsia="Calibri" w:hAnsi="Arial" w:cs="Arial"/>
          <w:sz w:val="20"/>
          <w:szCs w:val="20"/>
          <w:lang w:eastAsia="en-US"/>
        </w:rPr>
        <w:t xml:space="preserve"> Republike Hrvatske </w:t>
      </w:r>
      <w:r w:rsidR="000F59BC" w:rsidRPr="006C3AC0">
        <w:rPr>
          <w:rFonts w:ascii="Arial" w:eastAsia="Calibri" w:hAnsi="Arial" w:cs="Arial"/>
          <w:sz w:val="20"/>
          <w:szCs w:val="20"/>
          <w:lang w:eastAsia="en-US"/>
        </w:rPr>
        <w:t>u ukupnom broju noćenja</w:t>
      </w:r>
      <w:r w:rsidR="000F59BC">
        <w:rPr>
          <w:rFonts w:ascii="Arial" w:eastAsia="Calibri" w:hAnsi="Arial" w:cs="Arial"/>
          <w:sz w:val="20"/>
          <w:szCs w:val="20"/>
          <w:lang w:eastAsia="en-US"/>
        </w:rPr>
        <w:t xml:space="preserve"> najmanje 30% </w:t>
      </w:r>
      <w:r w:rsidR="00DC4B9B">
        <w:rPr>
          <w:rFonts w:ascii="Arial" w:eastAsia="Calibri" w:hAnsi="Arial" w:cs="Arial"/>
          <w:sz w:val="20"/>
          <w:szCs w:val="20"/>
          <w:lang w:eastAsia="en-US"/>
        </w:rPr>
        <w:t>ili c)</w:t>
      </w:r>
      <w:r w:rsidR="00DC4B9B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E52C4" w:rsidRPr="002B4007">
        <w:rPr>
          <w:rFonts w:ascii="Arial" w:eastAsia="Calibri" w:hAnsi="Arial" w:cs="Arial"/>
          <w:sz w:val="20"/>
          <w:szCs w:val="20"/>
          <w:lang w:eastAsia="en-US"/>
        </w:rPr>
        <w:t xml:space="preserve">koji su ostvarili najmanje </w:t>
      </w:r>
      <w:r w:rsidR="00054BA2" w:rsidRPr="002B4007">
        <w:rPr>
          <w:rFonts w:ascii="Arial" w:eastAsia="Calibri" w:hAnsi="Arial" w:cs="Arial"/>
          <w:sz w:val="20"/>
          <w:szCs w:val="20"/>
          <w:lang w:eastAsia="en-US"/>
        </w:rPr>
        <w:t>2</w:t>
      </w:r>
      <w:r w:rsidR="003E52C4" w:rsidRPr="002B4007">
        <w:rPr>
          <w:rFonts w:ascii="Arial" w:eastAsia="Calibri" w:hAnsi="Arial" w:cs="Arial"/>
          <w:sz w:val="20"/>
          <w:szCs w:val="20"/>
          <w:lang w:eastAsia="en-US"/>
        </w:rPr>
        <w:t>0% prihoda s jednim ili više izvoznika</w:t>
      </w:r>
      <w:r w:rsidR="00DC4B9B" w:rsidRPr="002B4007">
        <w:rPr>
          <w:rFonts w:ascii="Arial" w:eastAsia="Calibri" w:hAnsi="Arial" w:cs="Arial"/>
          <w:sz w:val="20"/>
          <w:szCs w:val="20"/>
          <w:lang w:eastAsia="en-US"/>
        </w:rPr>
        <w:t xml:space="preserve"> (dalje: Izvoznici)</w:t>
      </w:r>
      <w:r w:rsidR="00E732E8" w:rsidRPr="002B4007">
        <w:rPr>
          <w:rStyle w:val="FootnoteReference"/>
          <w:rFonts w:ascii="Arial" w:eastAsia="Calibri" w:hAnsi="Arial" w:cs="Arial"/>
          <w:sz w:val="20"/>
          <w:szCs w:val="20"/>
          <w:lang w:eastAsia="en-US"/>
        </w:rPr>
        <w:footnoteReference w:id="3"/>
      </w:r>
      <w:r w:rsidR="004A523B" w:rsidRPr="002B4007">
        <w:rPr>
          <w:rFonts w:ascii="Arial" w:eastAsia="Calibri" w:hAnsi="Arial" w:cs="Arial"/>
          <w:sz w:val="20"/>
          <w:szCs w:val="20"/>
          <w:lang w:eastAsia="en-US"/>
        </w:rPr>
        <w:t>.</w:t>
      </w:r>
      <w:r w:rsidR="005B226F" w:rsidRPr="005B226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B226F">
        <w:rPr>
          <w:rFonts w:ascii="Arial" w:eastAsia="Calibri" w:hAnsi="Arial" w:cs="Arial"/>
          <w:sz w:val="20"/>
          <w:szCs w:val="20"/>
          <w:lang w:eastAsia="en-US"/>
        </w:rPr>
        <w:t xml:space="preserve">Trajanje kredita uključuje korištenje Kredita </w:t>
      </w:r>
      <w:r w:rsidR="005B226F" w:rsidRPr="002B4007">
        <w:rPr>
          <w:rFonts w:ascii="Arial" w:eastAsia="Calibri" w:hAnsi="Arial" w:cs="Arial"/>
          <w:sz w:val="20"/>
          <w:szCs w:val="20"/>
          <w:lang w:eastAsia="en-US"/>
        </w:rPr>
        <w:t>i Rok otplate</w:t>
      </w:r>
      <w:r w:rsidR="00BA4D93">
        <w:rPr>
          <w:rFonts w:ascii="Arial" w:eastAsia="Calibri" w:hAnsi="Arial" w:cs="Arial"/>
          <w:sz w:val="20"/>
          <w:szCs w:val="20"/>
          <w:lang w:eastAsia="en-US"/>
        </w:rPr>
        <w:t xml:space="preserve"> kredita</w:t>
      </w:r>
      <w:r w:rsidR="00652D3D">
        <w:rPr>
          <w:rFonts w:ascii="Arial" w:eastAsia="Calibri" w:hAnsi="Arial" w:cs="Arial"/>
          <w:sz w:val="20"/>
          <w:szCs w:val="20"/>
          <w:lang w:eastAsia="en-US"/>
        </w:rPr>
        <w:t xml:space="preserve">, koji uključuje </w:t>
      </w:r>
      <w:r w:rsidR="005B226F">
        <w:rPr>
          <w:rFonts w:ascii="Arial" w:eastAsia="Calibri" w:hAnsi="Arial" w:cs="Arial"/>
          <w:sz w:val="20"/>
          <w:szCs w:val="20"/>
          <w:lang w:eastAsia="en-US"/>
        </w:rPr>
        <w:t xml:space="preserve">poček </w:t>
      </w:r>
      <w:r w:rsidR="00652D3D">
        <w:rPr>
          <w:rFonts w:ascii="Arial" w:eastAsia="Calibri" w:hAnsi="Arial" w:cs="Arial"/>
          <w:sz w:val="20"/>
          <w:szCs w:val="20"/>
          <w:lang w:eastAsia="en-US"/>
        </w:rPr>
        <w:t>do</w:t>
      </w:r>
      <w:r w:rsidR="005B226F">
        <w:rPr>
          <w:rFonts w:ascii="Arial" w:eastAsia="Calibri" w:hAnsi="Arial" w:cs="Arial"/>
          <w:sz w:val="20"/>
          <w:szCs w:val="20"/>
          <w:lang w:eastAsia="en-US"/>
        </w:rPr>
        <w:t xml:space="preserve"> jedn</w:t>
      </w:r>
      <w:r w:rsidR="00652D3D">
        <w:rPr>
          <w:rFonts w:ascii="Arial" w:eastAsia="Calibri" w:hAnsi="Arial" w:cs="Arial"/>
          <w:sz w:val="20"/>
          <w:szCs w:val="20"/>
          <w:lang w:eastAsia="en-US"/>
        </w:rPr>
        <w:t>e</w:t>
      </w:r>
      <w:r w:rsidR="005B226F">
        <w:rPr>
          <w:rFonts w:ascii="Arial" w:eastAsia="Calibri" w:hAnsi="Arial" w:cs="Arial"/>
          <w:sz w:val="20"/>
          <w:szCs w:val="20"/>
          <w:lang w:eastAsia="en-US"/>
        </w:rPr>
        <w:t xml:space="preserve"> godin</w:t>
      </w:r>
      <w:r w:rsidR="00652D3D">
        <w:rPr>
          <w:rFonts w:ascii="Arial" w:eastAsia="Calibri" w:hAnsi="Arial" w:cs="Arial"/>
          <w:sz w:val="20"/>
          <w:szCs w:val="20"/>
          <w:lang w:eastAsia="en-US"/>
        </w:rPr>
        <w:t>e</w:t>
      </w:r>
      <w:r w:rsidR="005B226F">
        <w:rPr>
          <w:rFonts w:ascii="Arial" w:eastAsia="Calibri" w:hAnsi="Arial" w:cs="Arial"/>
          <w:sz w:val="20"/>
          <w:szCs w:val="20"/>
          <w:lang w:eastAsia="en-US"/>
        </w:rPr>
        <w:t xml:space="preserve"> i otplat</w:t>
      </w:r>
      <w:r w:rsidR="00652D3D">
        <w:rPr>
          <w:rFonts w:ascii="Arial" w:eastAsia="Calibri" w:hAnsi="Arial" w:cs="Arial"/>
          <w:sz w:val="20"/>
          <w:szCs w:val="20"/>
          <w:lang w:eastAsia="en-US"/>
        </w:rPr>
        <w:t>u Kredit</w:t>
      </w:r>
      <w:r w:rsidR="005B226F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652D3D">
        <w:rPr>
          <w:rFonts w:ascii="Arial" w:eastAsia="Calibri" w:hAnsi="Arial" w:cs="Arial"/>
          <w:sz w:val="20"/>
          <w:szCs w:val="20"/>
          <w:lang w:eastAsia="en-US"/>
        </w:rPr>
        <w:t>do pet</w:t>
      </w:r>
      <w:r w:rsidR="005B226F">
        <w:rPr>
          <w:rFonts w:ascii="Arial" w:eastAsia="Calibri" w:hAnsi="Arial" w:cs="Arial"/>
          <w:sz w:val="20"/>
          <w:szCs w:val="20"/>
          <w:lang w:eastAsia="en-US"/>
        </w:rPr>
        <w:t xml:space="preserve"> godina</w:t>
      </w:r>
      <w:r w:rsidR="00652D3D">
        <w:rPr>
          <w:rFonts w:ascii="Arial" w:eastAsia="Calibri" w:hAnsi="Arial" w:cs="Arial"/>
          <w:sz w:val="20"/>
          <w:szCs w:val="20"/>
          <w:lang w:eastAsia="en-US"/>
        </w:rPr>
        <w:t>,</w:t>
      </w:r>
      <w:r w:rsidR="00BA4D93" w:rsidRPr="00BA4D93">
        <w:t xml:space="preserve"> </w:t>
      </w:r>
      <w:r w:rsidR="00BA4D93" w:rsidRPr="00BA4D93">
        <w:rPr>
          <w:rFonts w:ascii="Arial" w:eastAsia="Calibri" w:hAnsi="Arial" w:cs="Arial"/>
          <w:sz w:val="20"/>
          <w:szCs w:val="20"/>
          <w:lang w:eastAsia="en-US"/>
        </w:rPr>
        <w:t>pri čemu ni u kojem slučaju Trajanje kredita ne može biti duže od šest godina</w:t>
      </w:r>
      <w:r w:rsidR="005B226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EEF89C2" w14:textId="77777777" w:rsidR="00E732E8" w:rsidRPr="002B4007" w:rsidRDefault="00E732E8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52C5430" w14:textId="55B5EB16" w:rsidR="00E276F7" w:rsidRPr="002B4007" w:rsidRDefault="004A523B" w:rsidP="00824F4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Osiguratelj</w:t>
      </w:r>
      <w:r w:rsidR="0070419A" w:rsidRPr="002B4007">
        <w:rPr>
          <w:rFonts w:ascii="Arial" w:eastAsia="Calibri" w:hAnsi="Arial" w:cs="Arial"/>
          <w:sz w:val="20"/>
          <w:szCs w:val="20"/>
          <w:lang w:eastAsia="en-US"/>
        </w:rPr>
        <w:t xml:space="preserve"> će </w:t>
      </w:r>
      <w:r w:rsidR="001456D5" w:rsidRPr="002B4007">
        <w:rPr>
          <w:rFonts w:ascii="Arial" w:eastAsia="Calibri" w:hAnsi="Arial" w:cs="Arial"/>
          <w:sz w:val="20"/>
          <w:szCs w:val="20"/>
          <w:lang w:eastAsia="en-US"/>
        </w:rPr>
        <w:t xml:space="preserve">s </w:t>
      </w:r>
      <w:r w:rsidR="00657601" w:rsidRPr="002B4007">
        <w:rPr>
          <w:rFonts w:ascii="Arial" w:eastAsia="Calibri" w:hAnsi="Arial" w:cs="Arial"/>
          <w:sz w:val="20"/>
          <w:szCs w:val="20"/>
          <w:lang w:eastAsia="en-US"/>
        </w:rPr>
        <w:t xml:space="preserve">pojedinim </w:t>
      </w:r>
      <w:r w:rsidR="001456D5" w:rsidRPr="002B4007">
        <w:rPr>
          <w:rFonts w:ascii="Arial" w:eastAsia="Calibri" w:hAnsi="Arial" w:cs="Arial"/>
          <w:sz w:val="20"/>
          <w:szCs w:val="20"/>
          <w:lang w:eastAsia="en-US"/>
        </w:rPr>
        <w:t>Osiguranikom</w:t>
      </w:r>
      <w:r w:rsidR="0070419A" w:rsidRPr="002B4007">
        <w:rPr>
          <w:rFonts w:ascii="Arial" w:eastAsia="Calibri" w:hAnsi="Arial" w:cs="Arial"/>
          <w:sz w:val="20"/>
          <w:szCs w:val="20"/>
          <w:lang w:eastAsia="en-US"/>
        </w:rPr>
        <w:t xml:space="preserve"> zaključiti Sporazum o osiguranju portfelja kojim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se utvrđuje njihova poslovna suradnja u provođenju ovog Programa osiguranja te kojim Osiguratelj </w:t>
      </w:r>
      <w:r w:rsidR="0070419A" w:rsidRPr="002B4007">
        <w:rPr>
          <w:rFonts w:ascii="Arial" w:eastAsia="Calibri" w:hAnsi="Arial" w:cs="Arial"/>
          <w:sz w:val="20"/>
          <w:szCs w:val="20"/>
          <w:lang w:eastAsia="en-US"/>
        </w:rPr>
        <w:t>osigura</w:t>
      </w:r>
      <w:r w:rsidR="001456D5" w:rsidRPr="002B4007">
        <w:rPr>
          <w:rFonts w:ascii="Arial" w:eastAsia="Calibri" w:hAnsi="Arial" w:cs="Arial"/>
          <w:sz w:val="20"/>
          <w:szCs w:val="20"/>
          <w:lang w:eastAsia="en-US"/>
        </w:rPr>
        <w:t>va</w:t>
      </w:r>
      <w:r w:rsidR="0070419A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od neplaćanja </w:t>
      </w:r>
      <w:r w:rsidR="00A14448" w:rsidRPr="002B4007">
        <w:rPr>
          <w:rFonts w:ascii="Arial" w:eastAsia="Calibri" w:hAnsi="Arial" w:cs="Arial"/>
          <w:sz w:val="20"/>
          <w:szCs w:val="20"/>
          <w:lang w:eastAsia="en-US"/>
        </w:rPr>
        <w:t>Kredit</w:t>
      </w:r>
      <w:r w:rsidR="00A14448">
        <w:rPr>
          <w:rFonts w:ascii="Arial" w:eastAsia="Calibri" w:hAnsi="Arial" w:cs="Arial"/>
          <w:sz w:val="20"/>
          <w:szCs w:val="20"/>
          <w:lang w:eastAsia="en-US"/>
        </w:rPr>
        <w:t>a</w:t>
      </w:r>
      <w:r w:rsidR="00A14448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05926" w:rsidRPr="002B4007">
        <w:rPr>
          <w:rFonts w:ascii="Arial" w:eastAsia="Calibri" w:hAnsi="Arial" w:cs="Arial"/>
          <w:sz w:val="20"/>
          <w:szCs w:val="20"/>
          <w:lang w:eastAsia="en-US"/>
        </w:rPr>
        <w:t>koje Osiguranik uključi u Portfelj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.</w:t>
      </w:r>
      <w:r w:rsidR="00E276F7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4147E" w:rsidRPr="002B4007">
        <w:rPr>
          <w:rFonts w:ascii="Arial" w:eastAsia="Calibri" w:hAnsi="Arial" w:cs="Arial"/>
          <w:sz w:val="20"/>
          <w:szCs w:val="20"/>
          <w:lang w:eastAsia="en-US"/>
        </w:rPr>
        <w:t>Osiguranici</w:t>
      </w:r>
      <w:r w:rsidR="00E276F7" w:rsidRPr="002B4007">
        <w:rPr>
          <w:rFonts w:ascii="Arial" w:eastAsia="Calibri" w:hAnsi="Arial" w:cs="Arial"/>
          <w:sz w:val="20"/>
          <w:szCs w:val="20"/>
          <w:lang w:eastAsia="en-US"/>
        </w:rPr>
        <w:t xml:space="preserve"> neće podnositi pojedinačne zahtjeve za osiguranje, već će samostalno uključivati kredite u osigurani portfelj i na kvartalnoj razini izvještavati </w:t>
      </w:r>
      <w:r w:rsidR="0084147E" w:rsidRPr="002B4007">
        <w:rPr>
          <w:rFonts w:ascii="Arial" w:eastAsia="Calibri" w:hAnsi="Arial" w:cs="Arial"/>
          <w:sz w:val="20"/>
          <w:szCs w:val="20"/>
          <w:lang w:eastAsia="en-US"/>
        </w:rPr>
        <w:t>Osiguratelja</w:t>
      </w:r>
      <w:r w:rsidR="00E276F7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 tako odobrenim kreditima</w:t>
      </w:r>
      <w:r w:rsidR="00632D6A" w:rsidRPr="002B400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bookmarkStart w:id="7" w:name="_Hlk57084192"/>
      <w:r w:rsidR="00632D6A" w:rsidRPr="002B4007">
        <w:rPr>
          <w:rFonts w:ascii="Arial" w:eastAsia="Calibri" w:hAnsi="Arial" w:cs="Arial"/>
          <w:sz w:val="20"/>
          <w:szCs w:val="20"/>
          <w:lang w:eastAsia="en-US"/>
        </w:rPr>
        <w:t>Iznimno, za</w:t>
      </w:r>
      <w:r w:rsidR="00367985" w:rsidRPr="002B4007">
        <w:rPr>
          <w:rFonts w:ascii="Arial" w:eastAsia="Calibri" w:hAnsi="Arial" w:cs="Arial"/>
          <w:sz w:val="20"/>
          <w:szCs w:val="20"/>
          <w:lang w:eastAsia="en-US"/>
        </w:rPr>
        <w:t xml:space="preserve"> kredit</w:t>
      </w:r>
      <w:r w:rsidR="00632D6A" w:rsidRPr="002B400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B610C2" w:rsidRPr="00B610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67985" w:rsidRPr="002B4007">
        <w:rPr>
          <w:rFonts w:ascii="Arial" w:eastAsia="Calibri" w:hAnsi="Arial" w:cs="Arial"/>
          <w:sz w:val="20"/>
          <w:szCs w:val="20"/>
          <w:lang w:eastAsia="en-US"/>
        </w:rPr>
        <w:t>koji iznose 37 milijuna HRK ili više</w:t>
      </w:r>
      <w:r w:rsidR="00B610C2">
        <w:rPr>
          <w:rFonts w:ascii="Arial" w:eastAsia="Calibri" w:hAnsi="Arial" w:cs="Arial"/>
          <w:sz w:val="20"/>
          <w:szCs w:val="20"/>
          <w:lang w:eastAsia="en-US"/>
        </w:rPr>
        <w:t xml:space="preserve">, ili </w:t>
      </w:r>
      <w:r w:rsidR="00B610C2" w:rsidRPr="00B610C2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="00E570F8">
        <w:rPr>
          <w:rFonts w:ascii="Arial" w:eastAsia="Calibri" w:hAnsi="Arial" w:cs="Arial"/>
          <w:sz w:val="20"/>
          <w:szCs w:val="20"/>
          <w:lang w:eastAsia="en-US"/>
        </w:rPr>
        <w:t xml:space="preserve">istoj </w:t>
      </w:r>
      <w:r w:rsidR="00B610C2" w:rsidRPr="00B610C2">
        <w:rPr>
          <w:rFonts w:ascii="Arial" w:eastAsia="Calibri" w:hAnsi="Arial" w:cs="Arial"/>
          <w:sz w:val="20"/>
          <w:szCs w:val="20"/>
          <w:lang w:eastAsia="en-US"/>
        </w:rPr>
        <w:t>protuvrijednosti po srednjem tečaju HNB-a za EUR koji se primjenjuje na dan zaključenja Sporazuma o osiguranju portfelja</w:t>
      </w:r>
      <w:r w:rsidR="007C6057">
        <w:rPr>
          <w:rFonts w:ascii="Arial" w:eastAsia="Calibri" w:hAnsi="Arial" w:cs="Arial"/>
          <w:sz w:val="20"/>
          <w:szCs w:val="20"/>
          <w:lang w:eastAsia="en-US"/>
        </w:rPr>
        <w:t xml:space="preserve"> između Osiguratelja i Osiguranika</w:t>
      </w:r>
      <w:r w:rsidR="00367985" w:rsidRPr="002B400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16160">
        <w:rPr>
          <w:rFonts w:ascii="Arial" w:eastAsia="Calibri" w:hAnsi="Arial" w:cs="Arial"/>
          <w:sz w:val="20"/>
          <w:szCs w:val="20"/>
          <w:lang w:eastAsia="en-US"/>
        </w:rPr>
        <w:t xml:space="preserve"> koje</w:t>
      </w:r>
      <w:r w:rsidR="00367985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Osiguranici </w:t>
      </w:r>
      <w:r w:rsidR="00D16160">
        <w:rPr>
          <w:rFonts w:ascii="Arial" w:eastAsia="Calibri" w:hAnsi="Arial" w:cs="Arial"/>
          <w:sz w:val="20"/>
          <w:szCs w:val="20"/>
          <w:lang w:eastAsia="en-US"/>
        </w:rPr>
        <w:t>žele uključiti</w:t>
      </w:r>
      <w:r w:rsidR="00D16160" w:rsidRPr="005D313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16160">
        <w:rPr>
          <w:rFonts w:ascii="Arial" w:eastAsia="Calibri" w:hAnsi="Arial" w:cs="Arial"/>
          <w:sz w:val="20"/>
          <w:szCs w:val="20"/>
          <w:lang w:eastAsia="en-US"/>
        </w:rPr>
        <w:t xml:space="preserve">u Portfelj </w:t>
      </w:r>
      <w:r w:rsidR="00D16160" w:rsidRPr="002B4007">
        <w:rPr>
          <w:rFonts w:ascii="Arial" w:eastAsia="Calibri" w:hAnsi="Arial" w:cs="Arial"/>
          <w:sz w:val="20"/>
          <w:szCs w:val="20"/>
          <w:lang w:eastAsia="en-US"/>
        </w:rPr>
        <w:t>uz pokriće veće od 50%</w:t>
      </w:r>
      <w:r w:rsidR="00E53740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1616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7"/>
      <w:r w:rsidR="00E53740">
        <w:rPr>
          <w:rFonts w:ascii="Arial" w:eastAsia="Calibri" w:hAnsi="Arial" w:cs="Arial"/>
          <w:sz w:val="20"/>
          <w:szCs w:val="20"/>
          <w:lang w:eastAsia="en-US"/>
        </w:rPr>
        <w:t>Osiguranici će o</w:t>
      </w:r>
      <w:r w:rsidR="00E53740" w:rsidRPr="002B4007">
        <w:rPr>
          <w:rFonts w:ascii="Arial" w:eastAsia="Calibri" w:hAnsi="Arial" w:cs="Arial"/>
          <w:sz w:val="20"/>
          <w:szCs w:val="20"/>
          <w:lang w:eastAsia="en-US"/>
        </w:rPr>
        <w:t>d Osiguratelja</w:t>
      </w:r>
      <w:r w:rsidR="00E53740">
        <w:rPr>
          <w:rFonts w:ascii="Arial" w:eastAsia="Calibri" w:hAnsi="Arial" w:cs="Arial"/>
          <w:sz w:val="20"/>
          <w:szCs w:val="20"/>
          <w:lang w:eastAsia="en-US"/>
        </w:rPr>
        <w:t xml:space="preserve"> za</w:t>
      </w:r>
      <w:r w:rsidR="00E53740" w:rsidRPr="002B4007">
        <w:rPr>
          <w:rFonts w:ascii="Arial" w:eastAsia="Calibri" w:hAnsi="Arial" w:cs="Arial"/>
          <w:sz w:val="20"/>
          <w:szCs w:val="20"/>
          <w:lang w:eastAsia="en-US"/>
        </w:rPr>
        <w:t>tražiti prethodnu suglasnost za</w:t>
      </w:r>
      <w:r w:rsidR="00E5374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53740" w:rsidRPr="002B4007">
        <w:rPr>
          <w:rFonts w:ascii="Arial" w:eastAsia="Calibri" w:hAnsi="Arial" w:cs="Arial"/>
          <w:sz w:val="20"/>
          <w:szCs w:val="20"/>
          <w:lang w:eastAsia="en-US"/>
        </w:rPr>
        <w:t xml:space="preserve">uključenje </w:t>
      </w:r>
      <w:r w:rsidR="00E53740">
        <w:rPr>
          <w:rFonts w:ascii="Arial" w:eastAsia="Calibri" w:hAnsi="Arial" w:cs="Arial"/>
          <w:sz w:val="20"/>
          <w:szCs w:val="20"/>
          <w:lang w:eastAsia="en-US"/>
        </w:rPr>
        <w:t xml:space="preserve">predmetnih kredita </w:t>
      </w:r>
      <w:r w:rsidR="00E53740" w:rsidRPr="002B4007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="00E53740">
        <w:rPr>
          <w:rFonts w:ascii="Arial" w:eastAsia="Calibri" w:hAnsi="Arial" w:cs="Arial"/>
          <w:sz w:val="20"/>
          <w:szCs w:val="20"/>
          <w:lang w:eastAsia="en-US"/>
        </w:rPr>
        <w:t>P</w:t>
      </w:r>
      <w:r w:rsidR="00E53740" w:rsidRPr="002B4007">
        <w:rPr>
          <w:rFonts w:ascii="Arial" w:eastAsia="Calibri" w:hAnsi="Arial" w:cs="Arial"/>
          <w:sz w:val="20"/>
          <w:szCs w:val="20"/>
          <w:lang w:eastAsia="en-US"/>
        </w:rPr>
        <w:t>ortfelj</w:t>
      </w:r>
      <w:r w:rsidR="00E53740">
        <w:rPr>
          <w:rFonts w:ascii="Arial" w:eastAsia="Calibri" w:hAnsi="Arial" w:cs="Arial"/>
          <w:sz w:val="20"/>
          <w:szCs w:val="20"/>
          <w:lang w:eastAsia="en-US"/>
        </w:rPr>
        <w:t>.</w:t>
      </w:r>
      <w:r w:rsidR="00E570F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3DD46CF" w14:textId="77777777" w:rsidR="00010806" w:rsidRPr="002B4007" w:rsidRDefault="00010806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684C506" w14:textId="63BBCEBD" w:rsidR="00134E36" w:rsidRPr="002B4007" w:rsidRDefault="00E276F7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U regresnoj naplati</w:t>
      </w:r>
      <w:r w:rsidR="00010806" w:rsidRPr="002B4007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priljevi iz svih instrumenata osiguranja ugovorenih po </w:t>
      </w:r>
      <w:r w:rsidR="00EE4A6E">
        <w:rPr>
          <w:rFonts w:ascii="Arial" w:eastAsia="Calibri" w:hAnsi="Arial" w:cs="Arial"/>
          <w:sz w:val="20"/>
          <w:szCs w:val="20"/>
          <w:lang w:eastAsia="en-US"/>
        </w:rPr>
        <w:t>K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reditu, </w:t>
      </w:r>
      <w:r w:rsidR="007E3958" w:rsidRPr="00E53740">
        <w:rPr>
          <w:rFonts w:ascii="Arial" w:eastAsia="Calibri" w:hAnsi="Arial" w:cs="Arial"/>
          <w:sz w:val="20"/>
          <w:szCs w:val="20"/>
          <w:lang w:eastAsia="en-US"/>
        </w:rPr>
        <w:t xml:space="preserve">ako </w:t>
      </w:r>
      <w:r w:rsidR="00010806" w:rsidRPr="00E53740">
        <w:rPr>
          <w:rFonts w:ascii="Arial" w:eastAsia="Calibri" w:hAnsi="Arial" w:cs="Arial"/>
          <w:sz w:val="20"/>
          <w:szCs w:val="20"/>
          <w:lang w:eastAsia="en-US"/>
        </w:rPr>
        <w:t xml:space="preserve">isti </w:t>
      </w:r>
      <w:r w:rsidRPr="00E53740">
        <w:rPr>
          <w:rFonts w:ascii="Arial" w:eastAsia="Calibri" w:hAnsi="Arial" w:cs="Arial"/>
          <w:sz w:val="20"/>
          <w:szCs w:val="20"/>
          <w:lang w:eastAsia="en-US"/>
        </w:rPr>
        <w:t>budu ugovoreni, dijelit</w:t>
      </w:r>
      <w:r w:rsidR="0084147E" w:rsidRPr="00E53740">
        <w:rPr>
          <w:rFonts w:ascii="Arial" w:eastAsia="Calibri" w:hAnsi="Arial" w:cs="Arial"/>
          <w:sz w:val="20"/>
          <w:szCs w:val="20"/>
          <w:lang w:eastAsia="en-US"/>
        </w:rPr>
        <w:t xml:space="preserve"> će se</w:t>
      </w:r>
      <w:r w:rsidRPr="00E53740">
        <w:rPr>
          <w:rFonts w:ascii="Arial" w:eastAsia="Calibri" w:hAnsi="Arial" w:cs="Arial"/>
          <w:sz w:val="20"/>
          <w:szCs w:val="20"/>
          <w:lang w:eastAsia="en-US"/>
        </w:rPr>
        <w:t xml:space="preserve"> između Osiguratelja i Osiguranika </w:t>
      </w:r>
      <w:r w:rsidR="008C3640" w:rsidRPr="00E53740">
        <w:rPr>
          <w:rFonts w:ascii="Arial" w:eastAsia="Calibri" w:hAnsi="Arial" w:cs="Arial"/>
          <w:sz w:val="20"/>
          <w:szCs w:val="20"/>
          <w:lang w:eastAsia="en-US"/>
        </w:rPr>
        <w:t xml:space="preserve">pro rata </w:t>
      </w:r>
      <w:r w:rsidRPr="00E53740">
        <w:rPr>
          <w:rFonts w:ascii="Arial" w:eastAsia="Calibri" w:hAnsi="Arial" w:cs="Arial"/>
          <w:sz w:val="20"/>
          <w:szCs w:val="20"/>
          <w:lang w:eastAsia="en-US"/>
        </w:rPr>
        <w:t xml:space="preserve">u visini </w:t>
      </w:r>
      <w:r w:rsidR="008707F4" w:rsidRPr="00E53740">
        <w:rPr>
          <w:rFonts w:ascii="Arial" w:eastAsia="Calibri" w:hAnsi="Arial" w:cs="Arial"/>
          <w:sz w:val="20"/>
          <w:szCs w:val="20"/>
          <w:lang w:eastAsia="en-US"/>
        </w:rPr>
        <w:t xml:space="preserve">ugovorenog </w:t>
      </w:r>
      <w:r w:rsidRPr="00E53740">
        <w:rPr>
          <w:rFonts w:ascii="Arial" w:eastAsia="Calibri" w:hAnsi="Arial" w:cs="Arial"/>
          <w:sz w:val="20"/>
          <w:szCs w:val="20"/>
          <w:lang w:eastAsia="en-US"/>
        </w:rPr>
        <w:t>pokrića osiguranjem</w:t>
      </w:r>
      <w:r w:rsidR="008C3640" w:rsidRPr="00E5374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E874016" w14:textId="77777777" w:rsidR="00053258" w:rsidRPr="002B4007" w:rsidRDefault="00053258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B25BB8" w14:textId="02283A72" w:rsidR="00134E36" w:rsidRPr="002B4007" w:rsidRDefault="00134E36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Sastavni dio Sporazuma o osiguranju</w:t>
      </w:r>
      <w:r w:rsidR="001456D5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portfelja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su, među ostalim, i Opći uvjeti osiguranja portfelja kredita za </w:t>
      </w:r>
      <w:r w:rsidR="00506FD2" w:rsidRPr="002B4007">
        <w:rPr>
          <w:rFonts w:ascii="Arial" w:eastAsia="Calibri" w:hAnsi="Arial" w:cs="Arial"/>
          <w:sz w:val="20"/>
          <w:szCs w:val="20"/>
          <w:lang w:eastAsia="en-US"/>
        </w:rPr>
        <w:t>likvidnost za izvoznike -</w:t>
      </w:r>
      <w:r w:rsidR="008C3640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06FD2" w:rsidRPr="002B4007">
        <w:rPr>
          <w:rFonts w:ascii="Arial" w:eastAsia="Calibri" w:hAnsi="Arial" w:cs="Arial"/>
          <w:sz w:val="20"/>
          <w:szCs w:val="20"/>
          <w:lang w:eastAsia="en-US"/>
        </w:rPr>
        <w:t>mjer</w:t>
      </w:r>
      <w:r w:rsidR="00010806" w:rsidRPr="002B4007">
        <w:rPr>
          <w:rFonts w:ascii="Arial" w:eastAsia="Calibri" w:hAnsi="Arial" w:cs="Arial"/>
          <w:sz w:val="20"/>
          <w:szCs w:val="20"/>
          <w:lang w:eastAsia="en-US"/>
        </w:rPr>
        <w:t>a</w:t>
      </w:r>
      <w:r w:rsidR="00506FD2" w:rsidRPr="002B4007">
        <w:rPr>
          <w:rFonts w:ascii="Arial" w:eastAsia="Calibri" w:hAnsi="Arial" w:cs="Arial"/>
          <w:sz w:val="20"/>
          <w:szCs w:val="20"/>
          <w:lang w:eastAsia="en-US"/>
        </w:rPr>
        <w:t xml:space="preserve"> Covid</w:t>
      </w:r>
      <w:r w:rsidR="00010806" w:rsidRPr="002B4007">
        <w:rPr>
          <w:rFonts w:ascii="Arial" w:eastAsia="Calibri" w:hAnsi="Arial" w:cs="Arial"/>
          <w:sz w:val="20"/>
          <w:szCs w:val="20"/>
          <w:lang w:eastAsia="en-US"/>
        </w:rPr>
        <w:t>-</w:t>
      </w:r>
      <w:r w:rsidR="00506FD2" w:rsidRPr="002B4007">
        <w:rPr>
          <w:rFonts w:ascii="Arial" w:eastAsia="Calibri" w:hAnsi="Arial" w:cs="Arial"/>
          <w:sz w:val="20"/>
          <w:szCs w:val="20"/>
          <w:lang w:eastAsia="en-US"/>
        </w:rPr>
        <w:t>19</w:t>
      </w:r>
      <w:r w:rsidR="004B2DE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B2DEF" w:rsidRPr="004B2DEF">
        <w:rPr>
          <w:rFonts w:ascii="Arial" w:eastAsia="Calibri" w:hAnsi="Arial" w:cs="Arial"/>
          <w:sz w:val="20"/>
          <w:szCs w:val="20"/>
          <w:lang w:eastAsia="en-US"/>
        </w:rPr>
        <w:t>OU-OPK-COVID-0</w:t>
      </w:r>
      <w:r w:rsidR="005D4225">
        <w:rPr>
          <w:rFonts w:ascii="Arial" w:eastAsia="Calibri" w:hAnsi="Arial" w:cs="Arial"/>
          <w:sz w:val="20"/>
          <w:szCs w:val="20"/>
          <w:lang w:eastAsia="en-US"/>
        </w:rPr>
        <w:t>1</w:t>
      </w:r>
      <w:r w:rsidR="004B2DEF" w:rsidRPr="004B2DEF">
        <w:rPr>
          <w:rFonts w:ascii="Arial" w:eastAsia="Calibri" w:hAnsi="Arial" w:cs="Arial"/>
          <w:sz w:val="20"/>
          <w:szCs w:val="20"/>
          <w:lang w:eastAsia="en-US"/>
        </w:rPr>
        <w:t>/2</w:t>
      </w:r>
      <w:r w:rsidR="005D4225">
        <w:rPr>
          <w:rFonts w:ascii="Arial" w:eastAsia="Calibri" w:hAnsi="Arial" w:cs="Arial"/>
          <w:sz w:val="20"/>
          <w:szCs w:val="20"/>
          <w:lang w:eastAsia="en-US"/>
        </w:rPr>
        <w:t>1</w:t>
      </w:r>
      <w:r w:rsidR="004A523B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0392E">
        <w:rPr>
          <w:rFonts w:ascii="Arial" w:eastAsia="Calibri" w:hAnsi="Arial" w:cs="Arial"/>
          <w:sz w:val="20"/>
          <w:szCs w:val="20"/>
          <w:lang w:eastAsia="en-US"/>
        </w:rPr>
        <w:t xml:space="preserve">i sve njihove izmjene i dopune </w:t>
      </w:r>
      <w:r w:rsidR="004A523B" w:rsidRPr="002B4007">
        <w:rPr>
          <w:rFonts w:ascii="Arial" w:eastAsia="Calibri" w:hAnsi="Arial" w:cs="Arial"/>
          <w:sz w:val="20"/>
          <w:szCs w:val="20"/>
          <w:lang w:eastAsia="en-US"/>
        </w:rPr>
        <w:t xml:space="preserve">(dalje: Opći uvjeti) koji </w:t>
      </w:r>
      <w:r w:rsidR="000F5E82" w:rsidRPr="002B4007">
        <w:rPr>
          <w:rFonts w:ascii="Arial" w:eastAsia="Calibri" w:hAnsi="Arial" w:cs="Arial"/>
          <w:sz w:val="20"/>
          <w:szCs w:val="20"/>
          <w:lang w:eastAsia="en-US"/>
        </w:rPr>
        <w:t>sadržavaju prava i obveze Osiguranika i Osiguratelja</w:t>
      </w:r>
      <w:r w:rsidR="004A523B" w:rsidRPr="002B4007">
        <w:rPr>
          <w:rFonts w:ascii="Arial" w:eastAsia="Calibri" w:hAnsi="Arial" w:cs="Arial"/>
          <w:sz w:val="20"/>
          <w:szCs w:val="20"/>
          <w:lang w:eastAsia="en-US"/>
        </w:rPr>
        <w:t>. U</w:t>
      </w:r>
      <w:r w:rsidR="00B1146B" w:rsidRPr="002B4007">
        <w:rPr>
          <w:rFonts w:ascii="Arial" w:eastAsia="Calibri" w:hAnsi="Arial" w:cs="Arial"/>
          <w:sz w:val="20"/>
          <w:szCs w:val="20"/>
          <w:lang w:eastAsia="en-US"/>
        </w:rPr>
        <w:t xml:space="preserve"> slučaju neslaganja pojedine odredbe Općih uvjeta s Programom osiguranja, važit</w:t>
      </w:r>
      <w:r w:rsidR="004A523B" w:rsidRPr="002B4007">
        <w:rPr>
          <w:rFonts w:ascii="Arial" w:eastAsia="Calibri" w:hAnsi="Arial" w:cs="Arial"/>
          <w:sz w:val="20"/>
          <w:szCs w:val="20"/>
          <w:lang w:eastAsia="en-US"/>
        </w:rPr>
        <w:t xml:space="preserve"> će</w:t>
      </w:r>
      <w:r w:rsidR="00B1146B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odredbe Općih uvjeta.</w:t>
      </w:r>
    </w:p>
    <w:p w14:paraId="6759A205" w14:textId="77777777" w:rsidR="00A845E4" w:rsidRPr="002B4007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6755F83" w14:textId="4060B50E" w:rsidR="00134E36" w:rsidRPr="002B4007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Premija</w:t>
      </w:r>
    </w:p>
    <w:p w14:paraId="3FD82253" w14:textId="590EB9FE" w:rsidR="002D273A" w:rsidRPr="002B4007" w:rsidRDefault="004A523B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Osiguratelj</w:t>
      </w:r>
      <w:r w:rsidR="00134E36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od Osiguranika za </w:t>
      </w:r>
      <w:r w:rsidR="00134E36" w:rsidRPr="002B4007">
        <w:rPr>
          <w:rFonts w:ascii="Arial" w:hAnsi="Arial" w:cs="Arial"/>
          <w:sz w:val="20"/>
          <w:szCs w:val="20"/>
        </w:rPr>
        <w:t>osiguranje Kredita naplaćuje Premiju</w:t>
      </w:r>
      <w:r w:rsidR="00D05926" w:rsidRPr="002B4007">
        <w:rPr>
          <w:rFonts w:ascii="Arial" w:hAnsi="Arial" w:cs="Arial"/>
          <w:sz w:val="20"/>
          <w:szCs w:val="20"/>
        </w:rPr>
        <w:t>.</w:t>
      </w:r>
    </w:p>
    <w:p w14:paraId="4910E86A" w14:textId="77777777" w:rsidR="00CC7D54" w:rsidRPr="002B4007" w:rsidRDefault="00CC7D5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hr-HR"/>
        </w:rPr>
      </w:pPr>
    </w:p>
    <w:p w14:paraId="6E10129C" w14:textId="2502324C" w:rsidR="00984550" w:rsidRPr="002B4007" w:rsidRDefault="00CC7D5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Osiguranik se obvezuje platiti Osiguratelju Premiju za svaki </w:t>
      </w:r>
      <w:r w:rsidR="00E53740">
        <w:rPr>
          <w:rFonts w:ascii="Arial" w:hAnsi="Arial" w:cs="Arial"/>
          <w:color w:val="000000"/>
          <w:sz w:val="20"/>
          <w:szCs w:val="20"/>
          <w:lang w:bidi="hr-HR"/>
        </w:rPr>
        <w:t>k</w:t>
      </w:r>
      <w:r w:rsidRPr="002B4007">
        <w:rPr>
          <w:rFonts w:ascii="Arial" w:hAnsi="Arial" w:cs="Arial"/>
          <w:color w:val="000000"/>
          <w:sz w:val="20"/>
          <w:szCs w:val="20"/>
          <w:lang w:bidi="hr-HR"/>
        </w:rPr>
        <w:t>redit uključen u Portfelj.</w:t>
      </w:r>
      <w:r w:rsidR="00F54BC4" w:rsidRPr="002B4007">
        <w:rPr>
          <w:rStyle w:val="FootnoteReference"/>
          <w:rFonts w:ascii="Arial" w:hAnsi="Arial" w:cs="Arial"/>
          <w:color w:val="000000"/>
          <w:sz w:val="20"/>
          <w:szCs w:val="20"/>
          <w:lang w:bidi="hr-HR"/>
        </w:rPr>
        <w:footnoteReference w:id="4"/>
      </w:r>
      <w:r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 Osiguranik obračunava Premiju jednokratno za svaki Kredit prilikom uključenja tog Kredita </w:t>
      </w:r>
      <w:r w:rsidRPr="00E53740">
        <w:rPr>
          <w:rFonts w:ascii="Arial" w:hAnsi="Arial" w:cs="Arial"/>
          <w:color w:val="000000"/>
          <w:sz w:val="20"/>
          <w:szCs w:val="20"/>
          <w:lang w:bidi="hr-HR"/>
        </w:rPr>
        <w:t>u Portfelj</w:t>
      </w:r>
      <w:r w:rsidRPr="00BE2816">
        <w:rPr>
          <w:rFonts w:ascii="Arial" w:hAnsi="Arial" w:cs="Arial"/>
          <w:color w:val="000000"/>
          <w:sz w:val="20"/>
          <w:szCs w:val="20"/>
          <w:lang w:bidi="hr-HR"/>
        </w:rPr>
        <w:t xml:space="preserve"> te</w:t>
      </w:r>
      <w:r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 izračunati iznos prikazuje u Obavijesti o uključivanju.</w:t>
      </w:r>
    </w:p>
    <w:p w14:paraId="2A62579C" w14:textId="77777777" w:rsidR="00CC7D54" w:rsidRPr="002B4007" w:rsidRDefault="00CC7D54" w:rsidP="00824F4F">
      <w:pPr>
        <w:widowControl w:val="0"/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85E2EA" w14:textId="038447A8" w:rsidR="0023301E" w:rsidRPr="002B4007" w:rsidRDefault="00A845E4" w:rsidP="00824F4F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hr-HR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Premija se iskazuje i naplaćuje u kunama, te se kod preračuna koristi prodajni tečaj HNB-a na dan izdavanja računa od strane Osiguratelja. </w:t>
      </w:r>
      <w:r w:rsidR="0023301E"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Osiguratelj će ispostaviti Osiguraniku račun za Premiju </w:t>
      </w:r>
      <w:r w:rsidR="00717033">
        <w:rPr>
          <w:rFonts w:ascii="Arial" w:hAnsi="Arial" w:cs="Arial"/>
          <w:color w:val="000000"/>
          <w:sz w:val="20"/>
          <w:szCs w:val="20"/>
          <w:lang w:bidi="hr-HR"/>
        </w:rPr>
        <w:t xml:space="preserve">na </w:t>
      </w:r>
      <w:r w:rsidR="0023301E" w:rsidRPr="002B4007">
        <w:rPr>
          <w:rFonts w:ascii="Arial" w:hAnsi="Arial" w:cs="Arial"/>
          <w:color w:val="000000"/>
          <w:sz w:val="20"/>
          <w:szCs w:val="20"/>
          <w:lang w:bidi="hr-HR"/>
        </w:rPr>
        <w:t>temelj</w:t>
      </w:r>
      <w:r w:rsidR="00717033">
        <w:rPr>
          <w:rFonts w:ascii="Arial" w:hAnsi="Arial" w:cs="Arial"/>
          <w:color w:val="000000"/>
          <w:sz w:val="20"/>
          <w:szCs w:val="20"/>
          <w:lang w:bidi="hr-HR"/>
        </w:rPr>
        <w:t>u</w:t>
      </w:r>
      <w:r w:rsidR="0023301E"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 obračuna Premije iz Obavijesti o uključivanju</w:t>
      </w:r>
      <w:r w:rsidR="00524E64">
        <w:rPr>
          <w:rFonts w:ascii="Arial" w:hAnsi="Arial" w:cs="Arial"/>
          <w:color w:val="000000"/>
          <w:sz w:val="20"/>
          <w:szCs w:val="20"/>
          <w:lang w:bidi="hr-HR"/>
        </w:rPr>
        <w:t>.</w:t>
      </w:r>
    </w:p>
    <w:p w14:paraId="2916E5D4" w14:textId="24F42243" w:rsidR="00CC7D54" w:rsidRPr="002B4007" w:rsidRDefault="00CC7D54" w:rsidP="00824F4F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hr-HR"/>
        </w:rPr>
      </w:pPr>
    </w:p>
    <w:p w14:paraId="7124161F" w14:textId="3C7DA203" w:rsidR="00784B1E" w:rsidRPr="005D4225" w:rsidDel="003C681B" w:rsidRDefault="00AF2F15" w:rsidP="00824F4F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  <w:lang w:bidi="hr-HR"/>
        </w:rPr>
      </w:pPr>
      <w:bookmarkStart w:id="8" w:name="_Hlk961162"/>
      <w:r w:rsidRPr="002B4007" w:rsidDel="00984550">
        <w:rPr>
          <w:rFonts w:ascii="Arial" w:hAnsi="Arial" w:cs="Arial"/>
          <w:color w:val="000000"/>
          <w:sz w:val="20"/>
          <w:szCs w:val="20"/>
          <w:lang w:bidi="hr-HR"/>
        </w:rPr>
        <w:lastRenderedPageBreak/>
        <w:t>Premija za svaki Kredit računa se</w:t>
      </w:r>
      <w:r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 kao zbroj Premija za svaku pojedinu godinu Trajanja kredita</w:t>
      </w:r>
      <w:r w:rsidR="006E19A2">
        <w:rPr>
          <w:rFonts w:ascii="Arial" w:hAnsi="Arial" w:cs="Arial"/>
          <w:color w:val="000000"/>
          <w:sz w:val="20"/>
          <w:szCs w:val="20"/>
          <w:lang w:bidi="hr-HR"/>
        </w:rPr>
        <w:t xml:space="preserve">, </w:t>
      </w:r>
      <w:r w:rsidR="00784B1E" w:rsidRPr="00784B1E">
        <w:rPr>
          <w:rFonts w:ascii="Arial" w:hAnsi="Arial" w:cs="Arial"/>
          <w:color w:val="000000"/>
          <w:sz w:val="20"/>
          <w:szCs w:val="20"/>
          <w:lang w:bidi="hr-HR"/>
        </w:rPr>
        <w:t>primjenom odgovarajuće godišnje premijske stope na stanje duga na temelju preliminarnog otplatnog plana glavnice Kredita (uzimajući u obzir pretpostavku da se glavnica Kredita redovno otplaćuje)</w:t>
      </w:r>
      <w:r w:rsidR="00A34F94">
        <w:rPr>
          <w:rFonts w:ascii="Arial" w:hAnsi="Arial" w:cs="Arial"/>
          <w:color w:val="000000"/>
          <w:sz w:val="20"/>
          <w:szCs w:val="20"/>
          <w:lang w:bidi="hr-HR"/>
        </w:rPr>
        <w:t xml:space="preserve"> tijekom</w:t>
      </w:r>
      <w:r w:rsidR="00F365A7">
        <w:rPr>
          <w:rFonts w:ascii="Arial" w:hAnsi="Arial" w:cs="Arial"/>
          <w:color w:val="000000"/>
          <w:sz w:val="20"/>
          <w:szCs w:val="20"/>
          <w:lang w:bidi="hr-HR"/>
        </w:rPr>
        <w:t xml:space="preserve"> Trajanja kredita</w:t>
      </w:r>
      <w:r w:rsidR="00F365A7">
        <w:rPr>
          <w:rFonts w:ascii="Arial" w:hAnsi="Arial" w:cs="Arial"/>
          <w:iCs/>
          <w:color w:val="000000"/>
          <w:sz w:val="20"/>
          <w:szCs w:val="20"/>
          <w:lang w:bidi="hr-HR"/>
        </w:rPr>
        <w:t>:</w:t>
      </w:r>
    </w:p>
    <w:p w14:paraId="10FBB494" w14:textId="5D7F9BE3" w:rsidR="006A1188" w:rsidRPr="004A086E" w:rsidRDefault="004A086E" w:rsidP="00824F4F">
      <w:pPr>
        <w:pStyle w:val="ListParagraph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bidi="hr-HR"/>
        </w:rPr>
      </w:pPr>
      <w:r>
        <w:rPr>
          <w:rFonts w:ascii="Arial" w:hAnsi="Arial" w:cs="Arial"/>
          <w:bCs/>
          <w:color w:val="000000"/>
          <w:sz w:val="20"/>
          <w:szCs w:val="20"/>
          <w:lang w:bidi="hr-HR"/>
        </w:rPr>
        <w:t>Tijekom razdoblja korištenja Kredita (</w:t>
      </w:r>
      <w:r w:rsidRPr="004A086E"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do </w:t>
      </w:r>
      <w:r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početka Roka otplate </w:t>
      </w:r>
      <w:r w:rsidRPr="004A086E">
        <w:rPr>
          <w:rFonts w:ascii="Arial" w:hAnsi="Arial" w:cs="Arial"/>
          <w:bCs/>
          <w:color w:val="000000"/>
          <w:sz w:val="20"/>
          <w:szCs w:val="20"/>
          <w:lang w:bidi="hr-HR"/>
        </w:rPr>
        <w:t>kredita</w:t>
      </w:r>
      <w:r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), </w:t>
      </w:r>
      <w:r w:rsidRPr="004A086E">
        <w:rPr>
          <w:rFonts w:ascii="Arial" w:hAnsi="Arial" w:cs="Arial"/>
          <w:bCs/>
          <w:color w:val="000000"/>
          <w:sz w:val="20"/>
          <w:szCs w:val="20"/>
          <w:lang w:bidi="hr-HR"/>
        </w:rPr>
        <w:t>Premija</w:t>
      </w:r>
      <w:r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 se</w:t>
      </w:r>
      <w:r w:rsidRPr="004A086E"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 obračunava na iznos </w:t>
      </w:r>
      <w:r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Odobrene glavnice </w:t>
      </w:r>
      <w:r w:rsidRPr="004A086E"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kredita, bez obzira na iskorištenost </w:t>
      </w:r>
      <w:r>
        <w:rPr>
          <w:rFonts w:ascii="Arial" w:hAnsi="Arial" w:cs="Arial"/>
          <w:bCs/>
          <w:color w:val="000000"/>
          <w:sz w:val="20"/>
          <w:szCs w:val="20"/>
          <w:lang w:bidi="hr-HR"/>
        </w:rPr>
        <w:t>K</w:t>
      </w:r>
      <w:r w:rsidRPr="004A086E">
        <w:rPr>
          <w:rFonts w:ascii="Arial" w:hAnsi="Arial" w:cs="Arial"/>
          <w:bCs/>
          <w:color w:val="000000"/>
          <w:sz w:val="20"/>
          <w:szCs w:val="20"/>
          <w:lang w:bidi="hr-HR"/>
        </w:rPr>
        <w:t>redit</w:t>
      </w:r>
      <w:r>
        <w:rPr>
          <w:rFonts w:ascii="Arial" w:hAnsi="Arial" w:cs="Arial"/>
          <w:bCs/>
          <w:color w:val="000000"/>
          <w:sz w:val="20"/>
          <w:szCs w:val="20"/>
          <w:lang w:bidi="hr-HR"/>
        </w:rPr>
        <w:t>a</w:t>
      </w:r>
      <w:r w:rsidRPr="004A086E">
        <w:rPr>
          <w:rFonts w:ascii="Arial" w:hAnsi="Arial" w:cs="Arial"/>
          <w:bCs/>
          <w:color w:val="000000"/>
          <w:sz w:val="20"/>
          <w:szCs w:val="20"/>
          <w:lang w:bidi="hr-HR"/>
        </w:rPr>
        <w:t>.</w:t>
      </w:r>
    </w:p>
    <w:p w14:paraId="364F4365" w14:textId="12ABD629" w:rsidR="002C7440" w:rsidRPr="002B4007" w:rsidRDefault="002C7440" w:rsidP="00824F4F">
      <w:pPr>
        <w:pStyle w:val="ListParagraph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bidi="hr-HR"/>
        </w:rPr>
      </w:pPr>
      <w:r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Trajanje kredita izračunava se </w:t>
      </w:r>
      <w:r w:rsidR="007F0AD1">
        <w:rPr>
          <w:rFonts w:ascii="Arial" w:hAnsi="Arial" w:cs="Arial"/>
          <w:color w:val="000000"/>
          <w:sz w:val="20"/>
          <w:szCs w:val="20"/>
          <w:lang w:bidi="hr-HR"/>
        </w:rPr>
        <w:t xml:space="preserve">u </w:t>
      </w:r>
      <w:r w:rsidR="00DC0CEA">
        <w:rPr>
          <w:rFonts w:ascii="Arial" w:hAnsi="Arial" w:cs="Arial"/>
          <w:color w:val="000000"/>
          <w:sz w:val="20"/>
          <w:szCs w:val="20"/>
          <w:lang w:bidi="hr-HR"/>
        </w:rPr>
        <w:t>sklad</w:t>
      </w:r>
      <w:r w:rsidR="007F0AD1">
        <w:rPr>
          <w:rFonts w:ascii="Arial" w:hAnsi="Arial" w:cs="Arial"/>
          <w:color w:val="000000"/>
          <w:sz w:val="20"/>
          <w:szCs w:val="20"/>
          <w:lang w:bidi="hr-HR"/>
        </w:rPr>
        <w:t>u s</w:t>
      </w:r>
      <w:r w:rsidR="00DC0CEA">
        <w:rPr>
          <w:rFonts w:ascii="Arial" w:hAnsi="Arial" w:cs="Arial"/>
          <w:color w:val="000000"/>
          <w:sz w:val="20"/>
          <w:szCs w:val="20"/>
          <w:lang w:bidi="hr-HR"/>
        </w:rPr>
        <w:t xml:space="preserve"> kalendar</w:t>
      </w:r>
      <w:r w:rsidR="007C6057">
        <w:rPr>
          <w:rFonts w:ascii="Arial" w:hAnsi="Arial" w:cs="Arial"/>
          <w:color w:val="000000"/>
          <w:sz w:val="20"/>
          <w:szCs w:val="20"/>
          <w:lang w:bidi="hr-HR"/>
        </w:rPr>
        <w:t>sko</w:t>
      </w:r>
      <w:r w:rsidR="007F0AD1">
        <w:rPr>
          <w:rFonts w:ascii="Arial" w:hAnsi="Arial" w:cs="Arial"/>
          <w:color w:val="000000"/>
          <w:sz w:val="20"/>
          <w:szCs w:val="20"/>
          <w:lang w:bidi="hr-HR"/>
        </w:rPr>
        <w:t>m</w:t>
      </w:r>
      <w:r w:rsidR="007C6057">
        <w:rPr>
          <w:rFonts w:ascii="Arial" w:hAnsi="Arial" w:cs="Arial"/>
          <w:color w:val="000000"/>
          <w:sz w:val="20"/>
          <w:szCs w:val="20"/>
          <w:lang w:bidi="hr-HR"/>
        </w:rPr>
        <w:t xml:space="preserve"> godin</w:t>
      </w:r>
      <w:r w:rsidR="007F0AD1">
        <w:rPr>
          <w:rFonts w:ascii="Arial" w:hAnsi="Arial" w:cs="Arial"/>
          <w:color w:val="000000"/>
          <w:sz w:val="20"/>
          <w:szCs w:val="20"/>
          <w:lang w:bidi="hr-HR"/>
        </w:rPr>
        <w:t>om</w:t>
      </w:r>
      <w:r w:rsidR="00DC0CEA">
        <w:rPr>
          <w:rFonts w:ascii="Arial" w:hAnsi="Arial" w:cs="Arial"/>
          <w:color w:val="000000"/>
          <w:sz w:val="20"/>
          <w:szCs w:val="20"/>
          <w:lang w:bidi="hr-HR"/>
        </w:rPr>
        <w:t xml:space="preserve"> te ukupno Trajanje kredita ne može biti duže od </w:t>
      </w:r>
      <w:r w:rsidR="005865DE">
        <w:rPr>
          <w:rFonts w:ascii="Arial" w:hAnsi="Arial" w:cs="Arial"/>
          <w:color w:val="000000"/>
          <w:sz w:val="20"/>
          <w:szCs w:val="20"/>
          <w:lang w:bidi="hr-HR"/>
        </w:rPr>
        <w:t>šest</w:t>
      </w:r>
      <w:r w:rsidR="00DC0CEA">
        <w:rPr>
          <w:rFonts w:ascii="Arial" w:hAnsi="Arial" w:cs="Arial"/>
          <w:color w:val="000000"/>
          <w:sz w:val="20"/>
          <w:szCs w:val="20"/>
          <w:lang w:bidi="hr-HR"/>
        </w:rPr>
        <w:t xml:space="preserve"> </w:t>
      </w:r>
      <w:r w:rsidR="007C6057">
        <w:rPr>
          <w:rFonts w:ascii="Arial" w:hAnsi="Arial" w:cs="Arial"/>
          <w:color w:val="000000"/>
          <w:sz w:val="20"/>
          <w:szCs w:val="20"/>
          <w:lang w:bidi="hr-HR"/>
        </w:rPr>
        <w:t xml:space="preserve">kalendarskih </w:t>
      </w:r>
      <w:r w:rsidR="00DC0CEA">
        <w:rPr>
          <w:rFonts w:ascii="Arial" w:hAnsi="Arial" w:cs="Arial"/>
          <w:color w:val="000000"/>
          <w:sz w:val="20"/>
          <w:szCs w:val="20"/>
          <w:lang w:bidi="hr-HR"/>
        </w:rPr>
        <w:t>godina</w:t>
      </w:r>
      <w:r w:rsidR="005865DE">
        <w:rPr>
          <w:rFonts w:ascii="Arial" w:hAnsi="Arial" w:cs="Arial"/>
          <w:color w:val="000000"/>
          <w:sz w:val="20"/>
          <w:szCs w:val="20"/>
          <w:lang w:bidi="hr-HR"/>
        </w:rPr>
        <w:t xml:space="preserve"> (npr. ako je Ugovor o kreditu zaključen 15. 2. 2021., zadnji dan Roka otplate kredita mora biti najkasnije 15. 2. 2027.).</w:t>
      </w:r>
    </w:p>
    <w:p w14:paraId="237386E9" w14:textId="46A0D383" w:rsidR="00262E33" w:rsidRDefault="00262E33" w:rsidP="00824F4F">
      <w:pPr>
        <w:pStyle w:val="ListParagraph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hr-HR"/>
        </w:rPr>
      </w:pPr>
      <w:r w:rsidRPr="00E92343">
        <w:rPr>
          <w:rFonts w:ascii="Arial" w:hAnsi="Arial" w:cs="Arial"/>
          <w:color w:val="000000"/>
          <w:sz w:val="20"/>
          <w:szCs w:val="20"/>
          <w:lang w:bidi="hr-HR"/>
        </w:rPr>
        <w:t>Godišnje premijske stope utvrđ</w:t>
      </w:r>
      <w:r w:rsidR="007C6057">
        <w:rPr>
          <w:rFonts w:ascii="Arial" w:hAnsi="Arial" w:cs="Arial"/>
          <w:color w:val="000000"/>
          <w:sz w:val="20"/>
          <w:szCs w:val="20"/>
          <w:lang w:bidi="hr-HR"/>
        </w:rPr>
        <w:t>ene su</w:t>
      </w:r>
      <w:r w:rsidRPr="00E92343">
        <w:rPr>
          <w:rFonts w:ascii="Arial" w:hAnsi="Arial" w:cs="Arial"/>
          <w:color w:val="000000"/>
          <w:sz w:val="20"/>
          <w:szCs w:val="20"/>
          <w:lang w:bidi="hr-HR"/>
        </w:rPr>
        <w:t xml:space="preserve"> </w:t>
      </w:r>
      <w:r w:rsidR="002C7440" w:rsidRPr="00E92343">
        <w:rPr>
          <w:rFonts w:ascii="Arial" w:hAnsi="Arial" w:cs="Arial"/>
          <w:color w:val="000000"/>
          <w:sz w:val="20"/>
          <w:szCs w:val="20"/>
          <w:lang w:bidi="hr-HR"/>
        </w:rPr>
        <w:t>ovisno o</w:t>
      </w:r>
      <w:r w:rsidRPr="000863AF">
        <w:rPr>
          <w:rFonts w:ascii="Arial" w:hAnsi="Arial" w:cs="Arial"/>
          <w:color w:val="000000"/>
          <w:sz w:val="20"/>
          <w:szCs w:val="20"/>
          <w:lang w:bidi="hr-HR"/>
        </w:rPr>
        <w:t xml:space="preserve"> veličini Korisnika kredita i visini pokrića i to:</w:t>
      </w:r>
    </w:p>
    <w:p w14:paraId="164C21DB" w14:textId="1760F578" w:rsidR="00F52D30" w:rsidRPr="00F842D6" w:rsidRDefault="00F52D30" w:rsidP="00824F4F">
      <w:pPr>
        <w:widowControl w:val="0"/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6"/>
          <w:szCs w:val="6"/>
          <w:lang w:bidi="hr-HR"/>
        </w:rPr>
      </w:pPr>
    </w:p>
    <w:p w14:paraId="28CE4EAE" w14:textId="11E0928E" w:rsidR="00F52D30" w:rsidRPr="00C22F08" w:rsidRDefault="00165C9F" w:rsidP="00824F4F">
      <w:pPr>
        <w:spacing w:line="276" w:lineRule="auto"/>
        <w:ind w:left="709"/>
        <w:rPr>
          <w:rFonts w:ascii="Arial" w:hAnsi="Arial" w:cs="Arial"/>
          <w:color w:val="000000"/>
          <w:sz w:val="18"/>
          <w:szCs w:val="18"/>
          <w:lang w:bidi="hr-HR"/>
        </w:rPr>
      </w:pPr>
      <w:r w:rsidRPr="00C22F08">
        <w:rPr>
          <w:rFonts w:ascii="Arial" w:hAnsi="Arial" w:cs="Arial"/>
          <w:color w:val="000000"/>
          <w:sz w:val="18"/>
          <w:szCs w:val="18"/>
          <w:lang w:bidi="hr-HR"/>
        </w:rPr>
        <w:t xml:space="preserve">Tablica 1. </w:t>
      </w:r>
      <w:r w:rsidR="00F52D30" w:rsidRPr="00C22F08">
        <w:rPr>
          <w:rFonts w:ascii="Arial" w:hAnsi="Arial" w:cs="Arial"/>
          <w:color w:val="000000"/>
          <w:sz w:val="18"/>
          <w:szCs w:val="18"/>
          <w:lang w:bidi="hr-HR"/>
        </w:rPr>
        <w:t>PROGRESIVNE</w:t>
      </w:r>
      <w:r w:rsidR="00C22F08">
        <w:rPr>
          <w:rFonts w:ascii="Arial" w:hAnsi="Arial" w:cs="Arial"/>
          <w:color w:val="000000"/>
          <w:sz w:val="18"/>
          <w:szCs w:val="18"/>
          <w:lang w:bidi="hr-HR"/>
        </w:rPr>
        <w:t>*</w:t>
      </w:r>
      <w:r w:rsidR="00F52D30" w:rsidRPr="00C22F08">
        <w:rPr>
          <w:rFonts w:ascii="Arial" w:hAnsi="Arial" w:cs="Arial"/>
          <w:color w:val="000000"/>
          <w:sz w:val="18"/>
          <w:szCs w:val="18"/>
          <w:lang w:bidi="hr-HR"/>
        </w:rPr>
        <w:t xml:space="preserve"> godišnje premijske stope po godinama </w:t>
      </w:r>
      <w:r w:rsidR="007C6057">
        <w:rPr>
          <w:rFonts w:ascii="Arial" w:hAnsi="Arial" w:cs="Arial"/>
          <w:color w:val="000000"/>
          <w:sz w:val="18"/>
          <w:szCs w:val="18"/>
          <w:lang w:bidi="hr-HR"/>
        </w:rPr>
        <w:t>T</w:t>
      </w:r>
      <w:r w:rsidR="00F52D30" w:rsidRPr="00C22F08">
        <w:rPr>
          <w:rFonts w:ascii="Arial" w:hAnsi="Arial" w:cs="Arial"/>
          <w:color w:val="000000"/>
          <w:sz w:val="18"/>
          <w:szCs w:val="18"/>
          <w:lang w:bidi="hr-HR"/>
        </w:rPr>
        <w:t>rajanja kredita</w:t>
      </w:r>
    </w:p>
    <w:tbl>
      <w:tblPr>
        <w:tblW w:w="8388" w:type="dxa"/>
        <w:tblInd w:w="69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6"/>
        <w:gridCol w:w="996"/>
        <w:gridCol w:w="997"/>
        <w:gridCol w:w="996"/>
        <w:gridCol w:w="996"/>
        <w:gridCol w:w="997"/>
      </w:tblGrid>
      <w:tr w:rsidR="00165C9F" w:rsidRPr="00C22F08" w14:paraId="1EE845D5" w14:textId="77777777" w:rsidTr="007778F1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43E1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Pokriće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B9F9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Tip korisnika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57E2" w14:textId="22DF1E63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1.</w:t>
            </w:r>
            <w:r w:rsidR="003E4B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3E4B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2515" w14:textId="649D6E9D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2.</w:t>
            </w:r>
            <w:r w:rsidR="003E4B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3E4B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885F" w14:textId="06A97526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3.</w:t>
            </w:r>
            <w:r w:rsidR="003E4B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3E4BE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8B17" w14:textId="2DFFECCD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4.</w:t>
            </w:r>
            <w:r w:rsidR="009C57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9C57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BE62" w14:textId="4E2C3E94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5.</w:t>
            </w:r>
            <w:r w:rsidR="009C57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9C57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84F3" w14:textId="12697FE5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</w:t>
            </w:r>
            <w:r w:rsidR="009C57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9C57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</w:tr>
      <w:tr w:rsidR="00165C9F" w:rsidRPr="00C22F08" w14:paraId="2AC891DE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B10E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3429" w14:textId="39AE4737" w:rsidR="00F52D30" w:rsidRPr="00C22F08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bookmarkStart w:id="9" w:name="RANGE!D32"/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  <w:bookmarkEnd w:id="9"/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ED13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0,25%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C61E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7366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C553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06FA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682E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</w:tr>
      <w:tr w:rsidR="00165C9F" w:rsidRPr="00C22F08" w14:paraId="62ACAB83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B90AD5D" w14:textId="77777777" w:rsidR="00F52D30" w:rsidRPr="00DC3588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C013" w14:textId="555AC57F" w:rsidR="00F52D30" w:rsidRPr="007778F1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777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52F9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EB87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886A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136A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2,00%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993B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2,00%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5077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2,00%</w:t>
            </w:r>
          </w:p>
        </w:tc>
      </w:tr>
      <w:tr w:rsidR="00165C9F" w:rsidRPr="00C22F08" w14:paraId="6418D862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A8F8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E68B" w14:textId="77777777" w:rsidR="00F52D30" w:rsidRPr="00C22F08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4208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0,03%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F717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0,06%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DA17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0,06%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68B1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1AF4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D584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</w:tr>
      <w:tr w:rsidR="00165C9F" w:rsidRPr="00C22F08" w14:paraId="0DCC841C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832009F" w14:textId="77777777" w:rsidR="00F52D30" w:rsidRPr="00DC3588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9626" w14:textId="5D58A2C1" w:rsidR="00F52D30" w:rsidRPr="007778F1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777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0718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0,06%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1503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E025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1ACEE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F6DD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2BF1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</w:tr>
      <w:tr w:rsidR="00165C9F" w:rsidRPr="00C22F08" w14:paraId="13BDD371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EB8D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8811" w14:textId="77777777" w:rsidR="00F52D30" w:rsidRPr="00C22F08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DA27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0,06%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2EC2D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444D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2287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65E4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B54B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</w:tr>
      <w:tr w:rsidR="00165C9F" w:rsidRPr="00C22F08" w14:paraId="5DCF6514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74655DAE" w14:textId="77777777" w:rsidR="00F52D30" w:rsidRPr="00DC3588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CEEC" w14:textId="1DF8B0C9" w:rsidR="00F52D30" w:rsidRPr="007778F1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777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3788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49BB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63EEE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2E9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F78C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AD12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</w:tr>
      <w:tr w:rsidR="00165C9F" w:rsidRPr="00C22F08" w14:paraId="0FFC3AA3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8C6D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1B78" w14:textId="77777777" w:rsidR="00F52D30" w:rsidRPr="00C22F08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BDC2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0,08%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9C5D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49F1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7832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F83F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259CF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</w:tr>
      <w:tr w:rsidR="00165C9F" w:rsidRPr="00C22F08" w14:paraId="7F8B1D8B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A6229EC" w14:textId="77777777" w:rsidR="00F52D30" w:rsidRPr="00DC3588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F311C" w14:textId="0532A448" w:rsidR="00F52D30" w:rsidRPr="007778F1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777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BA1A4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4D956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9109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C31C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0,67%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F5E5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0,67%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1B3F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0,67%</w:t>
            </w:r>
          </w:p>
        </w:tc>
      </w:tr>
      <w:tr w:rsidR="00165C9F" w:rsidRPr="00C22F08" w14:paraId="53405E12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5FA6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2A69" w14:textId="77777777" w:rsidR="00F52D30" w:rsidRPr="00C22F08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E673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F7741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02A2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CACE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2564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3E07" w14:textId="77777777" w:rsidR="00F52D30" w:rsidRPr="00C22F08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</w:tr>
      <w:tr w:rsidR="00165C9F" w:rsidRPr="00C22F08" w14:paraId="1AF23201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765B5F9" w14:textId="77777777" w:rsidR="00F52D30" w:rsidRPr="00DC3588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FEB4" w14:textId="207C1D42" w:rsidR="00F52D30" w:rsidRPr="007778F1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7778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212C9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8939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589A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E064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0,89%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2B00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0,89%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948F" w14:textId="77777777" w:rsidR="00F52D30" w:rsidRPr="007778F1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F1">
              <w:rPr>
                <w:rFonts w:ascii="Arial" w:hAnsi="Arial" w:cs="Arial"/>
                <w:color w:val="000000"/>
                <w:sz w:val="18"/>
                <w:szCs w:val="18"/>
              </w:rPr>
              <w:t>0,89%</w:t>
            </w:r>
          </w:p>
        </w:tc>
      </w:tr>
    </w:tbl>
    <w:p w14:paraId="5875142C" w14:textId="745C3CA5" w:rsidR="00F52D30" w:rsidRPr="00F842D6" w:rsidRDefault="009C57E3" w:rsidP="00824F4F">
      <w:pPr>
        <w:spacing w:line="276" w:lineRule="auto"/>
        <w:ind w:left="709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  <w:r w:rsidRPr="00F842D6">
        <w:rPr>
          <w:rFonts w:ascii="Arial" w:eastAsiaTheme="minorHAnsi" w:hAnsi="Arial" w:cs="Arial"/>
          <w:sz w:val="17"/>
          <w:szCs w:val="17"/>
          <w:lang w:eastAsia="en-US"/>
        </w:rPr>
        <w:t xml:space="preserve">* </w:t>
      </w:r>
      <w:r w:rsidR="00C22F08" w:rsidRPr="00F842D6">
        <w:rPr>
          <w:rFonts w:ascii="Arial" w:eastAsiaTheme="minorHAnsi" w:hAnsi="Arial" w:cs="Arial"/>
          <w:sz w:val="17"/>
          <w:szCs w:val="17"/>
          <w:lang w:eastAsia="en-US"/>
        </w:rPr>
        <w:t xml:space="preserve">Za svaku pojedinu godinu </w:t>
      </w:r>
      <w:r w:rsidRPr="00F842D6">
        <w:rPr>
          <w:rFonts w:ascii="Arial" w:eastAsiaTheme="minorHAnsi" w:hAnsi="Arial" w:cs="Arial"/>
          <w:sz w:val="17"/>
          <w:szCs w:val="17"/>
          <w:lang w:eastAsia="en-US"/>
        </w:rPr>
        <w:t>Trajanja kredita koristi se</w:t>
      </w:r>
      <w:r w:rsidR="00C22F08" w:rsidRPr="00F842D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Pr="00F842D6">
        <w:rPr>
          <w:rFonts w:ascii="Arial" w:eastAsiaTheme="minorHAnsi" w:hAnsi="Arial" w:cs="Arial"/>
          <w:sz w:val="17"/>
          <w:szCs w:val="17"/>
          <w:lang w:eastAsia="en-US"/>
        </w:rPr>
        <w:t xml:space="preserve">premijska stopa </w:t>
      </w:r>
      <w:r w:rsidR="006C638B" w:rsidRPr="00F842D6">
        <w:rPr>
          <w:rFonts w:ascii="Arial" w:eastAsiaTheme="minorHAnsi" w:hAnsi="Arial" w:cs="Arial"/>
          <w:sz w:val="17"/>
          <w:szCs w:val="17"/>
          <w:lang w:eastAsia="en-US"/>
        </w:rPr>
        <w:t xml:space="preserve">koja je određena za tu </w:t>
      </w:r>
      <w:r w:rsidRPr="00F842D6">
        <w:rPr>
          <w:rFonts w:ascii="Arial" w:eastAsiaTheme="minorHAnsi" w:hAnsi="Arial" w:cs="Arial"/>
          <w:sz w:val="17"/>
          <w:szCs w:val="17"/>
          <w:lang w:eastAsia="en-US"/>
        </w:rPr>
        <w:t>godin</w:t>
      </w:r>
      <w:r w:rsidR="006C638B" w:rsidRPr="00F842D6">
        <w:rPr>
          <w:rFonts w:ascii="Arial" w:eastAsiaTheme="minorHAnsi" w:hAnsi="Arial" w:cs="Arial"/>
          <w:sz w:val="17"/>
          <w:szCs w:val="17"/>
          <w:lang w:eastAsia="en-US"/>
        </w:rPr>
        <w:t>u</w:t>
      </w:r>
      <w:r w:rsidRPr="00F842D6">
        <w:rPr>
          <w:rFonts w:ascii="Arial" w:eastAsiaTheme="minorHAnsi" w:hAnsi="Arial" w:cs="Arial"/>
          <w:sz w:val="17"/>
          <w:szCs w:val="17"/>
          <w:lang w:eastAsia="en-US"/>
        </w:rPr>
        <w:t xml:space="preserve"> Trajanja kredita</w:t>
      </w:r>
      <w:r w:rsidR="00EC484D" w:rsidRPr="00F842D6">
        <w:rPr>
          <w:rFonts w:ascii="Arial" w:eastAsiaTheme="minorHAnsi" w:hAnsi="Arial" w:cs="Arial"/>
          <w:sz w:val="17"/>
          <w:szCs w:val="17"/>
          <w:lang w:eastAsia="en-US"/>
        </w:rPr>
        <w:t xml:space="preserve"> </w:t>
      </w:r>
      <w:r w:rsidR="00EC484D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(npr. za Kredit osiguran s pokrićem od 90% i koji traje 4 godine, 1 mjesec i 2 dana te je odobren velikom poduzetniku, premijska stopa iznosi 0,50% za 1. godinu Trajanja kredita, 1,00% </w:t>
      </w:r>
      <w:bookmarkStart w:id="10" w:name="_Hlk57376267"/>
      <w:r w:rsidR="00EC484D" w:rsidRPr="00F842D6">
        <w:rPr>
          <w:rFonts w:ascii="Arial" w:hAnsi="Arial" w:cs="Arial"/>
          <w:color w:val="000000"/>
          <w:sz w:val="17"/>
          <w:szCs w:val="17"/>
          <w:lang w:bidi="hr-HR"/>
        </w:rPr>
        <w:t>za 2. godinu Trajanja kredita</w:t>
      </w:r>
      <w:bookmarkEnd w:id="10"/>
      <w:r w:rsidR="00EC484D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, 1,00% za 3. godinu Trajanja kredita, 2,00% za 4. godinu Trajanja kredita i 2,00% za </w:t>
      </w:r>
      <w:r w:rsidR="007C6057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pripadajući broj dana u </w:t>
      </w:r>
      <w:r w:rsidR="00EC484D" w:rsidRPr="00F842D6">
        <w:rPr>
          <w:rFonts w:ascii="Arial" w:hAnsi="Arial" w:cs="Arial"/>
          <w:color w:val="000000"/>
          <w:sz w:val="17"/>
          <w:szCs w:val="17"/>
          <w:lang w:bidi="hr-HR"/>
        </w:rPr>
        <w:t>5. godin</w:t>
      </w:r>
      <w:r w:rsidR="007C6057" w:rsidRPr="00F842D6">
        <w:rPr>
          <w:rFonts w:ascii="Arial" w:hAnsi="Arial" w:cs="Arial"/>
          <w:color w:val="000000"/>
          <w:sz w:val="17"/>
          <w:szCs w:val="17"/>
          <w:lang w:bidi="hr-HR"/>
        </w:rPr>
        <w:t>i</w:t>
      </w:r>
      <w:r w:rsidR="00EC484D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Trajanja kredita).</w:t>
      </w:r>
    </w:p>
    <w:p w14:paraId="3B16BF7D" w14:textId="26D7B8DB" w:rsidR="009C57E3" w:rsidRPr="009B2E32" w:rsidRDefault="009B2E32" w:rsidP="00824F4F">
      <w:pPr>
        <w:spacing w:line="276" w:lineRule="auto"/>
        <w:rPr>
          <w:rFonts w:ascii="Arial" w:eastAsiaTheme="minorHAnsi" w:hAnsi="Arial" w:cs="Arial"/>
          <w:sz w:val="10"/>
          <w:szCs w:val="10"/>
          <w:lang w:eastAsia="en-US"/>
        </w:rPr>
      </w:pPr>
      <w:r>
        <w:rPr>
          <w:rFonts w:ascii="Arial" w:eastAsiaTheme="minorHAnsi" w:hAnsi="Arial" w:cs="Arial"/>
          <w:sz w:val="10"/>
          <w:szCs w:val="10"/>
          <w:lang w:eastAsia="en-US"/>
        </w:rPr>
        <w:tab/>
      </w:r>
    </w:p>
    <w:p w14:paraId="1E93C496" w14:textId="118F7896" w:rsidR="00F52D30" w:rsidRPr="00C22F08" w:rsidRDefault="00165C9F" w:rsidP="00524E64">
      <w:p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  <w:lang w:bidi="hr-HR"/>
        </w:rPr>
      </w:pPr>
      <w:r w:rsidRPr="00C22F08">
        <w:rPr>
          <w:rFonts w:ascii="Arial" w:hAnsi="Arial" w:cs="Arial"/>
          <w:color w:val="000000"/>
          <w:sz w:val="18"/>
          <w:szCs w:val="18"/>
          <w:lang w:bidi="hr-HR"/>
        </w:rPr>
        <w:t xml:space="preserve">Tablica 2. </w:t>
      </w:r>
      <w:r w:rsidR="00F52D30" w:rsidRPr="00C22F08">
        <w:rPr>
          <w:rFonts w:ascii="Arial" w:hAnsi="Arial" w:cs="Arial"/>
          <w:color w:val="000000"/>
          <w:sz w:val="18"/>
          <w:szCs w:val="18"/>
          <w:lang w:bidi="hr-HR"/>
        </w:rPr>
        <w:t>JEDINSTVENE (FLAT)</w:t>
      </w:r>
      <w:r w:rsidR="00C22F08">
        <w:rPr>
          <w:rFonts w:ascii="Arial" w:hAnsi="Arial" w:cs="Arial"/>
          <w:color w:val="000000"/>
          <w:sz w:val="18"/>
          <w:szCs w:val="18"/>
          <w:lang w:bidi="hr-HR"/>
        </w:rPr>
        <w:t>*</w:t>
      </w:r>
      <w:r w:rsidR="00F52D30" w:rsidRPr="00C22F08">
        <w:rPr>
          <w:rFonts w:ascii="Arial" w:hAnsi="Arial" w:cs="Arial"/>
          <w:color w:val="000000"/>
          <w:sz w:val="18"/>
          <w:szCs w:val="18"/>
          <w:lang w:bidi="hr-HR"/>
        </w:rPr>
        <w:t xml:space="preserve"> godišnje </w:t>
      </w:r>
      <w:r w:rsidR="00E86C36">
        <w:rPr>
          <w:rFonts w:ascii="Arial" w:hAnsi="Arial" w:cs="Arial"/>
          <w:color w:val="000000"/>
          <w:sz w:val="18"/>
          <w:szCs w:val="18"/>
          <w:lang w:bidi="hr-HR"/>
        </w:rPr>
        <w:t xml:space="preserve">premijske </w:t>
      </w:r>
      <w:r w:rsidR="00F52D30" w:rsidRPr="00C22F08">
        <w:rPr>
          <w:rFonts w:ascii="Arial" w:hAnsi="Arial" w:cs="Arial"/>
          <w:color w:val="000000"/>
          <w:sz w:val="18"/>
          <w:szCs w:val="18"/>
          <w:lang w:bidi="hr-HR"/>
        </w:rPr>
        <w:t xml:space="preserve">stope za izračun </w:t>
      </w:r>
      <w:r w:rsidR="009B2E32">
        <w:rPr>
          <w:rFonts w:ascii="Arial" w:hAnsi="Arial" w:cs="Arial"/>
          <w:color w:val="000000"/>
          <w:sz w:val="18"/>
          <w:szCs w:val="18"/>
          <w:lang w:bidi="hr-HR"/>
        </w:rPr>
        <w:t>P</w:t>
      </w:r>
      <w:r w:rsidR="00F52D30" w:rsidRPr="00C22F08">
        <w:rPr>
          <w:rFonts w:ascii="Arial" w:hAnsi="Arial" w:cs="Arial"/>
          <w:color w:val="000000"/>
          <w:sz w:val="18"/>
          <w:szCs w:val="18"/>
          <w:lang w:bidi="hr-HR"/>
        </w:rPr>
        <w:t xml:space="preserve">remije prema ukupnom </w:t>
      </w:r>
      <w:r w:rsidR="007C6057">
        <w:rPr>
          <w:rFonts w:ascii="Arial" w:hAnsi="Arial" w:cs="Arial"/>
          <w:color w:val="000000"/>
          <w:sz w:val="18"/>
          <w:szCs w:val="18"/>
          <w:lang w:bidi="hr-HR"/>
        </w:rPr>
        <w:t>T</w:t>
      </w:r>
      <w:r w:rsidR="00F52D30" w:rsidRPr="00C22F08">
        <w:rPr>
          <w:rFonts w:ascii="Arial" w:hAnsi="Arial" w:cs="Arial"/>
          <w:color w:val="000000"/>
          <w:sz w:val="18"/>
          <w:szCs w:val="18"/>
          <w:lang w:bidi="hr-HR"/>
        </w:rPr>
        <w:t>rajanju kredita</w:t>
      </w:r>
    </w:p>
    <w:tbl>
      <w:tblPr>
        <w:tblW w:w="8363" w:type="dxa"/>
        <w:tblInd w:w="69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992"/>
        <w:gridCol w:w="992"/>
        <w:gridCol w:w="992"/>
        <w:gridCol w:w="992"/>
        <w:gridCol w:w="992"/>
        <w:gridCol w:w="993"/>
      </w:tblGrid>
      <w:tr w:rsidR="003E4BE1" w:rsidRPr="00C22F08" w14:paraId="11AB9E3C" w14:textId="77777777" w:rsidTr="005865DE">
        <w:tc>
          <w:tcPr>
            <w:tcW w:w="992" w:type="dxa"/>
            <w:shd w:val="clear" w:color="auto" w:fill="D9D9D9" w:themeFill="background1" w:themeFillShade="D9"/>
          </w:tcPr>
          <w:p w14:paraId="6B53DD2D" w14:textId="725A7F24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Pokriće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77D9" w14:textId="723EB933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Tip korisnika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58AB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godina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60A8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godine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B9EB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godine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1847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godine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4690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FC5F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godina</w:t>
            </w:r>
          </w:p>
        </w:tc>
      </w:tr>
      <w:tr w:rsidR="003E4BE1" w:rsidRPr="00C22F08" w14:paraId="40A37CA7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6C98769D" w14:textId="14CC6F55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20F7A" w14:textId="0B58E6BC" w:rsidR="003E4BE1" w:rsidRPr="00C22F08" w:rsidRDefault="003E4BE1" w:rsidP="00824F4F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67C5C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8AA0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CE41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5AF1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CCC1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0,25%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8F609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0,26%</w:t>
            </w:r>
          </w:p>
        </w:tc>
      </w:tr>
      <w:tr w:rsidR="003E4BE1" w:rsidRPr="00C22F08" w14:paraId="6F4011C3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3BBCBA6F" w14:textId="01D7CF0C" w:rsidR="003E4BE1" w:rsidRPr="00C22F08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5AF1F426" w14:textId="300B4758" w:rsidR="003E4BE1" w:rsidRPr="00DC3588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69CB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5ED2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8278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09E3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0,26%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3092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0,30%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021E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</w:tr>
      <w:tr w:rsidR="003E4BE1" w:rsidRPr="00C22F08" w14:paraId="63936798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56D3DCE3" w14:textId="4F2EB78E" w:rsidR="003E4BE1" w:rsidRPr="00C22F08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07F65004" w14:textId="52490865" w:rsidR="003E4BE1" w:rsidRPr="00DC3588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0E87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2018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0465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8211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0,31%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84E4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0,38%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F9F2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0,42%</w:t>
            </w:r>
          </w:p>
        </w:tc>
      </w:tr>
      <w:tr w:rsidR="003E4BE1" w:rsidRPr="00C22F08" w14:paraId="15CE8328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2B5532CF" w14:textId="4E44A545" w:rsidR="003E4BE1" w:rsidRPr="00C22F08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28FA1247" w14:textId="18CDD446" w:rsidR="003E4BE1" w:rsidRPr="00DC3588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6C94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30B9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0,26%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0392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D420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B287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0,61%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0DC42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0,68%</w:t>
            </w:r>
          </w:p>
        </w:tc>
      </w:tr>
      <w:tr w:rsidR="003E4BE1" w:rsidRPr="00C22F08" w14:paraId="7A26D2D2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352ECA18" w14:textId="3A851B03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4B55" w14:textId="5AE653F2" w:rsidR="003E4BE1" w:rsidRPr="00C22F08" w:rsidRDefault="007778F1" w:rsidP="00824F4F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3E4BE1"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2C0E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EEEC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CBC5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0,25%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D1E1B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0,62%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CDFA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0,82%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8CF8" w14:textId="77777777" w:rsidR="003E4BE1" w:rsidRPr="00C22F08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color w:val="000000"/>
                <w:sz w:val="18"/>
                <w:szCs w:val="18"/>
              </w:rPr>
              <w:t>0,95%</w:t>
            </w:r>
          </w:p>
        </w:tc>
      </w:tr>
      <w:tr w:rsidR="003E4BE1" w:rsidRPr="00C22F08" w14:paraId="3F0FD349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609929A4" w14:textId="1F6A1EDA" w:rsidR="003E4BE1" w:rsidRPr="00C22F08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3E72AA84" w14:textId="5F0BBE87" w:rsidR="003E4BE1" w:rsidRPr="00DC3588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CAA9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A111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E3B0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C0F6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0,72%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7807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0,92%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9C80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1,06%</w:t>
            </w:r>
          </w:p>
        </w:tc>
      </w:tr>
      <w:tr w:rsidR="003E4BE1" w:rsidRPr="00C22F08" w14:paraId="08BF3BB5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0BB0FEC9" w14:textId="452E6617" w:rsidR="003E4BE1" w:rsidRPr="00C22F08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5D2969DD" w14:textId="6EDF684B" w:rsidR="003E4BE1" w:rsidRPr="00DC3588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1D0A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FE1E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0,37%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BDE8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549C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0,86%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AAA8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1,08%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8BB88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1,22%</w:t>
            </w:r>
          </w:p>
        </w:tc>
      </w:tr>
      <w:tr w:rsidR="003E4BE1" w:rsidRPr="00C22F08" w14:paraId="553D04E0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2E2FAAA4" w14:textId="200F527B" w:rsidR="003E4BE1" w:rsidRPr="00C22F08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2B62466D" w14:textId="202B0A1C" w:rsidR="003E4BE1" w:rsidRPr="00DC3588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4614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0,30%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92A30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0,63%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1A66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0,73%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A646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1,19%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C8F0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1,40%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5C41" w14:textId="77777777" w:rsidR="003E4BE1" w:rsidRPr="00DC3588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588">
              <w:rPr>
                <w:rFonts w:ascii="Arial" w:hAnsi="Arial" w:cs="Arial"/>
                <w:color w:val="000000"/>
                <w:sz w:val="18"/>
                <w:szCs w:val="18"/>
              </w:rPr>
              <w:t>1,55%</w:t>
            </w:r>
          </w:p>
        </w:tc>
      </w:tr>
    </w:tbl>
    <w:p w14:paraId="019C4CA0" w14:textId="4811C2AC" w:rsidR="00C22F08" w:rsidRPr="00F842D6" w:rsidRDefault="00C22F08" w:rsidP="00824F4F">
      <w:pPr>
        <w:widowControl w:val="0"/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color w:val="000000"/>
          <w:sz w:val="17"/>
          <w:szCs w:val="17"/>
          <w:lang w:bidi="hr-HR"/>
        </w:rPr>
      </w:pPr>
      <w:r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* </w:t>
      </w:r>
      <w:r w:rsidR="00480F12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Jedinstvena </w:t>
      </w:r>
      <w:r w:rsidR="00712B6E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godišnja </w:t>
      </w:r>
      <w:r w:rsidR="006C638B" w:rsidRPr="00F842D6">
        <w:rPr>
          <w:rFonts w:ascii="Arial" w:hAnsi="Arial" w:cs="Arial"/>
          <w:color w:val="000000"/>
          <w:sz w:val="17"/>
          <w:szCs w:val="17"/>
          <w:lang w:bidi="hr-HR"/>
        </w:rPr>
        <w:t>premijsk</w:t>
      </w:r>
      <w:r w:rsidR="00480F12" w:rsidRPr="00F842D6">
        <w:rPr>
          <w:rFonts w:ascii="Arial" w:hAnsi="Arial" w:cs="Arial"/>
          <w:color w:val="000000"/>
          <w:sz w:val="17"/>
          <w:szCs w:val="17"/>
          <w:lang w:bidi="hr-HR"/>
        </w:rPr>
        <w:t>a</w:t>
      </w:r>
      <w:r w:rsidR="006C638B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stop</w:t>
      </w:r>
      <w:r w:rsidR="00480F12" w:rsidRPr="00F842D6">
        <w:rPr>
          <w:rFonts w:ascii="Arial" w:hAnsi="Arial" w:cs="Arial"/>
          <w:color w:val="000000"/>
          <w:sz w:val="17"/>
          <w:szCs w:val="17"/>
          <w:lang w:bidi="hr-HR"/>
        </w:rPr>
        <w:t>a</w:t>
      </w:r>
      <w:r w:rsidR="006C638B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za svaku godinu Trajanja kredita</w:t>
      </w:r>
      <w:r w:rsidR="00480F12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</w:t>
      </w:r>
      <w:r w:rsidR="006C638B" w:rsidRPr="00F842D6">
        <w:rPr>
          <w:rFonts w:ascii="Arial" w:hAnsi="Arial" w:cs="Arial"/>
          <w:color w:val="000000"/>
          <w:sz w:val="17"/>
          <w:szCs w:val="17"/>
          <w:lang w:bidi="hr-HR"/>
        </w:rPr>
        <w:t>određuj</w:t>
      </w:r>
      <w:r w:rsidR="00D42843" w:rsidRPr="00F842D6">
        <w:rPr>
          <w:rFonts w:ascii="Arial" w:hAnsi="Arial" w:cs="Arial"/>
          <w:color w:val="000000"/>
          <w:sz w:val="17"/>
          <w:szCs w:val="17"/>
          <w:lang w:bidi="hr-HR"/>
        </w:rPr>
        <w:t>e</w:t>
      </w:r>
      <w:r w:rsidR="006C638B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se prema ukupnom Trajanju kredita (npr. </w:t>
      </w:r>
      <w:r w:rsidR="00480F12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jedinstvena </w:t>
      </w:r>
      <w:r w:rsidR="006C638B" w:rsidRPr="00F842D6">
        <w:rPr>
          <w:rFonts w:ascii="Arial" w:hAnsi="Arial" w:cs="Arial"/>
          <w:color w:val="000000"/>
          <w:sz w:val="17"/>
          <w:szCs w:val="17"/>
          <w:lang w:bidi="hr-HR"/>
        </w:rPr>
        <w:t>godišnja p</w:t>
      </w:r>
      <w:r w:rsidR="00EC484D" w:rsidRPr="00F842D6">
        <w:rPr>
          <w:rFonts w:ascii="Arial" w:hAnsi="Arial" w:cs="Arial"/>
          <w:color w:val="000000"/>
          <w:sz w:val="17"/>
          <w:szCs w:val="17"/>
          <w:lang w:bidi="hr-HR"/>
        </w:rPr>
        <w:t>remijska stopa</w:t>
      </w:r>
      <w:r w:rsidR="006C638B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za Kredit osiguran s pokrićem od 80% i koji traje 4 godine, 1 mjesec i 2 dana te je odobren velikom poduzetniku</w:t>
      </w:r>
      <w:r w:rsidR="00EC484D" w:rsidRPr="00F842D6">
        <w:rPr>
          <w:rFonts w:ascii="Arial" w:hAnsi="Arial" w:cs="Arial"/>
          <w:color w:val="000000"/>
          <w:sz w:val="17"/>
          <w:szCs w:val="17"/>
          <w:lang w:bidi="hr-HR"/>
        </w:rPr>
        <w:t>, iznosi</w:t>
      </w:r>
      <w:r w:rsidR="006C638B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1,40%</w:t>
      </w:r>
      <w:r w:rsidR="00BD2D7E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</w:t>
      </w:r>
      <w:r w:rsidR="00BD2D7E" w:rsidRPr="00F842D6">
        <w:rPr>
          <w:rFonts w:ascii="Arial" w:hAnsi="Arial" w:cs="Arial"/>
          <w:color w:val="000000"/>
          <w:sz w:val="17"/>
          <w:szCs w:val="17"/>
          <w:lang w:bidi="hr-HR"/>
        </w:rPr>
        <w:sym w:font="Wingdings" w:char="F0E0"/>
      </w:r>
      <w:r w:rsidR="00BD2D7E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promatra se stupac „5 godina“ jer Trajanje kredita </w:t>
      </w:r>
      <w:r w:rsidR="00480F12" w:rsidRPr="00F842D6">
        <w:rPr>
          <w:rFonts w:ascii="Arial" w:hAnsi="Arial" w:cs="Arial"/>
          <w:color w:val="000000"/>
          <w:sz w:val="17"/>
          <w:szCs w:val="17"/>
          <w:lang w:bidi="hr-HR"/>
        </w:rPr>
        <w:t>ulazi u 5.</w:t>
      </w:r>
      <w:r w:rsidR="00BD2D7E" w:rsidRPr="00F842D6">
        <w:rPr>
          <w:rFonts w:ascii="Arial" w:hAnsi="Arial" w:cs="Arial"/>
          <w:color w:val="000000"/>
          <w:sz w:val="17"/>
          <w:szCs w:val="17"/>
          <w:lang w:bidi="hr-HR"/>
        </w:rPr>
        <w:t xml:space="preserve"> godin</w:t>
      </w:r>
      <w:r w:rsidR="00480F12" w:rsidRPr="00F842D6">
        <w:rPr>
          <w:rFonts w:ascii="Arial" w:hAnsi="Arial" w:cs="Arial"/>
          <w:color w:val="000000"/>
          <w:sz w:val="17"/>
          <w:szCs w:val="17"/>
          <w:lang w:bidi="hr-HR"/>
        </w:rPr>
        <w:t>u</w:t>
      </w:r>
      <w:r w:rsidR="00EC484D" w:rsidRPr="00F842D6">
        <w:rPr>
          <w:rFonts w:ascii="Arial" w:hAnsi="Arial" w:cs="Arial"/>
          <w:color w:val="000000"/>
          <w:sz w:val="17"/>
          <w:szCs w:val="17"/>
          <w:lang w:bidi="hr-HR"/>
        </w:rPr>
        <w:t>)</w:t>
      </w:r>
      <w:r w:rsidR="006C638B" w:rsidRPr="00F842D6">
        <w:rPr>
          <w:rFonts w:ascii="Arial" w:hAnsi="Arial" w:cs="Arial"/>
          <w:color w:val="000000"/>
          <w:sz w:val="17"/>
          <w:szCs w:val="17"/>
          <w:lang w:bidi="hr-HR"/>
        </w:rPr>
        <w:t>.</w:t>
      </w:r>
    </w:p>
    <w:p w14:paraId="5B5016E0" w14:textId="5EAB1CDD" w:rsidR="00F54BC4" w:rsidRPr="00F842D6" w:rsidRDefault="00F54BC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  <w:bookmarkStart w:id="11" w:name="_Hlk36533683"/>
      <w:bookmarkStart w:id="12" w:name="_Hlk36558689"/>
      <w:bookmarkEnd w:id="8"/>
    </w:p>
    <w:p w14:paraId="657F2EE9" w14:textId="610707B1" w:rsidR="00B3710A" w:rsidRPr="00B3710A" w:rsidRDefault="00B3710A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784B1E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>Primjer</w:t>
      </w:r>
      <w:r w:rsidR="0099692F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 xml:space="preserve"> izračuna Premije</w:t>
      </w:r>
      <w:r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>:</w:t>
      </w:r>
    </w:p>
    <w:p w14:paraId="351373D1" w14:textId="664EDEDC" w:rsidR="00A34F94" w:rsidRPr="00B345E5" w:rsidRDefault="00B3710A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Osiguranik je s 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MSP-om</w:t>
      </w:r>
      <w:r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r w:rsidR="00744657"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1. 12. 2020. </w:t>
      </w:r>
      <w:r w:rsidR="00824F4F">
        <w:rPr>
          <w:rFonts w:ascii="Arial" w:eastAsia="Calibri" w:hAnsi="Arial" w:cs="Arial"/>
          <w:i/>
          <w:iCs/>
          <w:sz w:val="20"/>
          <w:szCs w:val="20"/>
          <w:lang w:eastAsia="en-US"/>
        </w:rPr>
        <w:t>zaključio</w:t>
      </w:r>
      <w:r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Ugovor o kreditu u iznosu Kredita od 1,5 mil. HRK</w:t>
      </w:r>
      <w:r w:rsidR="001C30A7">
        <w:rPr>
          <w:rFonts w:ascii="Arial" w:eastAsia="Calibri" w:hAnsi="Arial" w:cs="Arial"/>
          <w:i/>
          <w:iCs/>
          <w:sz w:val="20"/>
          <w:szCs w:val="20"/>
          <w:lang w:eastAsia="en-US"/>
        </w:rPr>
        <w:t>, koji se otplaćuje u pet jednakih tromjesečnih rata od kojih prva dospijeva 18. 10. 2021., a zadnja 18. 10. 2022.</w:t>
      </w:r>
      <w:r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Trajanje kredita je </w:t>
      </w:r>
      <w:r w:rsidR="00EC484D">
        <w:rPr>
          <w:rFonts w:ascii="Arial" w:eastAsia="Calibri" w:hAnsi="Arial" w:cs="Arial"/>
          <w:i/>
          <w:iCs/>
          <w:sz w:val="20"/>
          <w:szCs w:val="20"/>
          <w:lang w:eastAsia="en-US"/>
        </w:rPr>
        <w:t>1 godina, 10 mjeseci i 17 dana</w:t>
      </w:r>
      <w:r w:rsidR="001C30A7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="00744657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r w:rsidR="00B345E5" w:rsidRPr="00AF590E">
        <w:rPr>
          <w:rFonts w:ascii="Arial" w:hAnsi="Arial" w:cs="Arial"/>
          <w:i/>
          <w:iCs/>
          <w:color w:val="000000"/>
          <w:sz w:val="20"/>
          <w:szCs w:val="20"/>
        </w:rPr>
        <w:t>Otplatni plan:</w:t>
      </w:r>
    </w:p>
    <w:tbl>
      <w:tblPr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1984"/>
        <w:gridCol w:w="1842"/>
        <w:gridCol w:w="2694"/>
      </w:tblGrid>
      <w:tr w:rsidR="00AF590E" w:rsidRPr="009B2E32" w14:paraId="3EE0C04C" w14:textId="77777777" w:rsidTr="009B2E32">
        <w:tc>
          <w:tcPr>
            <w:tcW w:w="255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0DB9A53" w14:textId="4E161FA6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1FE2E53C" w14:textId="5FE78B65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14:paraId="5E80E5B8" w14:textId="77777777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Rata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hideMark/>
          </w:tcPr>
          <w:p w14:paraId="11F9A328" w14:textId="77777777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Dug po glavnici Kredita (HRK)</w:t>
            </w:r>
          </w:p>
        </w:tc>
      </w:tr>
      <w:tr w:rsidR="00AF590E" w:rsidRPr="009B2E32" w14:paraId="210B6D26" w14:textId="77777777" w:rsidTr="009B2E32">
        <w:tc>
          <w:tcPr>
            <w:tcW w:w="2552" w:type="dxa"/>
            <w:vMerge w:val="restart"/>
            <w:vAlign w:val="center"/>
          </w:tcPr>
          <w:p w14:paraId="39DFF3B8" w14:textId="43D37743" w:rsidR="00AF590E" w:rsidRPr="009B2E32" w:rsidRDefault="00AF590E" w:rsidP="00824F4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1. godina Trajanja kredita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3DE6D2" w14:textId="13BC4CEE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1. 12. 2020.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4CCDD82" w14:textId="47434C0F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početno stanje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25A8831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1.500.000,00</w:t>
            </w:r>
          </w:p>
        </w:tc>
      </w:tr>
      <w:tr w:rsidR="00AF590E" w:rsidRPr="009B2E32" w14:paraId="75C52640" w14:textId="77777777" w:rsidTr="009B2E32">
        <w:tc>
          <w:tcPr>
            <w:tcW w:w="2552" w:type="dxa"/>
            <w:vMerge/>
            <w:vAlign w:val="center"/>
          </w:tcPr>
          <w:p w14:paraId="0B71A564" w14:textId="77777777" w:rsidR="00AF590E" w:rsidRPr="009B2E32" w:rsidRDefault="00AF590E" w:rsidP="00824F4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E671EB9" w14:textId="5F95A89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18. 10. 2021.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51289D4" w14:textId="77777777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33E7611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1.200.000,00</w:t>
            </w:r>
          </w:p>
        </w:tc>
      </w:tr>
      <w:tr w:rsidR="00AF590E" w:rsidRPr="009B2E32" w14:paraId="4864CEBF" w14:textId="77777777" w:rsidTr="00F842D6">
        <w:trPr>
          <w:trHeight w:val="238"/>
        </w:trPr>
        <w:tc>
          <w:tcPr>
            <w:tcW w:w="2552" w:type="dxa"/>
            <w:vMerge/>
            <w:vAlign w:val="center"/>
          </w:tcPr>
          <w:p w14:paraId="5DB39B78" w14:textId="77777777" w:rsidR="00AF590E" w:rsidRPr="009B2E32" w:rsidRDefault="00AF590E" w:rsidP="00824F4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14:paraId="4E602555" w14:textId="1ED2D425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1. 12. 2021.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59850671" w14:textId="2793E960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14:paraId="5F5511B6" w14:textId="6B5225B1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1.200.000,00</w:t>
            </w:r>
          </w:p>
        </w:tc>
      </w:tr>
      <w:tr w:rsidR="00AF590E" w:rsidRPr="009B2E32" w14:paraId="5AF0A377" w14:textId="77777777" w:rsidTr="00F842D6">
        <w:trPr>
          <w:trHeight w:val="238"/>
        </w:trPr>
        <w:tc>
          <w:tcPr>
            <w:tcW w:w="2552" w:type="dxa"/>
            <w:vMerge w:val="restart"/>
            <w:vAlign w:val="center"/>
          </w:tcPr>
          <w:p w14:paraId="75636DDA" w14:textId="66595590" w:rsidR="00AF590E" w:rsidRPr="009B2E32" w:rsidRDefault="00AF590E" w:rsidP="00824F4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2. godina Trajanja kredita</w:t>
            </w:r>
          </w:p>
        </w:tc>
        <w:tc>
          <w:tcPr>
            <w:tcW w:w="1984" w:type="dxa"/>
            <w:vMerge/>
            <w:shd w:val="clear" w:color="auto" w:fill="auto"/>
            <w:noWrap/>
          </w:tcPr>
          <w:p w14:paraId="027A4AB2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289043F1" w14:textId="1AC30AAD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14:paraId="418B2DA6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590E" w:rsidRPr="009B2E32" w14:paraId="728C67E3" w14:textId="77777777" w:rsidTr="009B2E32">
        <w:tc>
          <w:tcPr>
            <w:tcW w:w="2552" w:type="dxa"/>
            <w:vMerge/>
          </w:tcPr>
          <w:p w14:paraId="0D991803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7596827" w14:textId="21E29C76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18. 1. 2022.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BFD603C" w14:textId="77777777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2619CE3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900.000,00</w:t>
            </w:r>
          </w:p>
        </w:tc>
      </w:tr>
      <w:tr w:rsidR="00AF590E" w:rsidRPr="009B2E32" w14:paraId="668FB56F" w14:textId="77777777" w:rsidTr="009B2E32">
        <w:tc>
          <w:tcPr>
            <w:tcW w:w="2552" w:type="dxa"/>
            <w:vMerge/>
          </w:tcPr>
          <w:p w14:paraId="7FBB23DC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0F7A5166" w14:textId="453AE6F5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18. 4. 2022.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291791D" w14:textId="77777777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1E03D2F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600.000,00</w:t>
            </w:r>
          </w:p>
        </w:tc>
      </w:tr>
      <w:tr w:rsidR="00AF590E" w:rsidRPr="009B2E32" w14:paraId="032DEAA7" w14:textId="77777777" w:rsidTr="009B2E32">
        <w:tc>
          <w:tcPr>
            <w:tcW w:w="2552" w:type="dxa"/>
            <w:vMerge/>
          </w:tcPr>
          <w:p w14:paraId="5D1AF337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3230427C" w14:textId="495BAD7A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18. 7. 2022.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0735CC0" w14:textId="77777777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4B9F316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300.000,00</w:t>
            </w:r>
          </w:p>
        </w:tc>
      </w:tr>
      <w:tr w:rsidR="00AF590E" w:rsidRPr="009B2E32" w14:paraId="23CFD135" w14:textId="77777777" w:rsidTr="009B2E32">
        <w:tc>
          <w:tcPr>
            <w:tcW w:w="2552" w:type="dxa"/>
            <w:vMerge/>
          </w:tcPr>
          <w:p w14:paraId="62E02CA7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138FC776" w14:textId="6DF17346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18. 10. 2022.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DE3B597" w14:textId="77777777" w:rsidR="00AF590E" w:rsidRPr="009B2E32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3BA236A" w14:textId="77777777" w:rsidR="00AF590E" w:rsidRPr="009B2E32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E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17A953ED" w14:textId="7AC892A8" w:rsidR="00652D3D" w:rsidRPr="00524E64" w:rsidRDefault="0099692F" w:rsidP="00524E6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lastRenderedPageBreak/>
        <w:t xml:space="preserve">za </w:t>
      </w:r>
      <w:r w:rsidR="00B3710A" w:rsidRPr="00412FEC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>pokriće 70%</w:t>
      </w:r>
      <w:r w:rsid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: </w:t>
      </w:r>
      <w:r w:rsidR="00F0705B">
        <w:rPr>
          <w:rFonts w:ascii="Arial" w:eastAsia="Calibri" w:hAnsi="Arial" w:cs="Arial"/>
          <w:i/>
          <w:iCs/>
          <w:sz w:val="20"/>
          <w:szCs w:val="20"/>
          <w:lang w:eastAsia="en-US"/>
        </w:rPr>
        <w:t>Z</w:t>
      </w:r>
      <w:r w:rsidR="00B3710A"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a cijelo vrijeme Trajanja kredita na stanje glavnice </w:t>
      </w:r>
      <w:r w:rsidR="001C30A7">
        <w:rPr>
          <w:rFonts w:ascii="Arial" w:eastAsia="Calibri" w:hAnsi="Arial" w:cs="Arial"/>
          <w:i/>
          <w:iCs/>
          <w:sz w:val="20"/>
          <w:szCs w:val="20"/>
          <w:lang w:eastAsia="en-US"/>
        </w:rPr>
        <w:t>K</w:t>
      </w:r>
      <w:r w:rsidR="00B3710A"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redita prema otplatnom planu primjenjuje se </w:t>
      </w:r>
      <w:r w:rsidR="00A302CD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fiksna </w:t>
      </w:r>
      <w:r w:rsidR="001C30A7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godišnja </w:t>
      </w:r>
      <w:r w:rsidR="00B3710A"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>premijska stopa od 0,17%</w:t>
      </w:r>
      <w:r w:rsidR="00A302CD">
        <w:rPr>
          <w:rFonts w:ascii="Arial" w:eastAsia="Calibri" w:hAnsi="Arial" w:cs="Arial"/>
          <w:i/>
          <w:iCs/>
          <w:sz w:val="20"/>
          <w:szCs w:val="20"/>
          <w:lang w:eastAsia="en-US"/>
        </w:rPr>
        <w:t>, uzimajući u obzir stvarni broj dana stanja glavnice Kredita</w:t>
      </w:r>
      <w:r w:rsidR="00D1621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u kalendarskoj godini</w:t>
      </w:r>
      <w:r w:rsidR="006B3A7E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="00457F6F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r w:rsidR="00B039CB" w:rsidRPr="00524E64">
        <w:rPr>
          <w:rFonts w:ascii="Arial" w:eastAsia="Calibri" w:hAnsi="Arial" w:cs="Arial"/>
          <w:i/>
          <w:iCs/>
          <w:sz w:val="20"/>
          <w:szCs w:val="20"/>
          <w:lang w:eastAsia="en-US"/>
        </w:rPr>
        <w:t>Stavke izračuna:</w:t>
      </w:r>
    </w:p>
    <w:tbl>
      <w:tblPr>
        <w:tblW w:w="9072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152"/>
        <w:gridCol w:w="1152"/>
        <w:gridCol w:w="741"/>
        <w:gridCol w:w="924"/>
        <w:gridCol w:w="851"/>
        <w:gridCol w:w="2976"/>
      </w:tblGrid>
      <w:tr w:rsidR="00B039CB" w:rsidRPr="00B039CB" w14:paraId="5C288ED9" w14:textId="77777777" w:rsidTr="00457F6F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4BB4693" w14:textId="480A31EA" w:rsidR="00652D3D" w:rsidRPr="00B039CB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9C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F8F2BE0" w14:textId="1089A645" w:rsidR="00652D3D" w:rsidRPr="00B039CB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9CB">
              <w:rPr>
                <w:rFonts w:ascii="Arial" w:hAnsi="Arial" w:cs="Arial"/>
                <w:sz w:val="16"/>
                <w:szCs w:val="16"/>
              </w:rPr>
              <w:t xml:space="preserve">Stanje </w:t>
            </w:r>
            <w:r w:rsidR="00652D3D" w:rsidRPr="00B039CB">
              <w:rPr>
                <w:rFonts w:ascii="Arial" w:hAnsi="Arial" w:cs="Arial"/>
                <w:sz w:val="16"/>
                <w:szCs w:val="16"/>
              </w:rPr>
              <w:t>glavnice</w:t>
            </w: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9317BC" w14:textId="213A007C" w:rsidR="00652D3D" w:rsidRPr="00B039CB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9CB">
              <w:rPr>
                <w:rFonts w:ascii="Arial" w:hAnsi="Arial" w:cs="Arial"/>
                <w:sz w:val="16"/>
                <w:szCs w:val="16"/>
              </w:rPr>
              <w:t xml:space="preserve">Glavnica </w:t>
            </w:r>
            <w:r w:rsidR="00652D3D" w:rsidRPr="00B039CB">
              <w:rPr>
                <w:rFonts w:ascii="Arial" w:hAnsi="Arial" w:cs="Arial"/>
                <w:sz w:val="16"/>
                <w:szCs w:val="16"/>
              </w:rPr>
              <w:t>za izračun</w:t>
            </w: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0028A46" w14:textId="266D833E" w:rsidR="00652D3D" w:rsidRPr="00B039CB" w:rsidRDefault="00B51CC4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P.s.</w:t>
            </w:r>
          </w:p>
        </w:tc>
        <w:tc>
          <w:tcPr>
            <w:tcW w:w="9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C7F6663" w14:textId="155862C7" w:rsidR="00652D3D" w:rsidRPr="00B039CB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9CB">
              <w:rPr>
                <w:rFonts w:ascii="Arial" w:hAnsi="Arial" w:cs="Arial"/>
                <w:sz w:val="16"/>
                <w:szCs w:val="16"/>
              </w:rPr>
              <w:t>B</w:t>
            </w:r>
            <w:r w:rsidR="00652D3D" w:rsidRPr="00B039CB">
              <w:rPr>
                <w:rFonts w:ascii="Arial" w:hAnsi="Arial" w:cs="Arial"/>
                <w:sz w:val="16"/>
                <w:szCs w:val="16"/>
              </w:rPr>
              <w:t>roj dana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E87BE54" w14:textId="06344B9B" w:rsidR="00652D3D" w:rsidRPr="00B039CB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9CB">
              <w:rPr>
                <w:rFonts w:ascii="Arial" w:hAnsi="Arial" w:cs="Arial"/>
                <w:sz w:val="16"/>
                <w:szCs w:val="16"/>
              </w:rPr>
              <w:t>Premija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489D789A" w14:textId="3A4CFE48" w:rsidR="00652D3D" w:rsidRPr="00B039CB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9CB">
              <w:rPr>
                <w:rFonts w:ascii="Arial" w:hAnsi="Arial" w:cs="Arial"/>
                <w:sz w:val="16"/>
                <w:szCs w:val="16"/>
              </w:rPr>
              <w:t>N</w:t>
            </w:r>
            <w:r w:rsidR="00652D3D" w:rsidRPr="00B039CB">
              <w:rPr>
                <w:rFonts w:ascii="Arial" w:hAnsi="Arial" w:cs="Arial"/>
                <w:sz w:val="16"/>
                <w:szCs w:val="16"/>
              </w:rPr>
              <w:t>apomena (opis)</w:t>
            </w:r>
          </w:p>
        </w:tc>
      </w:tr>
      <w:tr w:rsidR="00B039CB" w:rsidRPr="00B039CB" w14:paraId="78D2F4BD" w14:textId="77777777" w:rsidTr="00457F6F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AFD120C" w14:textId="77777777" w:rsidR="00652D3D" w:rsidRPr="00B039CB" w:rsidRDefault="00652D3D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79AA0975" w14:textId="77777777" w:rsidR="00652D3D" w:rsidRPr="00B039CB" w:rsidRDefault="00652D3D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0B39C910" w14:textId="77777777" w:rsidR="00652D3D" w:rsidRPr="00B039CB" w:rsidRDefault="00652D3D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42E33285" w14:textId="77777777" w:rsidR="00652D3D" w:rsidRPr="00B039CB" w:rsidRDefault="00652D3D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2115EBA4" w14:textId="77777777" w:rsidR="00652D3D" w:rsidRPr="00B039CB" w:rsidRDefault="00652D3D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60FDA574" w14:textId="77777777" w:rsidR="00652D3D" w:rsidRPr="00B039CB" w:rsidRDefault="00652D3D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7DC139CA" w14:textId="77777777" w:rsidR="00652D3D" w:rsidRPr="00B039CB" w:rsidRDefault="00652D3D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D72" w:rsidRPr="00B039CB" w14:paraId="1025559C" w14:textId="77777777" w:rsidTr="00457F6F"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003E853" w14:textId="2054AED5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0F4A71F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4BC2A7B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1B65879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B6CDEBF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30/366 + 291/365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AA9EF1F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2.242,03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C22471" w14:textId="77777777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datum sklapanja Ugovora o kreditu;</w:t>
            </w:r>
          </w:p>
          <w:p w14:paraId="144758C6" w14:textId="6D6E5ADE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30/366 je broj dana Trajanja kredita u 2020.</w:t>
            </w:r>
            <w:r w:rsidR="008C6E53">
              <w:rPr>
                <w:rFonts w:ascii="Arial" w:hAnsi="Arial" w:cs="Arial"/>
                <w:color w:val="000000"/>
                <w:sz w:val="16"/>
                <w:szCs w:val="16"/>
              </w:rPr>
              <w:t xml:space="preserve"> (prijestupnoj godini)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, a 291/365 je broj dana Trajanja kredita u 2021. do prelaska Kredita u otplatu</w:t>
            </w:r>
          </w:p>
        </w:tc>
      </w:tr>
      <w:tr w:rsidR="00157D72" w:rsidRPr="00B039CB" w14:paraId="46885F8A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3520590" w14:textId="753DA156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AC0827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EC1ABC4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6E768D4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6AD52C6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74/365 + 18/365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24D53E5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514,19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BE937F" w14:textId="77777777" w:rsidR="00157D72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datum prelaska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Kredita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u otplatu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6B98231F" w14:textId="402D272F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/36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 je broj dana Trajanja kredita u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.,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/365 je broj dana Trajanja kredita u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. 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novog smanjenja glavnice</w:t>
            </w:r>
          </w:p>
        </w:tc>
      </w:tr>
      <w:tr w:rsidR="00157D72" w:rsidRPr="00B039CB" w14:paraId="2CB9B31B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C604AD" w14:textId="38FC68BC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FAE4EFE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D1940B6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CD4692D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BD39BC5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90/365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00BA5CB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377,26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E40C54" w14:textId="1F450AD2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/36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 je broj dana Trajanja kredita u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. 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novog smanjenja glavnice</w:t>
            </w:r>
          </w:p>
        </w:tc>
      </w:tr>
      <w:tr w:rsidR="00157D72" w:rsidRPr="00B039CB" w14:paraId="3FEFF9AD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B18DC50" w14:textId="0B154769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3C8CA2C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900BD0C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C613EA3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ACE5C7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91/365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8F7F928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254,30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E42A8" w14:textId="36BCDE7A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/36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 je broj dana Trajanja kredita u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. 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novog smanjenja glavnice</w:t>
            </w:r>
          </w:p>
        </w:tc>
      </w:tr>
      <w:tr w:rsidR="00157D72" w:rsidRPr="00B039CB" w14:paraId="18CE8F10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44A4919" w14:textId="274804D6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0E32975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5BA6492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B0DA34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DAFDA53" w14:textId="77777777" w:rsidR="00157D72" w:rsidRPr="00B039CB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92/365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E578F65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128,55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250F74" w14:textId="06AFAD0A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/366 je broj dana Trajanja kredita u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.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otplate Kredita</w:t>
            </w:r>
          </w:p>
        </w:tc>
      </w:tr>
      <w:tr w:rsidR="00157D72" w:rsidRPr="00B039CB" w14:paraId="1B573268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7531BF3" w14:textId="7BAA9261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640986" w14:textId="14AB9824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ACE4820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6B1C36C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CA2F13B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20D4CF6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4E3BC0" w14:textId="1C8E0D63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 otplate Kredita</w:t>
            </w:r>
          </w:p>
        </w:tc>
      </w:tr>
      <w:tr w:rsidR="00157D72" w:rsidRPr="00B039CB" w14:paraId="381E19AD" w14:textId="77777777" w:rsidTr="00457F6F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7B358AC8" w14:textId="250CF844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501A140A" w14:textId="77777777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37FA75E" w14:textId="77777777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3446B8F" w14:textId="77777777" w:rsidR="00157D72" w:rsidRPr="00B039CB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2DF1F73" w14:textId="02E70156" w:rsidR="00157D72" w:rsidRPr="00AA62B1" w:rsidRDefault="00AA62B1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62B1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4C631BB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3.516,33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126E9A32" w14:textId="77777777" w:rsidR="00157D72" w:rsidRPr="00B039CB" w:rsidRDefault="00157D72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52AF97" w14:textId="5C397FB8" w:rsidR="00B3710A" w:rsidRPr="00457F6F" w:rsidRDefault="00B3710A" w:rsidP="00457F6F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sz w:val="10"/>
          <w:szCs w:val="10"/>
          <w:lang w:eastAsia="en-US"/>
        </w:rPr>
      </w:pPr>
      <w:r w:rsidRPr="00457F6F">
        <w:rPr>
          <w:rFonts w:ascii="Arial" w:eastAsia="Calibri" w:hAnsi="Arial" w:cs="Arial"/>
          <w:i/>
          <w:iCs/>
          <w:sz w:val="10"/>
          <w:szCs w:val="10"/>
          <w:lang w:eastAsia="en-US"/>
        </w:rPr>
        <w:t>.</w:t>
      </w:r>
    </w:p>
    <w:p w14:paraId="520DDB01" w14:textId="423FA341" w:rsidR="00157D72" w:rsidRPr="00457F6F" w:rsidRDefault="0099692F" w:rsidP="00457F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 xml:space="preserve">za </w:t>
      </w:r>
      <w:r w:rsidR="00784B1E" w:rsidRPr="00412FEC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>pokriće 90%</w:t>
      </w:r>
      <w:r w:rsidR="00784B1E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: </w:t>
      </w:r>
      <w:r w:rsidR="006B3A7E">
        <w:rPr>
          <w:rFonts w:ascii="Arial" w:eastAsia="Calibri" w:hAnsi="Arial" w:cs="Arial"/>
          <w:i/>
          <w:sz w:val="20"/>
          <w:szCs w:val="20"/>
          <w:lang w:eastAsia="en-US"/>
        </w:rPr>
        <w:t xml:space="preserve">Za 1. godinu Trajanja kredita </w:t>
      </w:r>
      <w:r w:rsidR="006E19A2"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na stanje glavnice </w:t>
      </w:r>
      <w:r w:rsidR="006E19A2">
        <w:rPr>
          <w:rFonts w:ascii="Arial" w:eastAsia="Calibri" w:hAnsi="Arial" w:cs="Arial"/>
          <w:i/>
          <w:iCs/>
          <w:sz w:val="20"/>
          <w:szCs w:val="20"/>
          <w:lang w:eastAsia="en-US"/>
        </w:rPr>
        <w:t>K</w:t>
      </w:r>
      <w:r w:rsidR="006E19A2"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redita prema otplatnom planu </w:t>
      </w:r>
      <w:r w:rsidR="00A302CD">
        <w:rPr>
          <w:rFonts w:ascii="Arial" w:eastAsia="Calibri" w:hAnsi="Arial" w:cs="Arial"/>
          <w:i/>
          <w:sz w:val="20"/>
          <w:szCs w:val="20"/>
          <w:lang w:eastAsia="en-US"/>
        </w:rPr>
        <w:t>primjenjuje s</w:t>
      </w:r>
      <w:r w:rsidR="006B3A7E">
        <w:rPr>
          <w:rFonts w:ascii="Arial" w:eastAsia="Calibri" w:hAnsi="Arial" w:cs="Arial"/>
          <w:i/>
          <w:sz w:val="20"/>
          <w:szCs w:val="20"/>
          <w:lang w:eastAsia="en-US"/>
        </w:rPr>
        <w:t xml:space="preserve">e </w:t>
      </w:r>
      <w:r w:rsidR="00A302CD">
        <w:rPr>
          <w:rFonts w:ascii="Arial" w:eastAsia="Calibri" w:hAnsi="Arial" w:cs="Arial"/>
          <w:i/>
          <w:sz w:val="20"/>
          <w:szCs w:val="20"/>
          <w:lang w:eastAsia="en-US"/>
        </w:rPr>
        <w:t xml:space="preserve">godišnja </w:t>
      </w:r>
      <w:r w:rsidR="006B3A7E">
        <w:rPr>
          <w:rFonts w:ascii="Arial" w:eastAsia="Calibri" w:hAnsi="Arial" w:cs="Arial"/>
          <w:i/>
          <w:sz w:val="20"/>
          <w:szCs w:val="20"/>
          <w:lang w:eastAsia="en-US"/>
        </w:rPr>
        <w:t xml:space="preserve">premijska stopa </w:t>
      </w:r>
      <w:r w:rsidR="00A302CD">
        <w:rPr>
          <w:rFonts w:ascii="Arial" w:eastAsia="Calibri" w:hAnsi="Arial" w:cs="Arial"/>
          <w:i/>
          <w:sz w:val="20"/>
          <w:szCs w:val="20"/>
          <w:lang w:eastAsia="en-US"/>
        </w:rPr>
        <w:t xml:space="preserve">od </w:t>
      </w:r>
      <w:r w:rsidR="006B3A7E">
        <w:rPr>
          <w:rFonts w:ascii="Arial" w:eastAsia="Calibri" w:hAnsi="Arial" w:cs="Arial"/>
          <w:i/>
          <w:sz w:val="20"/>
          <w:szCs w:val="20"/>
          <w:lang w:eastAsia="en-US"/>
        </w:rPr>
        <w:t>0,25%, a za drugu godinu 0,50</w:t>
      </w:r>
      <w:r w:rsidR="006E19A2" w:rsidRPr="00B3710A">
        <w:rPr>
          <w:rFonts w:ascii="Arial" w:eastAsia="Calibri" w:hAnsi="Arial" w:cs="Arial"/>
          <w:i/>
          <w:iCs/>
          <w:sz w:val="20"/>
          <w:szCs w:val="20"/>
          <w:lang w:eastAsia="en-US"/>
        </w:rPr>
        <w:t>%</w:t>
      </w:r>
      <w:r w:rsidR="006E19A2">
        <w:rPr>
          <w:rFonts w:ascii="Arial" w:eastAsia="Calibri" w:hAnsi="Arial" w:cs="Arial"/>
          <w:i/>
          <w:iCs/>
          <w:sz w:val="20"/>
          <w:szCs w:val="20"/>
          <w:lang w:eastAsia="en-US"/>
        </w:rPr>
        <w:t>, uzimajući u obzir stvarni broj dana stanja glavnice Kredita</w:t>
      </w:r>
      <w:r w:rsidR="006B3A7E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="00457F6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157D72" w:rsidRPr="00457F6F">
        <w:rPr>
          <w:rFonts w:ascii="Arial" w:eastAsia="Calibri" w:hAnsi="Arial" w:cs="Arial"/>
          <w:i/>
          <w:iCs/>
          <w:sz w:val="20"/>
          <w:szCs w:val="20"/>
          <w:lang w:eastAsia="en-US"/>
        </w:rPr>
        <w:t>Stavke izračuna:</w:t>
      </w:r>
    </w:p>
    <w:tbl>
      <w:tblPr>
        <w:tblW w:w="906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1277"/>
        <w:gridCol w:w="1151"/>
        <w:gridCol w:w="741"/>
        <w:gridCol w:w="943"/>
        <w:gridCol w:w="851"/>
        <w:gridCol w:w="2833"/>
      </w:tblGrid>
      <w:tr w:rsidR="00157D72" w:rsidRPr="00B903C2" w14:paraId="7A9FDFB4" w14:textId="77777777" w:rsidTr="00457F6F"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7897A4C7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03C2">
              <w:rPr>
                <w:rFonts w:ascii="Arial" w:hAnsi="Arial" w:cs="Arial"/>
                <w:sz w:val="16"/>
                <w:szCs w:val="16"/>
              </w:rPr>
              <w:t>atum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6C996A50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903C2">
              <w:rPr>
                <w:rFonts w:ascii="Arial" w:hAnsi="Arial" w:cs="Arial"/>
                <w:sz w:val="16"/>
                <w:szCs w:val="16"/>
              </w:rPr>
              <w:t>tanje glavnice</w:t>
            </w:r>
          </w:p>
        </w:tc>
        <w:tc>
          <w:tcPr>
            <w:tcW w:w="11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5490815D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B903C2">
              <w:rPr>
                <w:rFonts w:ascii="Arial" w:hAnsi="Arial" w:cs="Arial"/>
                <w:sz w:val="16"/>
                <w:szCs w:val="16"/>
              </w:rPr>
              <w:t>lav</w:t>
            </w:r>
            <w:r>
              <w:rPr>
                <w:rFonts w:ascii="Arial" w:hAnsi="Arial" w:cs="Arial"/>
                <w:sz w:val="16"/>
                <w:szCs w:val="16"/>
              </w:rPr>
              <w:t>nica</w:t>
            </w:r>
            <w:r w:rsidRPr="00B903C2">
              <w:rPr>
                <w:rFonts w:ascii="Arial" w:hAnsi="Arial" w:cs="Arial"/>
                <w:sz w:val="16"/>
                <w:szCs w:val="16"/>
              </w:rPr>
              <w:t xml:space="preserve"> za izračun</w:t>
            </w:r>
          </w:p>
        </w:tc>
        <w:tc>
          <w:tcPr>
            <w:tcW w:w="7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46BFA1D4" w14:textId="2CD0463A" w:rsidR="00157D72" w:rsidRPr="00B903C2" w:rsidRDefault="00B51CC4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P.s.</w:t>
            </w:r>
          </w:p>
        </w:tc>
        <w:tc>
          <w:tcPr>
            <w:tcW w:w="9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40B02213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903C2">
              <w:rPr>
                <w:rFonts w:ascii="Arial" w:hAnsi="Arial" w:cs="Arial"/>
                <w:sz w:val="16"/>
                <w:szCs w:val="16"/>
              </w:rPr>
              <w:t>roj dana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4018077F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903C2">
              <w:rPr>
                <w:rFonts w:ascii="Arial" w:hAnsi="Arial" w:cs="Arial"/>
                <w:sz w:val="16"/>
                <w:szCs w:val="16"/>
              </w:rPr>
              <w:t>remija</w:t>
            </w:r>
          </w:p>
        </w:tc>
        <w:tc>
          <w:tcPr>
            <w:tcW w:w="2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74E46FBF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B903C2">
              <w:rPr>
                <w:rFonts w:ascii="Arial" w:hAnsi="Arial" w:cs="Arial"/>
                <w:sz w:val="16"/>
                <w:szCs w:val="16"/>
              </w:rPr>
              <w:t>apomena (opis)</w:t>
            </w:r>
          </w:p>
        </w:tc>
      </w:tr>
      <w:tr w:rsidR="00157D72" w:rsidRPr="00B903C2" w14:paraId="6B82F569" w14:textId="77777777" w:rsidTr="00457F6F"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6255FD31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17DF23EF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66724736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4922D615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587BB9F2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1D995C59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1F78773C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D72" w:rsidRPr="00B903C2" w14:paraId="7196B4DA" w14:textId="77777777" w:rsidTr="00457F6F">
        <w:tc>
          <w:tcPr>
            <w:tcW w:w="1271" w:type="dxa"/>
            <w:tcBorders>
              <w:top w:val="nil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A0DBB54" w14:textId="245A236D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BD83480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062C1B4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7AE00DC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0,25%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63FC65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30/366 + 291/365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BD68DED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3.297,10</w:t>
            </w:r>
          </w:p>
        </w:tc>
        <w:tc>
          <w:tcPr>
            <w:tcW w:w="2833" w:type="dxa"/>
            <w:tcBorders>
              <w:top w:val="nil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10F91C5" w14:textId="77777777" w:rsidR="00157D72" w:rsidRPr="0031035E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35E">
              <w:rPr>
                <w:rFonts w:ascii="Arial" w:hAnsi="Arial" w:cs="Arial"/>
                <w:color w:val="000000"/>
                <w:sz w:val="16"/>
                <w:szCs w:val="16"/>
              </w:rPr>
              <w:t>datum sklapanja Ugovora o kreditu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početak 1. godine Trajanja kredita</w:t>
            </w:r>
            <w:r w:rsidRPr="0031035E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3D57EFC9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35E">
              <w:rPr>
                <w:rFonts w:ascii="Arial" w:hAnsi="Arial" w:cs="Arial"/>
                <w:color w:val="000000"/>
                <w:sz w:val="16"/>
                <w:szCs w:val="16"/>
              </w:rPr>
              <w:t>30/366 je broj dana Trajanja kredita u 2020., a 291/365 je broj dana Trajanja kredita u 2021. do prelaska Kredita u otplatu</w:t>
            </w:r>
          </w:p>
        </w:tc>
      </w:tr>
      <w:tr w:rsidR="00157D72" w:rsidRPr="00B903C2" w14:paraId="11DB8D66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DA5104C" w14:textId="57F10DD0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06F0C41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F35C885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D5A64EC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0,25%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FDE5F10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44/365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0F1E4E4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361,64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AE6F73E" w14:textId="77777777" w:rsidR="00157D72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datum prelaska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Kredita 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u otplatu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59A7B51A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/36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 je broj dana Trajanja kredita u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tijekom 1. godine Trajanja kredita</w:t>
            </w:r>
          </w:p>
        </w:tc>
      </w:tr>
      <w:tr w:rsidR="00157D72" w:rsidRPr="00B903C2" w14:paraId="01015A6E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ECC4B90" w14:textId="698848AF" w:rsidR="00157D72" w:rsidRPr="006E6EAA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EAA">
              <w:rPr>
                <w:rFonts w:ascii="Arial" w:hAnsi="Arial" w:cs="Arial"/>
                <w:sz w:val="16"/>
                <w:szCs w:val="16"/>
              </w:rPr>
              <w:t>1.</w:t>
            </w:r>
            <w:r w:rsidR="00B51C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EAA">
              <w:rPr>
                <w:rFonts w:ascii="Arial" w:hAnsi="Arial" w:cs="Arial"/>
                <w:sz w:val="16"/>
                <w:szCs w:val="16"/>
              </w:rPr>
              <w:t>12.</w:t>
            </w:r>
            <w:r w:rsidR="00B51C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6EAA">
              <w:rPr>
                <w:rFonts w:ascii="Arial" w:hAnsi="Arial" w:cs="Arial"/>
                <w:sz w:val="16"/>
                <w:szCs w:val="16"/>
              </w:rPr>
              <w:t>2021</w:t>
            </w:r>
            <w:r w:rsidR="00B51CC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E7B8E0E" w14:textId="541367A3" w:rsidR="00157D72" w:rsidRPr="006E6EAA" w:rsidRDefault="00524E64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  <w:r w:rsidR="00157D72" w:rsidRPr="006E6E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5059883" w14:textId="77777777" w:rsidR="00157D72" w:rsidRPr="006E6EAA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EAA">
              <w:rPr>
                <w:rFonts w:ascii="Arial" w:hAnsi="Arial" w:cs="Arial"/>
                <w:sz w:val="16"/>
                <w:szCs w:val="16"/>
              </w:rPr>
              <w:t>1.200.000,00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2B8A2F3" w14:textId="77777777" w:rsidR="00157D72" w:rsidRPr="006E6EAA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EAA">
              <w:rPr>
                <w:rFonts w:ascii="Arial" w:hAnsi="Arial" w:cs="Arial"/>
                <w:sz w:val="16"/>
                <w:szCs w:val="16"/>
              </w:rPr>
              <w:t>0,50%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04FF115" w14:textId="77777777" w:rsidR="00157D72" w:rsidRPr="006E6EAA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EAA">
              <w:rPr>
                <w:rFonts w:ascii="Arial" w:hAnsi="Arial" w:cs="Arial"/>
                <w:sz w:val="16"/>
                <w:szCs w:val="16"/>
              </w:rPr>
              <w:t>30/365 + 18/365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5E0A44C" w14:textId="77777777" w:rsidR="00157D72" w:rsidRPr="006E6EAA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EAA">
              <w:rPr>
                <w:rFonts w:ascii="Arial" w:hAnsi="Arial" w:cs="Arial"/>
                <w:sz w:val="16"/>
                <w:szCs w:val="16"/>
              </w:rPr>
              <w:t>789,04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60BC024" w14:textId="77777777" w:rsidR="00157D72" w:rsidRPr="006E6EAA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E6EAA">
              <w:rPr>
                <w:rFonts w:ascii="Arial" w:hAnsi="Arial" w:cs="Arial"/>
                <w:sz w:val="16"/>
                <w:szCs w:val="16"/>
              </w:rPr>
              <w:t>početak 2. godine Trajanja kredita;</w:t>
            </w:r>
          </w:p>
          <w:p w14:paraId="7BD6F852" w14:textId="77777777" w:rsidR="00157D72" w:rsidRPr="006E6EAA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E6EAA">
              <w:rPr>
                <w:rFonts w:ascii="Arial" w:hAnsi="Arial" w:cs="Arial"/>
                <w:sz w:val="16"/>
                <w:szCs w:val="16"/>
              </w:rPr>
              <w:t>30/366 je broj dana Trajanja kredita u 2021., a 18/365 je broj dana Trajanja kredita u 2022. do novog smanjenja glavnice</w:t>
            </w:r>
          </w:p>
        </w:tc>
      </w:tr>
      <w:tr w:rsidR="00157D72" w:rsidRPr="00B903C2" w14:paraId="62465925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BF6CC29" w14:textId="05AA25DF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602FC17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B8DD05E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A7F6562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4616C7F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90/365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88BFC69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1.109,59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D5F0B6F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/36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 je broj dana Trajanja kredita u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. 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novog smanjenja glavnice</w:t>
            </w:r>
          </w:p>
        </w:tc>
      </w:tr>
      <w:tr w:rsidR="00157D72" w:rsidRPr="00B903C2" w14:paraId="6A7071D3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FD6C6A5" w14:textId="5A7D1F9C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D8F787E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40E375D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06ED076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6402B71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91/365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6CF4918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747,95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933FCA7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/36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 je broj dana Trajanja kredita u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 xml:space="preserve">. do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novog smanjenja glavnice</w:t>
            </w:r>
          </w:p>
        </w:tc>
      </w:tr>
      <w:tr w:rsidR="00157D72" w:rsidRPr="00B903C2" w14:paraId="79E34532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6CB9FB7" w14:textId="6D95078C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BB172E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0752889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9A0EE1B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DDB4F95" w14:textId="77777777" w:rsidR="00157D72" w:rsidRPr="00B903C2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92/365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188F5CC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378,08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4A77D0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/366 je broj dana Trajanja kredita u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039CB">
              <w:rPr>
                <w:rFonts w:ascii="Arial" w:hAnsi="Arial" w:cs="Arial"/>
                <w:color w:val="000000"/>
                <w:sz w:val="16"/>
                <w:szCs w:val="16"/>
              </w:rPr>
              <w:t>.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otplate Kredita</w:t>
            </w:r>
          </w:p>
        </w:tc>
      </w:tr>
      <w:tr w:rsidR="00157D72" w:rsidRPr="00B903C2" w14:paraId="3D53898E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EE278D1" w14:textId="45E8FE42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141A1E5" w14:textId="7FECF16F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51CC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DECC254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EE7FF55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53B5299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FDC6EA7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68DE9E9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 otplate Kredita</w:t>
            </w:r>
          </w:p>
        </w:tc>
      </w:tr>
      <w:tr w:rsidR="00157D72" w:rsidRPr="00B903C2" w14:paraId="16FC99CE" w14:textId="77777777" w:rsidTr="00457F6F"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48D0D471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0E72D450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6647ABB2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6692B310" w14:textId="77777777" w:rsidR="00157D72" w:rsidRPr="00B903C2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4EC6021" w14:textId="22FA8F39" w:rsidR="00157D72" w:rsidRPr="00B903C2" w:rsidRDefault="00AA62B1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62B1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B309A5F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03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6.683,40</w:t>
            </w:r>
          </w:p>
        </w:tc>
        <w:tc>
          <w:tcPr>
            <w:tcW w:w="28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329EF3D2" w14:textId="77777777" w:rsidR="00157D72" w:rsidRPr="00B903C2" w:rsidRDefault="00157D72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11"/>
    </w:tbl>
    <w:p w14:paraId="30C278EC" w14:textId="77777777" w:rsidR="00E549FE" w:rsidRPr="002B4007" w:rsidRDefault="00E549FE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141DF504" w14:textId="77777777" w:rsidR="00693114" w:rsidRDefault="00693114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119AB34A" w14:textId="0680BEA2" w:rsidR="00A845E4" w:rsidRPr="002B4007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Odobrenje kredita</w:t>
      </w:r>
    </w:p>
    <w:bookmarkEnd w:id="12"/>
    <w:p w14:paraId="0883C0F4" w14:textId="5AE1B6FA" w:rsidR="00134E36" w:rsidRDefault="00C57AC6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Odobrenje </w:t>
      </w:r>
      <w:r w:rsidR="00397F76" w:rsidRPr="002B4007">
        <w:rPr>
          <w:rFonts w:ascii="Arial" w:eastAsia="Calibri" w:hAnsi="Arial" w:cs="Arial"/>
          <w:sz w:val="20"/>
          <w:szCs w:val="20"/>
          <w:lang w:eastAsia="en-US"/>
        </w:rPr>
        <w:t>K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redita obavlja samostalno Osiguranik 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>prema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vlastitoj procjeni kreditne sposobnosti Izvoznika i 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sklad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>u s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vlastitim procedurama</w:t>
      </w:r>
      <w:r w:rsidR="00141AAE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pri čemu Kredit kojeg Osiguranik želi uključiti u Portfelj mora</w:t>
      </w:r>
      <w:r w:rsidR="00397F76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B4007">
        <w:rPr>
          <w:rFonts w:ascii="Arial" w:hAnsi="Arial" w:cs="Arial"/>
          <w:sz w:val="20"/>
          <w:szCs w:val="20"/>
        </w:rPr>
        <w:t xml:space="preserve">zadovoljavati </w:t>
      </w:r>
      <w:r w:rsidRPr="002B4007">
        <w:rPr>
          <w:rFonts w:ascii="Arial" w:hAnsi="Arial" w:cs="Arial"/>
          <w:b/>
          <w:sz w:val="20"/>
          <w:szCs w:val="20"/>
        </w:rPr>
        <w:t>Kriterije prihvatljivosti za uključenje kredita u portfelj definirane ovim Programom osiguranja</w:t>
      </w:r>
      <w:r w:rsidRPr="002B4007">
        <w:rPr>
          <w:rFonts w:ascii="Arial" w:hAnsi="Arial" w:cs="Arial"/>
          <w:sz w:val="20"/>
          <w:szCs w:val="20"/>
        </w:rPr>
        <w:t>.</w:t>
      </w:r>
      <w:r w:rsidR="00134E36" w:rsidRPr="002B4007">
        <w:rPr>
          <w:rFonts w:ascii="Arial" w:eastAsia="Calibri" w:hAnsi="Arial" w:cs="Arial"/>
          <w:sz w:val="20"/>
          <w:szCs w:val="20"/>
          <w:lang w:eastAsia="en-US"/>
        </w:rPr>
        <w:t xml:space="preserve"> U okviru Sporazuma o osiguranju portfelja, utvrdit će se Najviši volumen portfelja</w:t>
      </w:r>
      <w:r w:rsidR="004A680D" w:rsidRPr="002B4007">
        <w:rPr>
          <w:rFonts w:ascii="Arial" w:eastAsia="Calibri" w:hAnsi="Arial" w:cs="Arial"/>
          <w:sz w:val="20"/>
          <w:szCs w:val="20"/>
          <w:lang w:eastAsia="en-US"/>
        </w:rPr>
        <w:t xml:space="preserve"> i drugi specifični uvjeti osiguranja</w:t>
      </w:r>
      <w:r w:rsidR="00397F76" w:rsidRPr="002B400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983EDA0" w14:textId="77777777" w:rsidR="00523F3E" w:rsidRPr="00693114" w:rsidRDefault="00523F3E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56990284" w14:textId="4442C2D6" w:rsidR="00F94685" w:rsidRDefault="00397F76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Osiguranik</w:t>
      </w:r>
      <w:r w:rsidR="00134E36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34E36" w:rsidRPr="002B4007">
        <w:rPr>
          <w:rFonts w:ascii="Arial" w:hAnsi="Arial" w:cs="Arial"/>
          <w:sz w:val="20"/>
          <w:szCs w:val="20"/>
        </w:rPr>
        <w:t xml:space="preserve">uključuje </w:t>
      </w:r>
      <w:r w:rsidR="00F94685">
        <w:rPr>
          <w:rFonts w:ascii="Arial" w:hAnsi="Arial" w:cs="Arial"/>
          <w:sz w:val="20"/>
          <w:szCs w:val="20"/>
        </w:rPr>
        <w:t>k</w:t>
      </w:r>
      <w:r w:rsidR="00134E36" w:rsidRPr="002B4007">
        <w:rPr>
          <w:rFonts w:ascii="Arial" w:hAnsi="Arial" w:cs="Arial"/>
          <w:sz w:val="20"/>
          <w:szCs w:val="20"/>
        </w:rPr>
        <w:t xml:space="preserve">redite u Portfelj na način da po isteku </w:t>
      </w:r>
      <w:r w:rsidR="0059422C" w:rsidRPr="002B4007">
        <w:rPr>
          <w:rFonts w:ascii="Arial" w:hAnsi="Arial" w:cs="Arial"/>
          <w:sz w:val="20"/>
          <w:szCs w:val="20"/>
        </w:rPr>
        <w:t xml:space="preserve">svakog </w:t>
      </w:r>
      <w:r w:rsidR="00134E36" w:rsidRPr="002B4007">
        <w:rPr>
          <w:rFonts w:ascii="Arial" w:hAnsi="Arial" w:cs="Arial"/>
          <w:sz w:val="20"/>
          <w:szCs w:val="20"/>
        </w:rPr>
        <w:t xml:space="preserve">Kalendarskog tromjesečja </w:t>
      </w:r>
      <w:r w:rsidRPr="002B4007">
        <w:rPr>
          <w:rFonts w:ascii="Arial" w:hAnsi="Arial" w:cs="Arial"/>
          <w:sz w:val="20"/>
          <w:szCs w:val="20"/>
        </w:rPr>
        <w:t>dostavi</w:t>
      </w:r>
      <w:r w:rsidR="00134E36" w:rsidRPr="002B4007">
        <w:rPr>
          <w:rFonts w:ascii="Arial" w:hAnsi="Arial" w:cs="Arial"/>
          <w:sz w:val="20"/>
          <w:szCs w:val="20"/>
        </w:rPr>
        <w:t xml:space="preserve"> </w:t>
      </w:r>
      <w:r w:rsidRPr="002B4007">
        <w:rPr>
          <w:rFonts w:ascii="Arial" w:hAnsi="Arial" w:cs="Arial"/>
          <w:sz w:val="20"/>
          <w:szCs w:val="20"/>
        </w:rPr>
        <w:t>Osiguratelju</w:t>
      </w:r>
      <w:r w:rsidR="00134E36" w:rsidRPr="002B4007">
        <w:rPr>
          <w:rFonts w:ascii="Arial" w:hAnsi="Arial" w:cs="Arial"/>
          <w:sz w:val="20"/>
          <w:szCs w:val="20"/>
        </w:rPr>
        <w:t xml:space="preserve"> Obavijest o uključivanju </w:t>
      </w:r>
      <w:r w:rsidRPr="002B4007">
        <w:rPr>
          <w:rFonts w:ascii="Arial" w:hAnsi="Arial" w:cs="Arial"/>
          <w:sz w:val="20"/>
          <w:szCs w:val="20"/>
        </w:rPr>
        <w:t xml:space="preserve">koja će sadržavati podatke o svim </w:t>
      </w:r>
      <w:r w:rsidR="0059422C" w:rsidRPr="002B4007">
        <w:rPr>
          <w:rFonts w:ascii="Arial" w:hAnsi="Arial" w:cs="Arial"/>
          <w:sz w:val="20"/>
          <w:szCs w:val="20"/>
        </w:rPr>
        <w:t>k</w:t>
      </w:r>
      <w:r w:rsidRPr="002B4007">
        <w:rPr>
          <w:rFonts w:ascii="Arial" w:hAnsi="Arial" w:cs="Arial"/>
          <w:sz w:val="20"/>
          <w:szCs w:val="20"/>
        </w:rPr>
        <w:t>reditima</w:t>
      </w:r>
      <w:r w:rsidR="0059422C" w:rsidRPr="002B4007">
        <w:rPr>
          <w:rFonts w:ascii="Arial" w:hAnsi="Arial" w:cs="Arial"/>
          <w:sz w:val="20"/>
          <w:szCs w:val="20"/>
        </w:rPr>
        <w:t xml:space="preserve"> koje želi uključiti u Portfelj i</w:t>
      </w:r>
      <w:r w:rsidRPr="002B4007">
        <w:rPr>
          <w:rFonts w:ascii="Arial" w:hAnsi="Arial" w:cs="Arial"/>
          <w:sz w:val="20"/>
          <w:szCs w:val="20"/>
        </w:rPr>
        <w:t xml:space="preserve"> za koje je Ugovor o kreditu zaključen u tom Kalendarskom tromjesečju</w:t>
      </w:r>
      <w:r w:rsidR="00524E64">
        <w:rPr>
          <w:rFonts w:ascii="Arial" w:hAnsi="Arial" w:cs="Arial"/>
          <w:sz w:val="20"/>
          <w:szCs w:val="20"/>
        </w:rPr>
        <w:t xml:space="preserve">, te uz koju </w:t>
      </w:r>
      <w:r w:rsidR="00524E64" w:rsidRPr="00524E64">
        <w:rPr>
          <w:rFonts w:ascii="Arial" w:hAnsi="Arial" w:cs="Arial"/>
          <w:sz w:val="20"/>
          <w:szCs w:val="20"/>
        </w:rPr>
        <w:t xml:space="preserve">dostavlja </w:t>
      </w:r>
      <w:r w:rsidR="00524E64">
        <w:rPr>
          <w:rFonts w:ascii="Arial" w:hAnsi="Arial" w:cs="Arial"/>
          <w:sz w:val="20"/>
          <w:szCs w:val="20"/>
        </w:rPr>
        <w:t xml:space="preserve">i </w:t>
      </w:r>
      <w:r w:rsidR="00524E64" w:rsidRPr="00524E64">
        <w:rPr>
          <w:rFonts w:ascii="Arial" w:hAnsi="Arial" w:cs="Arial"/>
          <w:sz w:val="20"/>
          <w:szCs w:val="20"/>
        </w:rPr>
        <w:t>preliminarni otplatni plan Kredita</w:t>
      </w:r>
      <w:r w:rsidRPr="002B4007">
        <w:rPr>
          <w:rFonts w:ascii="Arial" w:hAnsi="Arial" w:cs="Arial"/>
          <w:sz w:val="20"/>
          <w:szCs w:val="20"/>
        </w:rPr>
        <w:t>.</w:t>
      </w:r>
    </w:p>
    <w:p w14:paraId="7F215180" w14:textId="50396DD3" w:rsidR="00134E36" w:rsidRDefault="00141AAE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</w:t>
      </w:r>
      <w:r w:rsidR="00134E36" w:rsidRPr="002B4007">
        <w:rPr>
          <w:rFonts w:ascii="Arial" w:hAnsi="Arial" w:cs="Arial"/>
          <w:sz w:val="20"/>
          <w:szCs w:val="20"/>
        </w:rPr>
        <w:t>emelj</w:t>
      </w:r>
      <w:r>
        <w:rPr>
          <w:rFonts w:ascii="Arial" w:hAnsi="Arial" w:cs="Arial"/>
          <w:sz w:val="20"/>
          <w:szCs w:val="20"/>
        </w:rPr>
        <w:t>u</w:t>
      </w:r>
      <w:r w:rsidR="00134E36" w:rsidRPr="002B4007">
        <w:rPr>
          <w:rFonts w:ascii="Arial" w:hAnsi="Arial" w:cs="Arial"/>
          <w:sz w:val="20"/>
          <w:szCs w:val="20"/>
        </w:rPr>
        <w:t xml:space="preserve"> </w:t>
      </w:r>
      <w:r w:rsidR="00397F76" w:rsidRPr="002B4007">
        <w:rPr>
          <w:rFonts w:ascii="Arial" w:hAnsi="Arial" w:cs="Arial"/>
          <w:sz w:val="20"/>
          <w:szCs w:val="20"/>
        </w:rPr>
        <w:t>O</w:t>
      </w:r>
      <w:r w:rsidR="00134E36" w:rsidRPr="002B4007">
        <w:rPr>
          <w:rFonts w:ascii="Arial" w:hAnsi="Arial" w:cs="Arial"/>
          <w:sz w:val="20"/>
          <w:szCs w:val="20"/>
        </w:rPr>
        <w:t>bavijesti</w:t>
      </w:r>
      <w:r w:rsidR="00F94685">
        <w:rPr>
          <w:rFonts w:ascii="Arial" w:hAnsi="Arial" w:cs="Arial"/>
          <w:sz w:val="20"/>
          <w:szCs w:val="20"/>
        </w:rPr>
        <w:t xml:space="preserve"> o uključivanju</w:t>
      </w:r>
      <w:r>
        <w:rPr>
          <w:rFonts w:ascii="Arial" w:hAnsi="Arial" w:cs="Arial"/>
          <w:sz w:val="20"/>
          <w:szCs w:val="20"/>
        </w:rPr>
        <w:t>,</w:t>
      </w:r>
      <w:r w:rsidR="00134E36" w:rsidRPr="002B4007">
        <w:rPr>
          <w:rFonts w:ascii="Arial" w:hAnsi="Arial" w:cs="Arial"/>
          <w:sz w:val="20"/>
          <w:szCs w:val="20"/>
        </w:rPr>
        <w:t xml:space="preserve"> </w:t>
      </w:r>
      <w:r w:rsidR="00397F76" w:rsidRPr="002B4007">
        <w:rPr>
          <w:rFonts w:ascii="Arial" w:hAnsi="Arial" w:cs="Arial"/>
          <w:sz w:val="20"/>
          <w:szCs w:val="20"/>
        </w:rPr>
        <w:t>Osiguratelj će</w:t>
      </w:r>
      <w:r w:rsidR="00134E36" w:rsidRPr="002B4007">
        <w:rPr>
          <w:rFonts w:ascii="Arial" w:hAnsi="Arial" w:cs="Arial"/>
          <w:sz w:val="20"/>
          <w:szCs w:val="20"/>
        </w:rPr>
        <w:t xml:space="preserve"> Osiguraniku ispostav</w:t>
      </w:r>
      <w:r w:rsidR="00397F76" w:rsidRPr="002B4007">
        <w:rPr>
          <w:rFonts w:ascii="Arial" w:hAnsi="Arial" w:cs="Arial"/>
          <w:sz w:val="20"/>
          <w:szCs w:val="20"/>
        </w:rPr>
        <w:t>iti</w:t>
      </w:r>
      <w:r w:rsidR="00134E36" w:rsidRPr="002B4007">
        <w:rPr>
          <w:rFonts w:ascii="Arial" w:hAnsi="Arial" w:cs="Arial"/>
          <w:sz w:val="20"/>
          <w:szCs w:val="20"/>
        </w:rPr>
        <w:t xml:space="preserve"> račun za Premiju</w:t>
      </w:r>
      <w:r w:rsidR="0059422C" w:rsidRPr="002B4007">
        <w:rPr>
          <w:rFonts w:ascii="Arial" w:hAnsi="Arial" w:cs="Arial"/>
          <w:sz w:val="20"/>
          <w:szCs w:val="20"/>
        </w:rPr>
        <w:t>.</w:t>
      </w:r>
    </w:p>
    <w:p w14:paraId="146B0BD9" w14:textId="77777777" w:rsidR="00CD55F9" w:rsidRPr="00693114" w:rsidRDefault="00CD55F9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3C40915D" w14:textId="77777777" w:rsidR="0059422C" w:rsidRPr="002B4007" w:rsidRDefault="0059422C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Osiguranik je dužan tromjesečno izvještavati Osiguratelja o stanju Kredita, o otplaćenim Kreditima, o izmjeni roka otplate Kredita, te jednom godišnje o regresnoj naplati za Kredite za koje je isplaćena Odšteta.</w:t>
      </w:r>
    </w:p>
    <w:p w14:paraId="7638DD60" w14:textId="77777777" w:rsidR="00CD55F9" w:rsidRDefault="00CD55F9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156BFD" w14:textId="057F0D96" w:rsidR="0059422C" w:rsidRPr="002B4007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B4007">
        <w:rPr>
          <w:rFonts w:ascii="Arial" w:hAnsi="Arial" w:cs="Arial"/>
          <w:b/>
          <w:sz w:val="20"/>
          <w:szCs w:val="20"/>
        </w:rPr>
        <w:t>Odštetni zahtjev</w:t>
      </w:r>
    </w:p>
    <w:p w14:paraId="14DC7C2A" w14:textId="054BBAF0" w:rsidR="00F42D8F" w:rsidRPr="002B4007" w:rsidRDefault="00134E36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U slučaju neplaćanja po Kreditu, Osiguranik </w:t>
      </w:r>
      <w:r w:rsidR="0059422C" w:rsidRPr="002B4007">
        <w:rPr>
          <w:rFonts w:ascii="Arial" w:eastAsia="Calibri" w:hAnsi="Arial" w:cs="Arial"/>
          <w:sz w:val="20"/>
          <w:szCs w:val="20"/>
          <w:lang w:eastAsia="en-US"/>
        </w:rPr>
        <w:t>Osiguratelju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podnosi Odštetni zahtjev </w:t>
      </w:r>
      <w:r w:rsidR="0059422C" w:rsidRPr="002B4007">
        <w:rPr>
          <w:rFonts w:ascii="Arial" w:eastAsia="Calibri" w:hAnsi="Arial" w:cs="Arial"/>
          <w:sz w:val="20"/>
          <w:szCs w:val="20"/>
          <w:lang w:eastAsia="en-US"/>
        </w:rPr>
        <w:t>istekom 30 kalendarskih dana od Dana obračuna te uz njega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prilaže dokumentaciju definiranu </w:t>
      </w:r>
      <w:r w:rsidR="00DB5A02" w:rsidRPr="002B4007">
        <w:rPr>
          <w:rFonts w:ascii="Arial" w:eastAsia="Calibri" w:hAnsi="Arial" w:cs="Arial"/>
          <w:sz w:val="20"/>
          <w:szCs w:val="20"/>
          <w:lang w:eastAsia="en-US"/>
        </w:rPr>
        <w:t>Općim uvjetima.</w:t>
      </w:r>
      <w:r w:rsidR="006368C8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9422C" w:rsidRPr="002B4007">
        <w:rPr>
          <w:rFonts w:ascii="Arial" w:eastAsia="Calibri" w:hAnsi="Arial" w:cs="Arial"/>
          <w:sz w:val="20"/>
          <w:szCs w:val="20"/>
          <w:lang w:eastAsia="en-US"/>
        </w:rPr>
        <w:t>Osiguratelj</w:t>
      </w:r>
      <w:r w:rsidR="006368C8" w:rsidRPr="002B4007">
        <w:rPr>
          <w:rFonts w:ascii="Arial" w:eastAsia="Calibri" w:hAnsi="Arial" w:cs="Arial"/>
          <w:sz w:val="20"/>
          <w:szCs w:val="20"/>
          <w:lang w:eastAsia="en-US"/>
        </w:rPr>
        <w:t xml:space="preserve"> će se o podnesenom Odštetnom zahtjevu očitovati u roku od 35 kalendarskih dana</w:t>
      </w:r>
      <w:r w:rsidR="0059422C" w:rsidRPr="002B4007">
        <w:rPr>
          <w:rFonts w:ascii="Arial" w:eastAsia="Calibri" w:hAnsi="Arial" w:cs="Arial"/>
          <w:sz w:val="20"/>
          <w:szCs w:val="20"/>
          <w:lang w:eastAsia="en-US"/>
        </w:rPr>
        <w:t xml:space="preserve">. U slučaju </w:t>
      </w:r>
      <w:r w:rsidR="00DB5A02" w:rsidRPr="002B4007">
        <w:rPr>
          <w:rFonts w:ascii="Arial" w:eastAsia="Calibri" w:hAnsi="Arial" w:cs="Arial"/>
          <w:sz w:val="20"/>
          <w:szCs w:val="20"/>
          <w:lang w:eastAsia="en-US"/>
        </w:rPr>
        <w:t>prihvaćanja Odštetnog zahtjeva</w:t>
      </w:r>
      <w:r w:rsidR="0059422C" w:rsidRPr="002B400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6368C8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9422C" w:rsidRPr="002B4007">
        <w:rPr>
          <w:rFonts w:ascii="Arial" w:eastAsia="Calibri" w:hAnsi="Arial" w:cs="Arial"/>
          <w:sz w:val="20"/>
          <w:szCs w:val="20"/>
          <w:lang w:eastAsia="en-US"/>
        </w:rPr>
        <w:t xml:space="preserve">Osiguratelj će </w:t>
      </w:r>
      <w:r w:rsidR="00F42D8F" w:rsidRPr="002B4007">
        <w:rPr>
          <w:rFonts w:ascii="Arial" w:eastAsia="Calibri" w:hAnsi="Arial" w:cs="Arial"/>
          <w:sz w:val="20"/>
          <w:szCs w:val="20"/>
          <w:lang w:eastAsia="en-US"/>
        </w:rPr>
        <w:t xml:space="preserve">u roku od </w:t>
      </w:r>
      <w:r w:rsidR="002D5970">
        <w:rPr>
          <w:rFonts w:ascii="Arial" w:eastAsia="Calibri" w:hAnsi="Arial" w:cs="Arial"/>
          <w:sz w:val="20"/>
          <w:szCs w:val="20"/>
          <w:lang w:eastAsia="en-US"/>
        </w:rPr>
        <w:t>deset</w:t>
      </w:r>
      <w:r w:rsidR="00F42D8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kalendarskih dana </w:t>
      </w:r>
      <w:r w:rsidR="00DB5A02" w:rsidRPr="002B4007">
        <w:rPr>
          <w:rFonts w:ascii="Arial" w:eastAsia="Calibri" w:hAnsi="Arial" w:cs="Arial"/>
          <w:sz w:val="20"/>
          <w:szCs w:val="20"/>
          <w:lang w:eastAsia="en-US"/>
        </w:rPr>
        <w:t xml:space="preserve">Osiguraniku </w:t>
      </w:r>
      <w:r w:rsidR="006368C8" w:rsidRPr="002B4007">
        <w:rPr>
          <w:rFonts w:ascii="Arial" w:eastAsia="Calibri" w:hAnsi="Arial" w:cs="Arial"/>
          <w:sz w:val="20"/>
          <w:szCs w:val="20"/>
          <w:lang w:eastAsia="en-US"/>
        </w:rPr>
        <w:t xml:space="preserve">isplatiti Odštetu </w:t>
      </w:r>
      <w:r w:rsidR="004D3CC9">
        <w:rPr>
          <w:rFonts w:ascii="Arial" w:eastAsia="Calibri" w:hAnsi="Arial" w:cs="Arial"/>
          <w:sz w:val="20"/>
          <w:szCs w:val="20"/>
          <w:lang w:eastAsia="en-US"/>
        </w:rPr>
        <w:t>do</w:t>
      </w:r>
      <w:r w:rsidR="004D3CC9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368C8" w:rsidRPr="00CD55F9">
        <w:rPr>
          <w:rFonts w:ascii="Arial" w:eastAsia="Calibri" w:hAnsi="Arial" w:cs="Arial"/>
          <w:sz w:val="20"/>
          <w:szCs w:val="20"/>
          <w:lang w:eastAsia="en-US"/>
        </w:rPr>
        <w:t>visin</w:t>
      </w:r>
      <w:r w:rsidR="005151EB">
        <w:rPr>
          <w:rFonts w:ascii="Arial" w:eastAsia="Calibri" w:hAnsi="Arial" w:cs="Arial"/>
          <w:sz w:val="20"/>
          <w:szCs w:val="20"/>
          <w:lang w:eastAsia="en-US"/>
        </w:rPr>
        <w:t>e</w:t>
      </w:r>
      <w:r w:rsidR="006368C8" w:rsidRPr="00CD55F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9143C" w:rsidRPr="00CD55F9">
        <w:rPr>
          <w:rFonts w:ascii="Arial" w:eastAsia="Calibri" w:hAnsi="Arial" w:cs="Arial"/>
          <w:sz w:val="20"/>
          <w:szCs w:val="20"/>
          <w:lang w:eastAsia="en-US"/>
        </w:rPr>
        <w:t>ugovorene Stope pokrića (do 90</w:t>
      </w:r>
      <w:r w:rsidR="006368C8" w:rsidRPr="00CD55F9">
        <w:rPr>
          <w:rFonts w:ascii="Arial" w:eastAsia="Calibri" w:hAnsi="Arial" w:cs="Arial"/>
          <w:sz w:val="20"/>
          <w:szCs w:val="20"/>
          <w:lang w:eastAsia="en-US"/>
        </w:rPr>
        <w:t>%</w:t>
      </w:r>
      <w:r w:rsidR="0089143C" w:rsidRPr="00CD55F9">
        <w:rPr>
          <w:rFonts w:ascii="Arial" w:eastAsia="Calibri" w:hAnsi="Arial" w:cs="Arial"/>
          <w:sz w:val="20"/>
          <w:szCs w:val="20"/>
          <w:lang w:eastAsia="en-US"/>
        </w:rPr>
        <w:t>)</w:t>
      </w:r>
      <w:r w:rsidR="006368C8" w:rsidRPr="00CD55F9">
        <w:rPr>
          <w:rFonts w:ascii="Arial" w:eastAsia="Calibri" w:hAnsi="Arial" w:cs="Arial"/>
          <w:sz w:val="20"/>
          <w:szCs w:val="20"/>
          <w:lang w:eastAsia="en-US"/>
        </w:rPr>
        <w:t xml:space="preserve"> Štete</w:t>
      </w:r>
      <w:r w:rsidR="00F42D8F" w:rsidRPr="002B400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70D10FEE" w14:textId="094A94CA" w:rsidR="00DB5A02" w:rsidRPr="002B4007" w:rsidRDefault="00DB5A0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Odšteta se </w:t>
      </w:r>
      <w:r w:rsidR="0016136B" w:rsidRPr="002B4007">
        <w:rPr>
          <w:rFonts w:ascii="Arial" w:eastAsia="Calibri" w:hAnsi="Arial" w:cs="Arial"/>
          <w:sz w:val="20"/>
          <w:szCs w:val="20"/>
          <w:lang w:eastAsia="en-US"/>
        </w:rPr>
        <w:t xml:space="preserve">iskazuje i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isplaćuje </w:t>
      </w:r>
      <w:r w:rsidR="00712B6E">
        <w:rPr>
          <w:rFonts w:ascii="Arial" w:eastAsia="Calibri" w:hAnsi="Arial" w:cs="Arial"/>
          <w:sz w:val="20"/>
          <w:szCs w:val="20"/>
          <w:lang w:eastAsia="en-US"/>
        </w:rPr>
        <w:t xml:space="preserve">za kunske Kredite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12B6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C0A3A">
        <w:rPr>
          <w:rFonts w:ascii="Arial" w:eastAsia="Calibri" w:hAnsi="Arial" w:cs="Arial"/>
          <w:sz w:val="20"/>
          <w:szCs w:val="20"/>
          <w:lang w:eastAsia="en-US"/>
        </w:rPr>
        <w:t>kunama</w:t>
      </w:r>
      <w:r w:rsidR="00712B6E">
        <w:rPr>
          <w:rFonts w:ascii="Arial" w:eastAsia="Calibri" w:hAnsi="Arial" w:cs="Arial"/>
          <w:sz w:val="20"/>
          <w:szCs w:val="20"/>
          <w:lang w:eastAsia="en-US"/>
        </w:rPr>
        <w:t>, a za Kredite uz valutnu klauzulu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C0A3A">
        <w:rPr>
          <w:rFonts w:ascii="Arial" w:eastAsia="Calibri" w:hAnsi="Arial" w:cs="Arial"/>
          <w:sz w:val="20"/>
          <w:szCs w:val="20"/>
          <w:lang w:eastAsia="en-US"/>
        </w:rPr>
        <w:t>u kunama</w:t>
      </w:r>
      <w:r w:rsidR="00712B6E">
        <w:rPr>
          <w:rFonts w:ascii="Arial" w:eastAsia="Calibri" w:hAnsi="Arial" w:cs="Arial"/>
          <w:sz w:val="20"/>
          <w:szCs w:val="20"/>
          <w:lang w:eastAsia="en-US"/>
        </w:rPr>
        <w:t xml:space="preserve"> ili </w:t>
      </w:r>
      <w:r w:rsidR="006368C8" w:rsidRPr="002B4007">
        <w:rPr>
          <w:rFonts w:ascii="Arial" w:eastAsia="Calibri" w:hAnsi="Arial" w:cs="Arial"/>
          <w:sz w:val="20"/>
          <w:szCs w:val="20"/>
          <w:lang w:eastAsia="en-US"/>
        </w:rPr>
        <w:t>u kunskoj protuvrijednosti po prodajnom tečaju HNB-a na dan isplate.</w:t>
      </w:r>
    </w:p>
    <w:p w14:paraId="1F5D10EE" w14:textId="77777777" w:rsidR="00DB5A02" w:rsidRPr="002B4007" w:rsidRDefault="00DB5A0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Prije isplate Odštete, Osiguranik je s </w:t>
      </w:r>
      <w:r w:rsidR="00F42D8F" w:rsidRPr="002B4007">
        <w:rPr>
          <w:rFonts w:ascii="Arial" w:eastAsia="Calibri" w:hAnsi="Arial" w:cs="Arial"/>
          <w:sz w:val="20"/>
          <w:szCs w:val="20"/>
          <w:lang w:eastAsia="en-US"/>
        </w:rPr>
        <w:t>Osigurateljem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dužan zaključiti Ugovor o regresnoj naplati kojim se</w:t>
      </w:r>
      <w:r w:rsidR="00925399" w:rsidRPr="002B4007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između ostalog, uređuju njihova prava i obveze u odnosu na naplatu tražbina po Kreditu nakon isplate Odštete. </w:t>
      </w:r>
    </w:p>
    <w:p w14:paraId="4C55B66A" w14:textId="77777777" w:rsidR="0023301E" w:rsidRPr="002B4007" w:rsidRDefault="0023301E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AFADAAA" w14:textId="61BDE060" w:rsidR="00A845E4" w:rsidRPr="002B4007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Regresna naplata</w:t>
      </w:r>
    </w:p>
    <w:p w14:paraId="505F2A7D" w14:textId="110E42BA" w:rsidR="00DB5A02" w:rsidRPr="002B4007" w:rsidRDefault="00DB5A0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Regresnu naplatu od Izvoznika nakon isplaćene Odštete, za vlastito i za </w:t>
      </w:r>
      <w:r w:rsidR="00F42D8F" w:rsidRPr="002B4007">
        <w:rPr>
          <w:rFonts w:ascii="Arial" w:eastAsia="Calibri" w:hAnsi="Arial" w:cs="Arial"/>
          <w:sz w:val="20"/>
          <w:szCs w:val="20"/>
          <w:lang w:eastAsia="en-US"/>
        </w:rPr>
        <w:t>Osigurateljevo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potraživanje, vodi samostalno Osiguranik. U slučaju regresne naplate, Osiguranik je dužan </w:t>
      </w:r>
      <w:r w:rsidR="00F42D8F" w:rsidRPr="002B4007">
        <w:rPr>
          <w:rFonts w:ascii="Arial" w:eastAsia="Calibri" w:hAnsi="Arial" w:cs="Arial"/>
          <w:sz w:val="20"/>
          <w:szCs w:val="20"/>
          <w:lang w:eastAsia="en-US"/>
        </w:rPr>
        <w:t>Osiguratelju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proslijediti </w:t>
      </w:r>
      <w:r w:rsidR="00010806" w:rsidRPr="002B4007"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 w:rsidR="00054BA2" w:rsidRPr="002B4007">
        <w:rPr>
          <w:rFonts w:ascii="Arial" w:eastAsia="Calibri" w:hAnsi="Arial" w:cs="Arial"/>
          <w:sz w:val="20"/>
          <w:szCs w:val="20"/>
          <w:lang w:eastAsia="en-US"/>
        </w:rPr>
        <w:t>90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% naplaćenog iznosa</w:t>
      </w:r>
      <w:r w:rsidR="00010806" w:rsidRPr="002B400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1240F7" w:rsidRPr="002B4007">
        <w:rPr>
          <w:rFonts w:ascii="Arial" w:eastAsia="Calibri" w:hAnsi="Arial" w:cs="Arial"/>
          <w:sz w:val="20"/>
          <w:szCs w:val="20"/>
          <w:lang w:eastAsia="en-US"/>
        </w:rPr>
        <w:t xml:space="preserve">odnosno 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="008C3640" w:rsidRPr="002B4007">
        <w:rPr>
          <w:rFonts w:ascii="Arial" w:eastAsia="Calibri" w:hAnsi="Arial" w:cs="Arial"/>
          <w:sz w:val="20"/>
          <w:szCs w:val="20"/>
          <w:lang w:eastAsia="en-US"/>
        </w:rPr>
        <w:t>sklad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>u s</w:t>
      </w:r>
      <w:r w:rsidR="008C3640" w:rsidRPr="002B4007">
        <w:rPr>
          <w:rFonts w:ascii="Arial" w:eastAsia="Calibri" w:hAnsi="Arial" w:cs="Arial"/>
          <w:sz w:val="20"/>
          <w:szCs w:val="20"/>
          <w:lang w:eastAsia="en-US"/>
        </w:rPr>
        <w:t xml:space="preserve"> ugovoreno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>m</w:t>
      </w:r>
      <w:r w:rsidR="00FB36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Stop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>om</w:t>
      </w:r>
      <w:r w:rsidR="00FB36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pokrića </w:t>
      </w:r>
      <w:r w:rsidR="000B6917" w:rsidRPr="002B4007">
        <w:rPr>
          <w:rFonts w:ascii="Arial" w:eastAsia="Calibri" w:hAnsi="Arial" w:cs="Arial"/>
          <w:sz w:val="20"/>
          <w:szCs w:val="20"/>
          <w:lang w:eastAsia="en-US"/>
        </w:rPr>
        <w:t xml:space="preserve">ako </w:t>
      </w:r>
      <w:r w:rsidR="00FB36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je ona niža od </w:t>
      </w:r>
      <w:r w:rsidR="00054BA2" w:rsidRPr="002B4007">
        <w:rPr>
          <w:rFonts w:ascii="Arial" w:eastAsia="Calibri" w:hAnsi="Arial" w:cs="Arial"/>
          <w:sz w:val="20"/>
          <w:szCs w:val="20"/>
          <w:lang w:eastAsia="en-US"/>
        </w:rPr>
        <w:t>9</w:t>
      </w:r>
      <w:r w:rsidR="00FB3634" w:rsidRPr="002B4007">
        <w:rPr>
          <w:rFonts w:ascii="Arial" w:eastAsia="Calibri" w:hAnsi="Arial" w:cs="Arial"/>
          <w:sz w:val="20"/>
          <w:szCs w:val="20"/>
          <w:lang w:eastAsia="en-US"/>
        </w:rPr>
        <w:t>0%.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DEDE7CE" w14:textId="174867B3" w:rsidR="00DB5A02" w:rsidRPr="002B4007" w:rsidRDefault="00F42D8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Osiguratelj</w:t>
      </w:r>
      <w:r w:rsidR="00DB5A02" w:rsidRPr="002B4007">
        <w:rPr>
          <w:rFonts w:ascii="Arial" w:eastAsia="Calibri" w:hAnsi="Arial" w:cs="Arial"/>
          <w:sz w:val="20"/>
          <w:szCs w:val="20"/>
          <w:lang w:eastAsia="en-US"/>
        </w:rPr>
        <w:t xml:space="preserve"> će Osiguraniku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naknaditi</w:t>
      </w:r>
      <w:r w:rsidR="00DB5A02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93BFE"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 w:rsidR="00054BA2" w:rsidRPr="002B4007">
        <w:rPr>
          <w:rFonts w:ascii="Arial" w:eastAsia="Calibri" w:hAnsi="Arial" w:cs="Arial"/>
          <w:sz w:val="20"/>
          <w:szCs w:val="20"/>
          <w:lang w:eastAsia="en-US"/>
        </w:rPr>
        <w:t>9</w:t>
      </w:r>
      <w:r w:rsidR="00DB5A02" w:rsidRPr="002B4007">
        <w:rPr>
          <w:rFonts w:ascii="Arial" w:eastAsia="Calibri" w:hAnsi="Arial" w:cs="Arial"/>
          <w:sz w:val="20"/>
          <w:szCs w:val="20"/>
          <w:lang w:eastAsia="en-US"/>
        </w:rPr>
        <w:t xml:space="preserve">0% nastalih Troškova </w:t>
      </w:r>
      <w:r w:rsidR="00B60399" w:rsidRPr="002B4007">
        <w:rPr>
          <w:rFonts w:ascii="Arial" w:eastAsia="Calibri" w:hAnsi="Arial" w:cs="Arial"/>
          <w:sz w:val="20"/>
          <w:szCs w:val="20"/>
          <w:lang w:eastAsia="en-US"/>
        </w:rPr>
        <w:t>prisilne</w:t>
      </w:r>
      <w:r w:rsidR="00DB5A02" w:rsidRPr="002B4007">
        <w:rPr>
          <w:rFonts w:ascii="Arial" w:eastAsia="Calibri" w:hAnsi="Arial" w:cs="Arial"/>
          <w:sz w:val="20"/>
          <w:szCs w:val="20"/>
          <w:lang w:eastAsia="en-US"/>
        </w:rPr>
        <w:t xml:space="preserve"> naplate</w:t>
      </w:r>
      <w:r w:rsidR="001240F7" w:rsidRPr="002B4007">
        <w:rPr>
          <w:rFonts w:ascii="Arial" w:eastAsia="Calibri" w:hAnsi="Arial" w:cs="Arial"/>
          <w:sz w:val="20"/>
          <w:szCs w:val="20"/>
          <w:lang w:eastAsia="en-US"/>
        </w:rPr>
        <w:t xml:space="preserve">, odnosno 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="008C3640" w:rsidRPr="002B4007">
        <w:rPr>
          <w:rFonts w:ascii="Arial" w:eastAsia="Calibri" w:hAnsi="Arial" w:cs="Arial"/>
          <w:sz w:val="20"/>
          <w:szCs w:val="20"/>
          <w:lang w:eastAsia="en-US"/>
        </w:rPr>
        <w:t>sklad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>u s</w:t>
      </w:r>
      <w:r w:rsidR="008C3640" w:rsidRPr="002B4007">
        <w:rPr>
          <w:rFonts w:ascii="Arial" w:eastAsia="Calibri" w:hAnsi="Arial" w:cs="Arial"/>
          <w:sz w:val="20"/>
          <w:szCs w:val="20"/>
          <w:lang w:eastAsia="en-US"/>
        </w:rPr>
        <w:t xml:space="preserve"> ugovoreno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>m</w:t>
      </w:r>
      <w:r w:rsidR="00FB36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Stop</w:t>
      </w:r>
      <w:r w:rsidR="007F0AD1">
        <w:rPr>
          <w:rFonts w:ascii="Arial" w:eastAsia="Calibri" w:hAnsi="Arial" w:cs="Arial"/>
          <w:sz w:val="20"/>
          <w:szCs w:val="20"/>
          <w:lang w:eastAsia="en-US"/>
        </w:rPr>
        <w:t>om</w:t>
      </w:r>
      <w:r w:rsidR="00FB36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pokrića </w:t>
      </w:r>
      <w:r w:rsidR="006E002C" w:rsidRPr="002B4007">
        <w:rPr>
          <w:rFonts w:ascii="Arial" w:eastAsia="Calibri" w:hAnsi="Arial" w:cs="Arial"/>
          <w:sz w:val="20"/>
          <w:szCs w:val="20"/>
          <w:lang w:eastAsia="en-US"/>
        </w:rPr>
        <w:t>ako</w:t>
      </w:r>
      <w:r w:rsidR="00FB36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 je ona niža od </w:t>
      </w:r>
      <w:r w:rsidR="00054BA2" w:rsidRPr="002B4007">
        <w:rPr>
          <w:rFonts w:ascii="Arial" w:eastAsia="Calibri" w:hAnsi="Arial" w:cs="Arial"/>
          <w:sz w:val="20"/>
          <w:szCs w:val="20"/>
          <w:lang w:eastAsia="en-US"/>
        </w:rPr>
        <w:t>9</w:t>
      </w:r>
      <w:r w:rsidR="00FB3634" w:rsidRPr="002B4007">
        <w:rPr>
          <w:rFonts w:ascii="Arial" w:eastAsia="Calibri" w:hAnsi="Arial" w:cs="Arial"/>
          <w:sz w:val="20"/>
          <w:szCs w:val="20"/>
          <w:lang w:eastAsia="en-US"/>
        </w:rPr>
        <w:t xml:space="preserve">0%, </w:t>
      </w:r>
      <w:r w:rsidR="00B60399" w:rsidRPr="002B4007">
        <w:rPr>
          <w:rFonts w:ascii="Arial" w:eastAsia="Calibri" w:hAnsi="Arial" w:cs="Arial"/>
          <w:sz w:val="20"/>
          <w:szCs w:val="20"/>
          <w:lang w:eastAsia="en-US"/>
        </w:rPr>
        <w:t xml:space="preserve">pod uvjetom da je </w:t>
      </w:r>
      <w:r w:rsidR="00DB5A02" w:rsidRPr="002B4007">
        <w:rPr>
          <w:rFonts w:ascii="Arial" w:eastAsia="Calibri" w:hAnsi="Arial" w:cs="Arial"/>
          <w:sz w:val="20"/>
          <w:szCs w:val="20"/>
          <w:lang w:eastAsia="en-US"/>
        </w:rPr>
        <w:t>Osiguranik</w:t>
      </w:r>
      <w:r w:rsidR="00B60399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od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Osiguratelja</w:t>
      </w:r>
      <w:r w:rsidR="00B60399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pribavio prethodnu ili naknadnu pisanu suglasnost</w:t>
      </w:r>
      <w:r w:rsidR="006368C8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60399" w:rsidRPr="002B4007">
        <w:rPr>
          <w:rFonts w:ascii="Arial" w:eastAsia="Calibri" w:hAnsi="Arial" w:cs="Arial"/>
          <w:sz w:val="20"/>
          <w:szCs w:val="20"/>
          <w:lang w:eastAsia="en-US"/>
        </w:rPr>
        <w:t>na navedene Troškove.</w:t>
      </w:r>
    </w:p>
    <w:p w14:paraId="39A0940E" w14:textId="77777777" w:rsidR="0023301E" w:rsidRPr="002B4007" w:rsidRDefault="0023301E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AE2C757" w14:textId="4FBEFE64" w:rsidR="00053258" w:rsidRPr="002B4007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Izmjena </w:t>
      </w:r>
      <w:r w:rsidR="00F50E62">
        <w:rPr>
          <w:rFonts w:ascii="Arial" w:eastAsia="Calibri" w:hAnsi="Arial" w:cs="Arial"/>
          <w:b/>
          <w:sz w:val="20"/>
          <w:szCs w:val="20"/>
          <w:lang w:eastAsia="en-US"/>
        </w:rPr>
        <w:t>r</w:t>
      </w: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oka otplate kredita</w:t>
      </w:r>
      <w:r w:rsidR="00F50E62">
        <w:rPr>
          <w:rFonts w:ascii="Arial" w:eastAsia="Calibri" w:hAnsi="Arial" w:cs="Arial"/>
          <w:b/>
          <w:sz w:val="20"/>
          <w:szCs w:val="20"/>
          <w:lang w:eastAsia="en-US"/>
        </w:rPr>
        <w:t xml:space="preserve"> zbog poslovnih razloga i </w:t>
      </w:r>
      <w:r w:rsidR="00F50E62" w:rsidRPr="00F50E62">
        <w:rPr>
          <w:rFonts w:ascii="Arial" w:eastAsia="Calibri" w:hAnsi="Arial" w:cs="Arial"/>
          <w:b/>
          <w:sz w:val="20"/>
          <w:szCs w:val="20"/>
          <w:lang w:eastAsia="en-US"/>
        </w:rPr>
        <w:t>Premij</w:t>
      </w:r>
      <w:r w:rsidR="00F50E62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="00F50E62" w:rsidRPr="00F50E62">
        <w:rPr>
          <w:rFonts w:ascii="Arial" w:eastAsia="Calibri" w:hAnsi="Arial" w:cs="Arial"/>
          <w:b/>
          <w:sz w:val="20"/>
          <w:szCs w:val="20"/>
          <w:lang w:eastAsia="en-US"/>
        </w:rPr>
        <w:t xml:space="preserve"> za izmjenu roka otplate kredita</w:t>
      </w:r>
    </w:p>
    <w:p w14:paraId="0EA08C89" w14:textId="6D321D4A" w:rsidR="006E581B" w:rsidRDefault="00F42D8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Za Kredite uključene u Portfelj</w:t>
      </w:r>
      <w:r w:rsidR="0016136B" w:rsidRPr="002B4007">
        <w:rPr>
          <w:rFonts w:ascii="Arial" w:eastAsia="Calibri" w:hAnsi="Arial" w:cs="Arial"/>
          <w:sz w:val="20"/>
          <w:szCs w:val="20"/>
          <w:lang w:eastAsia="en-US"/>
        </w:rPr>
        <w:t xml:space="preserve"> i za koje nije isplaćena Odšteta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B60399" w:rsidRPr="002B4007">
        <w:rPr>
          <w:rFonts w:ascii="Arial" w:eastAsia="Calibri" w:hAnsi="Arial" w:cs="Arial"/>
          <w:sz w:val="20"/>
          <w:szCs w:val="20"/>
          <w:lang w:eastAsia="en-US"/>
        </w:rPr>
        <w:t>Osiguranik je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60399" w:rsidRPr="002B4007">
        <w:rPr>
          <w:rFonts w:ascii="Arial" w:eastAsia="Calibri" w:hAnsi="Arial" w:cs="Arial"/>
          <w:sz w:val="20"/>
          <w:szCs w:val="20"/>
          <w:lang w:eastAsia="en-US"/>
        </w:rPr>
        <w:t xml:space="preserve">ovlašten samostalno izmijeniti Rok otplate kredita 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ako je Pomak roka otplate kredita kraći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ili jednak </w:t>
      </w:r>
      <w:r w:rsidR="00154815">
        <w:rPr>
          <w:rFonts w:ascii="Arial" w:eastAsia="Calibri" w:hAnsi="Arial" w:cs="Arial"/>
          <w:sz w:val="20"/>
          <w:szCs w:val="20"/>
          <w:lang w:eastAsia="en-US"/>
        </w:rPr>
        <w:t>šest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 mjeseci za što nije dužan platiti dodatnu Premiju. Ako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j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Pomak roka otplate kredita 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>duž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i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 od </w:t>
      </w:r>
      <w:r w:rsidR="00154815">
        <w:rPr>
          <w:rFonts w:ascii="Arial" w:eastAsia="Calibri" w:hAnsi="Arial" w:cs="Arial"/>
          <w:sz w:val="20"/>
          <w:szCs w:val="20"/>
          <w:lang w:eastAsia="en-US"/>
        </w:rPr>
        <w:t>šest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 mjeseci, tada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ga 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je Osiguranik ovlašten samostalno izmijeniti pod uvjetom da se radi o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I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zmjeni roka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otplate kredita 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zbog poslovnih razloga odnosno daljnjoj potrebi Izvoznika za </w:t>
      </w:r>
      <w:r w:rsidR="008C3640" w:rsidRPr="002B4007">
        <w:rPr>
          <w:rFonts w:ascii="Arial" w:eastAsia="Calibri" w:hAnsi="Arial" w:cs="Arial"/>
          <w:sz w:val="20"/>
          <w:szCs w:val="20"/>
          <w:lang w:eastAsia="en-US"/>
        </w:rPr>
        <w:t xml:space="preserve">likvidnim 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sredstvima i pod uvjetom da su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na dan odobrenja </w:t>
      </w:r>
      <w:r w:rsidR="008A6AD6" w:rsidRPr="002B4007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zmjene 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ispunjeni </w:t>
      </w:r>
      <w:r w:rsidR="00E2441E" w:rsidRPr="002B4007">
        <w:rPr>
          <w:rFonts w:ascii="Arial" w:eastAsia="Calibri" w:hAnsi="Arial" w:cs="Arial"/>
          <w:b/>
          <w:sz w:val="20"/>
          <w:szCs w:val="20"/>
          <w:lang w:eastAsia="en-US"/>
        </w:rPr>
        <w:t>Kriterij</w:t>
      </w: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="00E2441E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prihvatljivosti za izmjenu roka otplate kredita zbog poslovnih razloga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. U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navedenom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 slučaju, Osiguranik je obvezan</w:t>
      </w:r>
      <w:r w:rsidR="00F50E62">
        <w:rPr>
          <w:rFonts w:ascii="Arial" w:eastAsia="Calibri" w:hAnsi="Arial" w:cs="Arial"/>
          <w:sz w:val="20"/>
          <w:szCs w:val="20"/>
          <w:lang w:eastAsia="en-US"/>
        </w:rPr>
        <w:t xml:space="preserve"> obračunati i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30D80" w:rsidRPr="002B4007">
        <w:rPr>
          <w:rFonts w:ascii="Arial" w:eastAsia="Calibri" w:hAnsi="Arial" w:cs="Arial"/>
          <w:sz w:val="20"/>
          <w:szCs w:val="20"/>
          <w:lang w:eastAsia="en-US"/>
        </w:rPr>
        <w:t>Osiguratelju</w:t>
      </w:r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 xml:space="preserve"> platiti </w:t>
      </w:r>
      <w:bookmarkStart w:id="13" w:name="_Hlk57604990"/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>Premij</w:t>
      </w:r>
      <w:r w:rsidR="00D30D80" w:rsidRPr="002B4007">
        <w:rPr>
          <w:rFonts w:ascii="Arial" w:eastAsia="Calibri" w:hAnsi="Arial" w:cs="Arial"/>
          <w:sz w:val="20"/>
          <w:szCs w:val="20"/>
          <w:lang w:eastAsia="en-US"/>
        </w:rPr>
        <w:t>u</w:t>
      </w:r>
      <w:r w:rsidR="00F50E62">
        <w:rPr>
          <w:rFonts w:ascii="Arial" w:eastAsia="Calibri" w:hAnsi="Arial" w:cs="Arial"/>
          <w:sz w:val="20"/>
          <w:szCs w:val="20"/>
          <w:lang w:eastAsia="en-US"/>
        </w:rPr>
        <w:t xml:space="preserve"> za izmjenu roka otplate kredita</w:t>
      </w:r>
      <w:bookmarkEnd w:id="13"/>
      <w:r w:rsidR="00E2441E" w:rsidRPr="002B4007">
        <w:rPr>
          <w:rFonts w:ascii="Arial" w:eastAsia="Calibri" w:hAnsi="Arial" w:cs="Arial"/>
          <w:sz w:val="20"/>
          <w:szCs w:val="20"/>
          <w:lang w:eastAsia="en-US"/>
        </w:rPr>
        <w:t>.</w:t>
      </w:r>
      <w:r w:rsidR="00F50E6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50E62">
        <w:rPr>
          <w:rFonts w:ascii="Arial" w:hAnsi="Arial" w:cs="Arial"/>
          <w:color w:val="000000"/>
          <w:sz w:val="20"/>
          <w:szCs w:val="20"/>
          <w:lang w:bidi="hr-HR"/>
        </w:rPr>
        <w:t>I</w:t>
      </w:r>
      <w:r w:rsidR="00F50E62"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zračunati iznos </w:t>
      </w:r>
      <w:r w:rsidR="00F50E62" w:rsidRPr="00F50E62">
        <w:rPr>
          <w:rFonts w:ascii="Arial" w:hAnsi="Arial" w:cs="Arial"/>
          <w:color w:val="000000"/>
          <w:sz w:val="20"/>
          <w:szCs w:val="20"/>
          <w:lang w:bidi="hr-HR"/>
        </w:rPr>
        <w:t>Premij</w:t>
      </w:r>
      <w:r w:rsidR="00F50E62">
        <w:rPr>
          <w:rFonts w:ascii="Arial" w:hAnsi="Arial" w:cs="Arial"/>
          <w:color w:val="000000"/>
          <w:sz w:val="20"/>
          <w:szCs w:val="20"/>
          <w:lang w:bidi="hr-HR"/>
        </w:rPr>
        <w:t>e</w:t>
      </w:r>
      <w:r w:rsidR="00F50E62" w:rsidRPr="00F50E62">
        <w:rPr>
          <w:rFonts w:ascii="Arial" w:hAnsi="Arial" w:cs="Arial"/>
          <w:color w:val="000000"/>
          <w:sz w:val="20"/>
          <w:szCs w:val="20"/>
          <w:lang w:bidi="hr-HR"/>
        </w:rPr>
        <w:t xml:space="preserve"> za izmjenu roka otplate kredita </w:t>
      </w:r>
      <w:r w:rsidR="00F50E62">
        <w:rPr>
          <w:rFonts w:ascii="Arial" w:hAnsi="Arial" w:cs="Arial"/>
          <w:color w:val="000000"/>
          <w:sz w:val="20"/>
          <w:szCs w:val="20"/>
          <w:lang w:bidi="hr-HR"/>
        </w:rPr>
        <w:t xml:space="preserve">Osiguranik </w:t>
      </w:r>
      <w:r w:rsidR="00F50E62"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prikazuje u Obavijesti o </w:t>
      </w:r>
      <w:r w:rsidR="00F50E62">
        <w:rPr>
          <w:rFonts w:ascii="Arial" w:hAnsi="Arial" w:cs="Arial"/>
          <w:color w:val="000000"/>
          <w:sz w:val="20"/>
          <w:szCs w:val="20"/>
          <w:lang w:bidi="hr-HR"/>
        </w:rPr>
        <w:t>izmjeni roka otplate kredita</w:t>
      </w:r>
      <w:r w:rsidR="00F50E62" w:rsidRPr="002B4007">
        <w:rPr>
          <w:rFonts w:ascii="Arial" w:hAnsi="Arial" w:cs="Arial"/>
          <w:color w:val="000000"/>
          <w:sz w:val="20"/>
          <w:szCs w:val="20"/>
          <w:lang w:bidi="hr-HR"/>
        </w:rPr>
        <w:t>.</w:t>
      </w:r>
    </w:p>
    <w:p w14:paraId="6941F895" w14:textId="15F5CC79" w:rsidR="00157D72" w:rsidRPr="00693114" w:rsidRDefault="00157D72" w:rsidP="00824F4F">
      <w:pPr>
        <w:pStyle w:val="Style26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Arial" w:hAnsi="Arial" w:cs="Arial"/>
          <w:color w:val="000000"/>
          <w:sz w:val="14"/>
          <w:szCs w:val="14"/>
          <w:lang w:bidi="hr-HR"/>
        </w:rPr>
      </w:pPr>
    </w:p>
    <w:p w14:paraId="1BDC6F7F" w14:textId="4461C31C" w:rsidR="00382C99" w:rsidRDefault="00157D72" w:rsidP="00585A99">
      <w:pPr>
        <w:pStyle w:val="Style26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Premija za </w:t>
      </w:r>
      <w:r w:rsidR="00F50E62">
        <w:rPr>
          <w:rFonts w:ascii="Arial" w:hAnsi="Arial" w:cs="Arial"/>
          <w:color w:val="000000"/>
          <w:sz w:val="20"/>
          <w:szCs w:val="20"/>
          <w:lang w:bidi="hr-HR"/>
        </w:rPr>
        <w:t>izmjenu</w:t>
      </w:r>
      <w:r w:rsidRPr="002B4007">
        <w:rPr>
          <w:rFonts w:ascii="Arial" w:hAnsi="Arial" w:cs="Arial"/>
          <w:color w:val="000000"/>
          <w:sz w:val="20"/>
          <w:szCs w:val="20"/>
          <w:lang w:bidi="hr-HR"/>
        </w:rPr>
        <w:t xml:space="preserve"> roka otplate kredita izračunava se </w:t>
      </w:r>
      <w:r w:rsidRPr="007D06F7">
        <w:rPr>
          <w:rFonts w:ascii="Arial" w:hAnsi="Arial" w:cs="Arial"/>
          <w:sz w:val="20"/>
          <w:szCs w:val="20"/>
        </w:rPr>
        <w:t>kao razlika Premije za novo Trajanje kredita i Premije za inicijalno Trajanje kredita.</w:t>
      </w:r>
      <w:r>
        <w:rPr>
          <w:rFonts w:ascii="Arial" w:hAnsi="Arial" w:cs="Arial"/>
          <w:sz w:val="20"/>
          <w:szCs w:val="20"/>
        </w:rPr>
        <w:t xml:space="preserve"> Premija</w:t>
      </w:r>
      <w:r w:rsidRPr="007D06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Pr="007D06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novo Trajanje kredita računa se </w:t>
      </w:r>
      <w:r w:rsidR="00480F12">
        <w:rPr>
          <w:rFonts w:ascii="Arial" w:hAnsi="Arial" w:cs="Arial"/>
          <w:sz w:val="20"/>
          <w:szCs w:val="20"/>
        </w:rPr>
        <w:t xml:space="preserve">na isti način </w:t>
      </w:r>
      <w:r>
        <w:rPr>
          <w:rFonts w:ascii="Arial" w:hAnsi="Arial" w:cs="Arial"/>
          <w:sz w:val="20"/>
          <w:szCs w:val="20"/>
        </w:rPr>
        <w:t>kao i Premija za inicijalno Trajanje kredita</w:t>
      </w:r>
      <w:r w:rsidR="00480F12">
        <w:rPr>
          <w:rFonts w:ascii="Arial" w:hAnsi="Arial" w:cs="Arial"/>
          <w:sz w:val="20"/>
          <w:szCs w:val="20"/>
        </w:rPr>
        <w:t xml:space="preserve"> (početni dan Trajanja kredita je datum zaključenja Ugovora o kreditu)</w:t>
      </w:r>
      <w:r>
        <w:rPr>
          <w:rFonts w:ascii="Arial" w:hAnsi="Arial" w:cs="Arial"/>
          <w:sz w:val="20"/>
          <w:szCs w:val="20"/>
        </w:rPr>
        <w:t xml:space="preserve">, pri čemu se kod izračuna uzima otplatni plan koji uključuje inicijalnu otplatu Kredita </w:t>
      </w:r>
      <w:r w:rsidR="0021607C">
        <w:rPr>
          <w:rFonts w:ascii="Arial" w:hAnsi="Arial" w:cs="Arial"/>
          <w:sz w:val="20"/>
          <w:szCs w:val="20"/>
        </w:rPr>
        <w:t xml:space="preserve">od dana zaključenja </w:t>
      </w:r>
      <w:r w:rsidR="00F50E62">
        <w:rPr>
          <w:rFonts w:ascii="Arial" w:hAnsi="Arial" w:cs="Arial"/>
          <w:sz w:val="20"/>
          <w:szCs w:val="20"/>
        </w:rPr>
        <w:t>U</w:t>
      </w:r>
      <w:r w:rsidR="0021607C">
        <w:rPr>
          <w:rFonts w:ascii="Arial" w:hAnsi="Arial" w:cs="Arial"/>
          <w:sz w:val="20"/>
          <w:szCs w:val="20"/>
        </w:rPr>
        <w:t xml:space="preserve">govora o kreditu </w:t>
      </w:r>
      <w:r>
        <w:rPr>
          <w:rFonts w:ascii="Arial" w:hAnsi="Arial" w:cs="Arial"/>
          <w:sz w:val="20"/>
          <w:szCs w:val="20"/>
        </w:rPr>
        <w:t>do dana reprograma Kredita i novu otplatu Kredita za preostalo vrijeme Trajanja kredita.</w:t>
      </w:r>
      <w:r w:rsidR="00973ADD">
        <w:rPr>
          <w:rFonts w:ascii="Arial" w:hAnsi="Arial" w:cs="Arial"/>
          <w:sz w:val="20"/>
          <w:szCs w:val="20"/>
        </w:rPr>
        <w:t xml:space="preserve"> Premija za izmjenu roka otplate kredita ne može se subvencionirati kroz Program subvencioniranja.</w:t>
      </w:r>
      <w:r w:rsidR="00382C99"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14:paraId="7C628065" w14:textId="4EAE9D7C" w:rsidR="00157D72" w:rsidRPr="00CD55F9" w:rsidRDefault="00157D7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D55F9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Kriteriji prihvatljivosti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2B4007">
        <w:rPr>
          <w:rFonts w:ascii="Arial" w:hAnsi="Arial" w:cs="Arial"/>
          <w:b/>
          <w:sz w:val="20"/>
          <w:szCs w:val="20"/>
          <w:lang w:bidi="hr-HR"/>
        </w:rPr>
        <w:t>za uključenje kredita u portfelj</w:t>
      </w:r>
    </w:p>
    <w:p w14:paraId="403C2063" w14:textId="486E4394" w:rsidR="00080048" w:rsidRPr="002B4007" w:rsidRDefault="0068106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hr-HR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U nastavku su </w:t>
      </w:r>
      <w:r w:rsidRPr="002B4007">
        <w:rPr>
          <w:rFonts w:ascii="Arial" w:hAnsi="Arial" w:cs="Arial"/>
          <w:b/>
          <w:sz w:val="20"/>
          <w:szCs w:val="20"/>
          <w:lang w:bidi="hr-HR"/>
        </w:rPr>
        <w:t>Kriteriji prihvatljivosti za uključenje kredita u portfelj</w:t>
      </w: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koji moraju biti ispunjeni da bi K</w:t>
      </w:r>
      <w:r w:rsidR="000D143E" w:rsidRPr="002B4007">
        <w:rPr>
          <w:rFonts w:ascii="Arial" w:eastAsia="Calibri" w:hAnsi="Arial" w:cs="Arial"/>
          <w:sz w:val="20"/>
          <w:szCs w:val="20"/>
          <w:lang w:eastAsia="en-US"/>
        </w:rPr>
        <w:t>rediti bili osigurani</w:t>
      </w:r>
      <w:r w:rsidR="0086567A" w:rsidRPr="002B4007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5DB34DC8" w14:textId="77777777" w:rsidR="00040718" w:rsidRPr="002B4007" w:rsidRDefault="00080048" w:rsidP="00824F4F">
      <w:pPr>
        <w:pStyle w:val="ListParagraph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bidi="hr-HR"/>
        </w:rPr>
      </w:pPr>
      <w:r w:rsidRPr="002B4007">
        <w:rPr>
          <w:rFonts w:ascii="Arial" w:hAnsi="Arial" w:cs="Arial"/>
          <w:sz w:val="20"/>
          <w:szCs w:val="20"/>
          <w:lang w:bidi="hr-HR"/>
        </w:rPr>
        <w:t xml:space="preserve"> </w:t>
      </w:r>
    </w:p>
    <w:p w14:paraId="38CE2092" w14:textId="77777777" w:rsidR="00685DC2" w:rsidRPr="002B4007" w:rsidRDefault="002B2663" w:rsidP="00824F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KRITERIJI PRIHVATLJIVOSTI ZA </w:t>
      </w:r>
      <w:r w:rsidR="0068106F" w:rsidRPr="002B4007">
        <w:rPr>
          <w:rFonts w:ascii="Arial" w:eastAsia="Calibri" w:hAnsi="Arial" w:cs="Arial"/>
          <w:b/>
          <w:sz w:val="20"/>
          <w:szCs w:val="20"/>
          <w:lang w:eastAsia="en-US"/>
        </w:rPr>
        <w:t>UKLJUČENJE KREDITA U PORTFELJ</w:t>
      </w:r>
    </w:p>
    <w:p w14:paraId="56C44526" w14:textId="77777777" w:rsidR="00BE2174" w:rsidRPr="002B4007" w:rsidRDefault="00BE217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29DA0EA" w14:textId="2D0DF56F" w:rsidR="00726BB6" w:rsidRPr="002B4007" w:rsidRDefault="00A32C1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1.1.</w:t>
      </w:r>
      <w:r w:rsidR="00812753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2B2663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U ODNOSU NA </w:t>
      </w:r>
      <w:r w:rsidR="0086567A" w:rsidRPr="002B4007">
        <w:rPr>
          <w:rFonts w:ascii="Arial" w:eastAsia="Calibri" w:hAnsi="Arial" w:cs="Arial"/>
          <w:b/>
          <w:sz w:val="20"/>
          <w:szCs w:val="20"/>
          <w:lang w:eastAsia="en-US"/>
        </w:rPr>
        <w:t>IZVOZNIKA</w:t>
      </w:r>
      <w:r w:rsidR="003600A2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(</w:t>
      </w:r>
      <w:r w:rsidR="0086567A" w:rsidRPr="002B4007">
        <w:rPr>
          <w:rFonts w:ascii="Arial" w:eastAsia="Calibri" w:hAnsi="Arial" w:cs="Arial"/>
          <w:b/>
          <w:sz w:val="20"/>
          <w:szCs w:val="20"/>
          <w:lang w:eastAsia="en-US"/>
        </w:rPr>
        <w:t>KORISNIKA KREDITA</w:t>
      </w:r>
      <w:r w:rsidR="003600A2" w:rsidRPr="002B4007">
        <w:rPr>
          <w:rFonts w:ascii="Arial" w:eastAsia="Calibri" w:hAnsi="Arial" w:cs="Arial"/>
          <w:b/>
          <w:sz w:val="20"/>
          <w:szCs w:val="20"/>
          <w:lang w:eastAsia="en-US"/>
        </w:rPr>
        <w:t>)</w:t>
      </w:r>
    </w:p>
    <w:p w14:paraId="3433103E" w14:textId="0234E24A" w:rsidR="00D65F5F" w:rsidRPr="002B4007" w:rsidRDefault="00D65F5F" w:rsidP="00824F4F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S</w:t>
      </w:r>
      <w:r w:rsidR="00B04217" w:rsidRPr="002B4007">
        <w:rPr>
          <w:rFonts w:ascii="Arial" w:eastAsia="Calibri" w:hAnsi="Arial" w:cs="Arial"/>
          <w:sz w:val="20"/>
          <w:szCs w:val="20"/>
          <w:lang w:eastAsia="en-US"/>
        </w:rPr>
        <w:t xml:space="preserve">ljedeći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kriteriji moraju biti ispunjeni </w:t>
      </w:r>
      <w:r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na dan odobrenja </w:t>
      </w:r>
      <w:r w:rsidR="003600A2"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>K</w:t>
      </w:r>
      <w:r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>redita</w:t>
      </w:r>
      <w:r w:rsidR="005D2795">
        <w:rPr>
          <w:rFonts w:ascii="Arial" w:eastAsia="Calibri" w:hAnsi="Arial" w:cs="Arial"/>
          <w:sz w:val="20"/>
          <w:szCs w:val="20"/>
          <w:u w:val="single"/>
          <w:lang w:eastAsia="en-US"/>
        </w:rPr>
        <w:t>, pri čemu će se relevantnom smatrati dokumentacija iz koje je Osiguranik navedeno utvrdio prilikom obrade zahtjeva za kredit</w:t>
      </w:r>
      <w:r w:rsidR="002041DB" w:rsidRPr="002B4007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2602EF32" w14:textId="77777777" w:rsidR="000100B7" w:rsidRPr="002B4007" w:rsidRDefault="000100B7" w:rsidP="00824F4F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6"/>
        <w:gridCol w:w="7378"/>
      </w:tblGrid>
      <w:tr w:rsidR="00D30D80" w:rsidRPr="002B4007" w14:paraId="443A0B6D" w14:textId="77777777" w:rsidTr="004B20FC">
        <w:tc>
          <w:tcPr>
            <w:tcW w:w="183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599F0E61" w14:textId="0B8D5DB3" w:rsidR="007F7848" w:rsidRPr="002B4007" w:rsidRDefault="00DF677B" w:rsidP="00824F4F">
            <w:pPr>
              <w:spacing w:line="276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>Izvoznik</w:t>
            </w:r>
          </w:p>
        </w:tc>
        <w:tc>
          <w:tcPr>
            <w:tcW w:w="737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5205F23" w14:textId="6F6F5544" w:rsidR="00C40EE1" w:rsidRPr="002B4007" w:rsidRDefault="00685DC2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4" w:name="_Hlk74575501"/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 kredita može biti s</w:t>
            </w:r>
            <w:r w:rsidR="00446CBC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vak</w:t>
            </w:r>
            <w:r w:rsidR="00AA3A48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="00446CBC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subjekt koji </w:t>
            </w:r>
            <w:r w:rsidR="000A2827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obavlja gospodarsku djelatnost </w:t>
            </w:r>
            <w:r w:rsidR="007A37AA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bez obzira na njegov pravni oblik</w:t>
            </w:r>
            <w:r w:rsidR="00D30D80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</w:t>
            </w:r>
            <w:r w:rsidR="007F7848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D0C84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koji je registriran sa </w:t>
            </w:r>
            <w:r w:rsidR="007F7848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sjedištem u R</w:t>
            </w:r>
            <w:r w:rsidR="00F30BBE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epublici Hrvatskoj </w:t>
            </w:r>
            <w:r w:rsidR="007F7848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(trgovačka društva, obrtnici, </w:t>
            </w:r>
            <w:r w:rsidR="007274BB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druge pravne i </w:t>
            </w:r>
            <w:r w:rsidR="007F7848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fizičke osobe koje samostalno obavljaju </w:t>
            </w:r>
            <w:r w:rsidR="007274BB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gospodarsku </w:t>
            </w:r>
            <w:r w:rsidR="007F7848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djelatnost</w:t>
            </w:r>
            <w:r w:rsidR="007274BB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="00AD19E4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</w:t>
            </w:r>
          </w:p>
          <w:p w14:paraId="5D31F110" w14:textId="02A92E81" w:rsidR="0089143C" w:rsidRDefault="00DF677B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5" w:name="_Hlk58585220"/>
            <w:bookmarkStart w:id="16" w:name="_Hlk36562506"/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</w:t>
            </w:r>
            <w:r w:rsidR="00C40EE1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 bio u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teškoćama na 31.</w:t>
            </w:r>
            <w:r w:rsidR="00EC43FA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</w:t>
            </w:r>
            <w:r w:rsidR="00EC43FA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2019.</w:t>
            </w:r>
            <w:r w:rsidR="002308F5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="007D3333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smislu Uredbe o općem skupnom izuzeću</w:t>
            </w:r>
            <w:r w:rsidR="007D3333" w:rsidRPr="002B400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  <w:r w:rsidR="002308F5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2961F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pri čemu </w:t>
            </w:r>
            <w:r w:rsidR="004042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</w:t>
            </w:r>
            <w:r w:rsidR="002961F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 Osiguranik </w:t>
            </w:r>
            <w:r w:rsidR="004042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dužan </w:t>
            </w:r>
            <w:r w:rsidR="002961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utvrditi da je Korisnik kredita u Izjavi o potporama naveo da nije u teškoćama</w:t>
            </w:r>
            <w:r w:rsidR="004042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te je neovisno o izjavama Korisnika kredita, Osiguranik samostalno dužan provjeriti i utvrditi </w:t>
            </w:r>
            <w:r w:rsidR="002961F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 </w:t>
            </w:r>
            <w:r w:rsid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Korisnik kredita ne ispunjava niti jedan od </w:t>
            </w:r>
            <w:r w:rsidR="002961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sljedeći</w:t>
            </w:r>
            <w:r w:rsid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</w:t>
            </w:r>
            <w:r w:rsidR="002961F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uvjet</w:t>
            </w:r>
            <w:r w:rsid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="004042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(što će navesti u izjavi koju dostavlja Osiguratelju uz Odštetni zahtjev)</w:t>
            </w:r>
            <w:r w:rsidR="002961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1F4EFB1E" w14:textId="6AA4D19D" w:rsidR="008A2C22" w:rsidRPr="00C854E9" w:rsidRDefault="00C854E9" w:rsidP="00C854E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line="276" w:lineRule="auto"/>
              <w:ind w:left="888" w:hanging="42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društva s ograničenom odgovornošću</w:t>
            </w:r>
            <w:r w:rsidR="00CD52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="00132D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društva kapitala: </w:t>
            </w:r>
            <w:r w:rsidR="00CD52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d.d., d.o.o. i dr.)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D76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</w:t>
            </w:r>
            <w:r w:rsidR="003D7614" w:rsidRPr="003D76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apital i rezerve iznos</w:t>
            </w:r>
            <w:r w:rsidR="003D76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="003D7614" w:rsidRPr="003D761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manje od 50% upisanog temeljnog kapitala</w:t>
            </w:r>
            <w:r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odnosno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društva s neograničenom odgovornošću</w:t>
            </w:r>
            <w:r w:rsidR="00CD52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A2C22"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smanjen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r w:rsidR="008A2C22"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 </w:t>
            </w:r>
            <w:r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više od polovice ukupne imovine</w:t>
            </w:r>
            <w:r w:rsidR="008A2C22"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zbog prenesenih gubitaka</w:t>
            </w:r>
            <w:r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3CA56A3B" w14:textId="00F099F2" w:rsidR="008A2C22" w:rsidRDefault="008A2C22" w:rsidP="008A2C2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line="276" w:lineRule="auto"/>
              <w:ind w:left="888" w:hanging="42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2C2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nad društvom se provodi </w:t>
            </w:r>
            <w:r w:rsid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predstečajni, </w:t>
            </w:r>
            <w:r w:rsidRPr="008A2C2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stečajni </w:t>
            </w:r>
            <w:r w:rsid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ili likvidacijski </w:t>
            </w:r>
            <w:r w:rsidRPr="008A2C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postupak</w:t>
            </w:r>
            <w:r w:rsidR="00CD52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62C9EEE3" w14:textId="66729CBC" w:rsidR="008A2C22" w:rsidRDefault="00C854E9" w:rsidP="008A2C2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line="276" w:lineRule="auto"/>
              <w:ind w:left="888" w:hanging="42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velike </w:t>
            </w:r>
            <w:r w:rsidR="008A2C22" w:rsidRPr="008A2C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poduzetnik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e, ako su tije</w:t>
            </w:r>
            <w:r w:rsidR="008A2C22" w:rsidRPr="008A2C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 zadnje dvije godine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BC4AF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kumulativno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zadovoljena oba sljedeća uvjeta</w:t>
            </w:r>
            <w:r w:rsidR="004042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obje godine</w:t>
            </w:r>
            <w:r w:rsidR="008A2C22" w:rsidRPr="008A2C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31E0679C" w14:textId="38820EA1" w:rsidR="00C854E9" w:rsidRPr="00C854E9" w:rsidRDefault="00C854E9" w:rsidP="00FE353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spacing w:line="276" w:lineRule="auto"/>
              <w:ind w:hanging="29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omjer </w:t>
            </w:r>
            <w:r w:rsidR="003D761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dugoročnih financijskih obveza </w:t>
            </w:r>
            <w:r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</w:t>
            </w:r>
            <w:r w:rsidR="00132D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kapitala</w:t>
            </w:r>
            <w:r w:rsidR="003D761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rezervi</w:t>
            </w:r>
            <w:r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poduzetnika veći</w:t>
            </w:r>
            <w:r w:rsidR="00FE35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je</w:t>
            </w:r>
            <w:r w:rsidRPr="00C854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 7,5</w:t>
            </w:r>
            <w:r w:rsidR="00FE35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1CD79E95" w14:textId="42E1CE42" w:rsidR="008A2C22" w:rsidRPr="008211CA" w:rsidRDefault="00C854E9" w:rsidP="00FE353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spacing w:line="276" w:lineRule="auto"/>
              <w:ind w:hanging="29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omjer EBITDA</w:t>
            </w:r>
            <w:r w:rsidR="003D7614" w:rsidRPr="00A17D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troška kamata iz financijskih obveza </w:t>
            </w:r>
            <w:r w:rsidR="00FE3532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</w:t>
            </w:r>
            <w:r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D761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manji od</w:t>
            </w:r>
            <w:r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1,0.</w:t>
            </w:r>
          </w:p>
          <w:p w14:paraId="19F959AB" w14:textId="5719A04E" w:rsidR="00BC4AF4" w:rsidRPr="004C2EBB" w:rsidRDefault="00BC4AF4" w:rsidP="004C2EB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Kod poduzetnika koji su dio grupe, kriteriji se </w:t>
            </w:r>
            <w:r w:rsid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 pravilu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razmatraju na razini poduzetnika</w:t>
            </w:r>
            <w:r w:rsidR="004C2EBB"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no ako </w:t>
            </w:r>
            <w:r w:rsidR="00F95B0A" w:rsidRPr="00F95B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međusobni odnosi društava u grupi ukazuju na međuovisnost u poslovanju (najčešće kada društva u grupi posluju na istim ili susjednim tržištima)</w:t>
            </w:r>
            <w:r w:rsidR="00F95B0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F95B0A" w:rsidRPr="00F95B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teškoće cijele grupe, potrebno je provjeriti kriterije i na razini grupe</w:t>
            </w:r>
            <w:r w:rsidR="004C2EBB"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1B721741" w14:textId="38EAE842" w:rsidR="00BC4AF4" w:rsidRPr="004C2EBB" w:rsidRDefault="00404206" w:rsidP="004C2EB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7" w:name="_Hlk74577193"/>
            <w:bookmarkEnd w:id="14"/>
            <w:r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Kod poduzetnika koji </w:t>
            </w:r>
            <w:r w:rsidR="00BC4AF4"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 31. 12. 2019. </w:t>
            </w:r>
            <w:r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posluju manje od tri godine</w:t>
            </w:r>
            <w:r w:rsidR="00BC4AF4"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odnosu na datum na koji su osnovani</w:t>
            </w:r>
            <w:r w:rsidR="00B018C2"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(poduzetnici osnovani nakon 31. 12. 2016.), Osiguranik </w:t>
            </w:r>
            <w:r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razmatra samo kriterij pod b).</w:t>
            </w:r>
          </w:p>
          <w:bookmarkEnd w:id="15"/>
          <w:bookmarkEnd w:id="17"/>
          <w:p w14:paraId="47EA4385" w14:textId="18EFEA67" w:rsidR="00DF677B" w:rsidRPr="008211CA" w:rsidRDefault="00DF677B" w:rsidP="004C2EB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susr</w:t>
            </w:r>
            <w:r w:rsidR="00C40EE1"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eo</w:t>
            </w:r>
            <w:r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9143C"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 </w:t>
            </w:r>
            <w:r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poteškoć</w:t>
            </w:r>
            <w:r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ama u poslovanju kao posljedic</w:t>
            </w:r>
            <w:r w:rsidR="00C40EE1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om</w:t>
            </w:r>
            <w:r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pandemije uzrokovane COVID-19 virusom (</w:t>
            </w:r>
            <w:r w:rsidR="007F0AD1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prema</w:t>
            </w:r>
            <w:r w:rsidR="004719E4" w:rsidRPr="008211CA">
              <w:rPr>
                <w:rFonts w:ascii="Arial" w:hAnsi="Arial" w:cs="Arial"/>
                <w:sz w:val="20"/>
                <w:szCs w:val="20"/>
              </w:rPr>
              <w:t xml:space="preserve"> FINA COVID score skali</w:t>
            </w:r>
            <w:r w:rsidR="00512D44" w:rsidRPr="008211CA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  <w:r w:rsidR="004719E4" w:rsidRPr="008211CA">
              <w:rPr>
                <w:rFonts w:ascii="Arial" w:hAnsi="Arial" w:cs="Arial"/>
                <w:sz w:val="20"/>
                <w:szCs w:val="20"/>
              </w:rPr>
              <w:t xml:space="preserve"> ocijenjen</w:t>
            </w:r>
            <w:r w:rsidR="00512D44" w:rsidRPr="00A17D6F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="004719E4" w:rsidRPr="008211CA">
              <w:rPr>
                <w:rFonts w:ascii="Arial" w:hAnsi="Arial" w:cs="Arial"/>
                <w:sz w:val="20"/>
                <w:szCs w:val="20"/>
              </w:rPr>
              <w:t xml:space="preserve"> unutar raspona 0 - 700 bodova</w:t>
            </w:r>
            <w:bookmarkEnd w:id="16"/>
            <w:r w:rsidR="0089143C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; za </w:t>
            </w:r>
            <w:r w:rsidR="008219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Korisnike kredita</w:t>
            </w:r>
            <w:r w:rsidR="008219E9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12D4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</w:t>
            </w:r>
            <w:r w:rsidR="004719E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koj</w:t>
            </w:r>
            <w:r w:rsidR="00512D4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FINA</w:t>
            </w:r>
            <w:r w:rsidR="004719E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ne mo</w:t>
            </w:r>
            <w:r w:rsidR="00512D4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že</w:t>
            </w:r>
            <w:r w:rsidR="004719E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12D4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izračunati</w:t>
            </w:r>
            <w:r w:rsidR="004719E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COVID score</w:t>
            </w:r>
            <w:r w:rsidR="00512D4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4719E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Osiguranik </w:t>
            </w:r>
            <w:r w:rsidR="00512D4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će</w:t>
            </w:r>
            <w:r w:rsidR="00C6715B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719E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utvrdi</w:t>
            </w:r>
            <w:r w:rsidR="00512D4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</w:t>
            </w:r>
            <w:r w:rsidR="004719E4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da je poslovanje ugroženo COVID-om)</w:t>
            </w:r>
            <w:r w:rsidR="005D2795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; COVID score ne smije biti stariji od 30 kalendarskih dana od datuma zaprimanja zahtjeva za kredit,</w:t>
            </w:r>
          </w:p>
          <w:p w14:paraId="739EB4F5" w14:textId="2423C8DE" w:rsidR="002308F5" w:rsidRPr="002311BA" w:rsidRDefault="00CE0B0E" w:rsidP="00231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</w:pP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izloženost Osiguranika prema </w:t>
            </w:r>
            <w:r w:rsidR="008219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Korisniku kredita</w:t>
            </w:r>
            <w:r w:rsidR="008219E9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5113C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 </w:t>
            </w:r>
            <w:r w:rsidR="002308F5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31. 12. 2019.</w:t>
            </w: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9143C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kod Osiguranika bi</w:t>
            </w: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</w:t>
            </w:r>
            <w:r w:rsidR="0089143C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klasificiran</w:t>
            </w: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="0089143C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2308F5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rizičn</w:t>
            </w: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2308F5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skupin</w:t>
            </w: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2308F5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</w:t>
            </w:r>
            <w:r w:rsidR="004719E4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="007F0AD1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prema</w:t>
            </w:r>
            <w:r w:rsidR="004719E4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HNB-ovo</w:t>
            </w:r>
            <w:r w:rsidR="005B653A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j Odluci</w:t>
            </w:r>
            <w:r w:rsidR="005B653A" w:rsidRPr="001F22D1">
              <w:rPr>
                <w:rStyle w:val="FootnoteReference"/>
                <w:rFonts w:ascii="Arial" w:eastAsia="Calibri" w:hAnsi="Arial" w:cs="Arial"/>
                <w:sz w:val="20"/>
                <w:szCs w:val="20"/>
                <w:lang w:eastAsia="en-US"/>
              </w:rPr>
              <w:footnoteReference w:id="7"/>
            </w:r>
            <w:r w:rsidR="004719E4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 w:rsidR="002311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Ako Osiguranik nije bio izložen prema </w:t>
            </w:r>
            <w:r w:rsidR="008219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Korisniku kredita</w:t>
            </w:r>
            <w:r w:rsidR="002311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</w:t>
            </w:r>
            <w:r w:rsidR="002311BA" w:rsidRPr="002311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navedeni datum</w:t>
            </w:r>
            <w:r w:rsidR="002311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ovaj kriterij se ne</w:t>
            </w:r>
            <w:r w:rsidR="002311BA" w:rsidRPr="002311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primjenjuje</w:t>
            </w:r>
            <w:r w:rsidR="002311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54FE40C8" w14:textId="0BDDA513" w:rsidR="00764193" w:rsidRPr="002311BA" w:rsidRDefault="00DF677B" w:rsidP="002311B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</w:pP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ostvari</w:t>
            </w:r>
            <w:r w:rsidR="00C40EE1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je najmanje</w:t>
            </w: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054BA2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0% izvoznog prihoda</w:t>
            </w:r>
            <w:r w:rsidR="00C64891" w:rsidRPr="001F22D1">
              <w:rPr>
                <w:rStyle w:val="FootnoteReference"/>
                <w:rFonts w:ascii="Arial" w:eastAsia="Calibri" w:hAnsi="Arial" w:cs="Arial"/>
                <w:sz w:val="20"/>
                <w:szCs w:val="20"/>
                <w:lang w:eastAsia="en-US"/>
              </w:rPr>
              <w:footnoteReference w:id="8"/>
            </w: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poslovnim prihodima financijske godine</w:t>
            </w:r>
            <w:r w:rsid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1150D4" w:rsidRPr="009B3B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koja je prema </w:t>
            </w:r>
            <w:r w:rsidR="002311BA" w:rsidRPr="009B3B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izjavi </w:t>
            </w:r>
            <w:r w:rsidR="001150D4" w:rsidRPr="002311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poduzetnika relevantna za njegovo poslovanje (ne ranije od 2019.) i</w:t>
            </w:r>
            <w:r w:rsidRPr="002311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koju su dostupni službeni godišnji financijski izvještaji društva</w:t>
            </w:r>
            <w:r w:rsidR="00626C40" w:rsidRPr="002311B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(izvoznik)</w:t>
            </w:r>
          </w:p>
          <w:p w14:paraId="5766E4CD" w14:textId="121F8416" w:rsidR="001150D4" w:rsidRDefault="001150D4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ili</w:t>
            </w:r>
          </w:p>
          <w:p w14:paraId="7A71174F" w14:textId="1FCD131C" w:rsidR="001150D4" w:rsidRDefault="001150D4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ostvario je više od 50% 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prihoda od </w:t>
            </w:r>
            <w:r w:rsidR="00D257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noćenja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poslovnim prihodima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financijske godine </w:t>
            </w:r>
            <w:r w:rsidRPr="009B3B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koja je prema izjavi poduzetnika relevantna za njegovo poslovanje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(ne ranije od 2019.) i</w:t>
            </w:r>
            <w:r w:rsidR="0004596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045966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koju su dostupni službeni godišnji financijski izvještaji društva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pri čemu 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</w:t>
            </w:r>
            <w:r w:rsidR="00D43D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toj godini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23" w:name="_Hlk74133070"/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udio ostvarenih noćenja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nerezidenata Republike Hrvatske 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ukupnom broju noćenja</w:t>
            </w:r>
            <w:bookmarkEnd w:id="23"/>
            <w:r w:rsidR="009B4117">
              <w:rPr>
                <w:rStyle w:val="FootnoteReference"/>
                <w:rFonts w:ascii="Arial" w:eastAsia="Calibri" w:hAnsi="Arial" w:cs="Arial"/>
                <w:sz w:val="20"/>
                <w:szCs w:val="20"/>
                <w:lang w:eastAsia="en-US"/>
              </w:rPr>
              <w:footnoteReference w:id="9"/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najmanje 30% (izvoznik)</w:t>
            </w:r>
          </w:p>
          <w:p w14:paraId="1D10D45E" w14:textId="65E9DA41" w:rsidR="00764193" w:rsidRPr="002B4007" w:rsidRDefault="00764193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ili</w:t>
            </w:r>
          </w:p>
          <w:p w14:paraId="012D2501" w14:textId="40CE7BB4" w:rsidR="00DF677B" w:rsidRPr="002B4007" w:rsidRDefault="00764193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ostvario je najmanje </w:t>
            </w:r>
            <w:r w:rsidR="00054BA2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0% prihoda s jednim ili više </w:t>
            </w:r>
            <w:r w:rsidR="00626C40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zvoznika </w:t>
            </w:r>
            <w:r w:rsidR="00626C40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iz prethodn</w:t>
            </w:r>
            <w:r w:rsidR="00B1623B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="00626C40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B1623B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točke,</w:t>
            </w:r>
            <w:r w:rsidR="00626C40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 poslovnim prihodima financijske godine </w:t>
            </w:r>
            <w:r w:rsidR="001150D4" w:rsidRPr="009B3B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koja je prema izjavi poduzetnika relevantna za njegovo poslovanje</w:t>
            </w:r>
            <w:r w:rsid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(ne ranije od 2019.) i</w:t>
            </w:r>
            <w:r w:rsidR="001150D4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koju su dostupni službeni godišnji financijski izvještaji društva</w:t>
            </w:r>
            <w:r w:rsidR="00626C40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(dobavljač izvoznika)</w:t>
            </w:r>
            <w:r w:rsidR="00DA2310">
              <w:rPr>
                <w:rStyle w:val="FootnoteReference"/>
                <w:rFonts w:ascii="Arial" w:eastAsia="Calibri" w:hAnsi="Arial" w:cs="Arial"/>
                <w:sz w:val="20"/>
                <w:szCs w:val="20"/>
                <w:lang w:eastAsia="en-US"/>
              </w:rPr>
              <w:footnoteReference w:id="10"/>
            </w:r>
            <w:r w:rsidR="004B20F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</w:t>
            </w:r>
          </w:p>
          <w:p w14:paraId="45F78870" w14:textId="7B31CFA6" w:rsidR="0031774F" w:rsidRPr="002B4007" w:rsidRDefault="00DF677B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</w:t>
            </w:r>
            <w:r w:rsidR="00C40EE1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većinskom vlasništvu države</w:t>
            </w:r>
            <w:r w:rsidR="004A267B">
              <w:rPr>
                <w:rStyle w:val="FootnoteReference"/>
                <w:rFonts w:ascii="Arial" w:eastAsia="Calibri" w:hAnsi="Arial" w:cs="Arial"/>
                <w:sz w:val="20"/>
                <w:szCs w:val="20"/>
                <w:lang w:eastAsia="en-US"/>
              </w:rPr>
              <w:footnoteReference w:id="11"/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(50% i više)</w:t>
            </w:r>
            <w:r w:rsidR="00AD19E4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4C20B6" w:rsidRPr="002B4007" w14:paraId="39DD6758" w14:textId="77777777" w:rsidTr="004B20FC">
        <w:tc>
          <w:tcPr>
            <w:tcW w:w="1836" w:type="dxa"/>
            <w:tcBorders>
              <w:top w:val="single" w:sz="2" w:space="0" w:color="44546A" w:themeColor="text2"/>
              <w:bottom w:val="single" w:sz="2" w:space="0" w:color="44546A" w:themeColor="text2"/>
              <w:right w:val="nil"/>
            </w:tcBorders>
            <w:tcMar>
              <w:top w:w="113" w:type="dxa"/>
              <w:bottom w:w="113" w:type="dxa"/>
            </w:tcMar>
          </w:tcPr>
          <w:p w14:paraId="01D52D2B" w14:textId="77777777" w:rsidR="004C20B6" w:rsidRPr="002B4007" w:rsidRDefault="004C20B6" w:rsidP="00824F4F">
            <w:pPr>
              <w:pStyle w:val="ListParagraph"/>
              <w:spacing w:line="276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bookmarkStart w:id="24" w:name="_Hlk57606992"/>
            <w:r w:rsidRPr="002B4007">
              <w:rPr>
                <w:rFonts w:ascii="Arial" w:hAnsi="Arial" w:cs="Arial"/>
                <w:b/>
                <w:sz w:val="20"/>
                <w:szCs w:val="20"/>
              </w:rPr>
              <w:t xml:space="preserve">Veličina </w:t>
            </w:r>
          </w:p>
        </w:tc>
        <w:tc>
          <w:tcPr>
            <w:tcW w:w="7378" w:type="dxa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3E69D314" w14:textId="7E7E209A" w:rsidR="004C20B6" w:rsidRPr="002B4007" w:rsidRDefault="004C20B6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 kredita je po veličini (</w:t>
            </w:r>
            <w:r w:rsidR="007F0A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prema</w:t>
            </w:r>
            <w:r w:rsidR="007F0AD1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definiciji EU</w:t>
            </w:r>
            <w:r w:rsidR="009837F8" w:rsidRPr="002B4007">
              <w:rPr>
                <w:rStyle w:val="FootnoteReference"/>
                <w:rFonts w:ascii="Arial" w:eastAsia="Calibri" w:hAnsi="Arial" w:cs="Arial"/>
                <w:sz w:val="20"/>
                <w:szCs w:val="20"/>
                <w:lang w:eastAsia="en-US"/>
              </w:rPr>
              <w:footnoteReference w:id="12"/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):</w:t>
            </w:r>
          </w:p>
          <w:p w14:paraId="7CD38AEE" w14:textId="73AFEF94" w:rsidR="004C20B6" w:rsidRPr="002B4007" w:rsidRDefault="004C20B6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mali i srednji poduzetnik koji ima potrebu za kreditom za likvidnost u iznosu višem od 15.000.000,00 HRK</w:t>
            </w:r>
            <w:r w:rsidR="00157D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ili</w:t>
            </w:r>
          </w:p>
          <w:p w14:paraId="1D66A251" w14:textId="6BCFE027" w:rsidR="00E90703" w:rsidRPr="002B4007" w:rsidRDefault="004C20B6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25" w:name="_Hlk58572171"/>
            <w:bookmarkStart w:id="26" w:name="_Hlk72497189"/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mali i srednji poduzetnik koji ima potrebu za kreditom za likvidnost u iznosu od 15.000.000,00 HRK ili manje, ako iz opravdanih razloga ne može pribaviti </w:t>
            </w:r>
            <w:r w:rsidR="00AB66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prihvatljivo 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jamstvo od HAMAG-BICRO-a</w:t>
            </w:r>
            <w:r w:rsidR="00FD18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primjerice iz razloga neprihvatljive djelatnosti, već ostvarene maksimalne vrijednosti de minimis potpore i dr.</w:t>
            </w:r>
            <w:r w:rsidR="00FD1800">
              <w:rPr>
                <w:rFonts w:ascii="Arial" w:hAnsi="Arial" w:cs="Arial"/>
                <w:sz w:val="20"/>
                <w:szCs w:val="20"/>
                <w:lang w:eastAsia="en-US"/>
              </w:rPr>
              <w:t>), što Osiguranik utvrđuje pisanom izjavom Korisnika kredita</w:t>
            </w:r>
            <w:bookmarkEnd w:id="25"/>
            <w:r w:rsidR="00157D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ili</w:t>
            </w:r>
          </w:p>
          <w:bookmarkEnd w:id="26"/>
          <w:p w14:paraId="2C61AAAD" w14:textId="4B6A187F" w:rsidR="004C20B6" w:rsidRPr="006F7478" w:rsidRDefault="004C20B6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veli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 poduzetni</w:t>
            </w:r>
            <w:r w:rsidR="0089143C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</w:t>
            </w:r>
            <w:r w:rsidRPr="006F74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neovisno o visini kredita</w:t>
            </w:r>
            <w:r w:rsidR="00FD18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bookmarkEnd w:id="24"/>
      <w:tr w:rsidR="004C20B6" w:rsidRPr="002B4007" w14:paraId="21E25CB4" w14:textId="77777777" w:rsidTr="004B20FC">
        <w:tc>
          <w:tcPr>
            <w:tcW w:w="1836" w:type="dxa"/>
            <w:tcBorders>
              <w:top w:val="single" w:sz="2" w:space="0" w:color="44546A" w:themeColor="text2"/>
              <w:bottom w:val="single" w:sz="2" w:space="0" w:color="44546A" w:themeColor="text2"/>
              <w:right w:val="nil"/>
            </w:tcBorders>
            <w:tcMar>
              <w:top w:w="113" w:type="dxa"/>
              <w:bottom w:w="113" w:type="dxa"/>
            </w:tcMar>
          </w:tcPr>
          <w:p w14:paraId="6899572E" w14:textId="77777777" w:rsidR="004C20B6" w:rsidRPr="002B4007" w:rsidRDefault="004C20B6" w:rsidP="00824F4F">
            <w:pPr>
              <w:pStyle w:val="ListParagraph"/>
              <w:spacing w:line="276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 xml:space="preserve">Djelatnost </w:t>
            </w:r>
          </w:p>
        </w:tc>
        <w:tc>
          <w:tcPr>
            <w:tcW w:w="7378" w:type="dxa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5DB27293" w14:textId="430991A9" w:rsidR="004C20B6" w:rsidRPr="002B4007" w:rsidRDefault="004C20B6" w:rsidP="00824F4F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76" w:lineRule="auto"/>
              <w:ind w:left="18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Svaka djelatnost </w:t>
            </w:r>
            <w:r w:rsidR="008219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Korisnika kredita</w:t>
            </w:r>
            <w:r w:rsidR="008219E9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smatra se prihvatljivom.</w:t>
            </w:r>
          </w:p>
        </w:tc>
      </w:tr>
      <w:tr w:rsidR="004C20B6" w:rsidRPr="002B4007" w14:paraId="357DB34B" w14:textId="77777777" w:rsidTr="004B20FC">
        <w:tc>
          <w:tcPr>
            <w:tcW w:w="1836" w:type="dxa"/>
            <w:tcBorders>
              <w:top w:val="single" w:sz="2" w:space="0" w:color="44546A" w:themeColor="text2"/>
              <w:bottom w:val="single" w:sz="2" w:space="0" w:color="44546A" w:themeColor="text2"/>
              <w:right w:val="nil"/>
            </w:tcBorders>
            <w:tcMar>
              <w:top w:w="113" w:type="dxa"/>
              <w:bottom w:w="113" w:type="dxa"/>
            </w:tcMar>
          </w:tcPr>
          <w:p w14:paraId="040B1D11" w14:textId="21B6AEBE" w:rsidR="004C20B6" w:rsidRPr="002B4007" w:rsidRDefault="004C20B6" w:rsidP="00824F4F">
            <w:pPr>
              <w:pStyle w:val="ListParagraph"/>
              <w:spacing w:line="276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>Ostalo</w:t>
            </w:r>
          </w:p>
        </w:tc>
        <w:tc>
          <w:tcPr>
            <w:tcW w:w="7378" w:type="dxa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36F0230E" w14:textId="055CF406" w:rsidR="004C20B6" w:rsidRPr="002B4007" w:rsidRDefault="004C20B6" w:rsidP="00824F4F">
            <w:pPr>
              <w:spacing w:line="276" w:lineRule="auto"/>
              <w:ind w:left="18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Kreditna sposobnost </w:t>
            </w:r>
            <w:r w:rsidR="008219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Korisnika kredita</w:t>
            </w:r>
            <w:r w:rsidR="008219E9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 pozitivno ocijenjena od strane Osiguranika </w:t>
            </w:r>
            <w:r w:rsidR="007F0A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 </w:t>
            </w:r>
            <w:r w:rsidRPr="002B4007">
              <w:rPr>
                <w:rFonts w:ascii="Arial" w:hAnsi="Arial" w:cs="Arial"/>
                <w:sz w:val="20"/>
                <w:szCs w:val="20"/>
              </w:rPr>
              <w:t>sklad</w:t>
            </w:r>
            <w:r w:rsidR="007F0AD1">
              <w:rPr>
                <w:rFonts w:ascii="Arial" w:hAnsi="Arial" w:cs="Arial"/>
                <w:sz w:val="20"/>
                <w:szCs w:val="20"/>
              </w:rPr>
              <w:t>u s</w:t>
            </w:r>
            <w:r w:rsidRPr="002B4007">
              <w:rPr>
                <w:rFonts w:ascii="Arial" w:hAnsi="Arial" w:cs="Arial"/>
                <w:sz w:val="20"/>
                <w:szCs w:val="20"/>
              </w:rPr>
              <w:t xml:space="preserve"> propisima, svojim standardnim internim aktima, pravilima i procedurama, kako Osiguranik i inače postupa s kreditima za likvidnost odobrenim </w:t>
            </w:r>
            <w:r w:rsidR="008219E9">
              <w:rPr>
                <w:rFonts w:ascii="Arial" w:hAnsi="Arial" w:cs="Arial"/>
                <w:sz w:val="20"/>
                <w:szCs w:val="20"/>
              </w:rPr>
              <w:t>Korisnicima kredita</w:t>
            </w:r>
            <w:r w:rsidR="008219E9" w:rsidRPr="002B4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007">
              <w:rPr>
                <w:rFonts w:ascii="Arial" w:hAnsi="Arial" w:cs="Arial"/>
                <w:sz w:val="20"/>
                <w:szCs w:val="20"/>
              </w:rPr>
              <w:t>iste ili slične rizične kategorije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378DE35E" w14:textId="59586796" w:rsidR="00970149" w:rsidRPr="002B4007" w:rsidRDefault="00970149" w:rsidP="00824F4F">
      <w:pPr>
        <w:spacing w:line="276" w:lineRule="auto"/>
        <w:ind w:right="22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F8AC88C" w14:textId="7A3C81A4" w:rsidR="00970149" w:rsidRPr="002B4007" w:rsidRDefault="00970149" w:rsidP="00824F4F">
      <w:pPr>
        <w:spacing w:line="276" w:lineRule="auto"/>
        <w:ind w:right="22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4E04BD9" w14:textId="77777777" w:rsidR="00F842D6" w:rsidRDefault="00F842D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54FCDE93" w14:textId="157A6E25" w:rsidR="00F52812" w:rsidRPr="002B4007" w:rsidRDefault="00A32C1F" w:rsidP="00824F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1.2. </w:t>
      </w:r>
      <w:r w:rsidR="002B2663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U ODNOSU NA KREDIT </w:t>
      </w:r>
    </w:p>
    <w:p w14:paraId="03F38D51" w14:textId="7F0A8C11" w:rsidR="00F52812" w:rsidRPr="002B4007" w:rsidRDefault="00A32C1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1.2.1.</w:t>
      </w: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65F5F" w:rsidRPr="002B4007">
        <w:rPr>
          <w:rFonts w:ascii="Arial" w:eastAsia="Calibri" w:hAnsi="Arial" w:cs="Arial"/>
          <w:sz w:val="20"/>
          <w:szCs w:val="20"/>
          <w:lang w:eastAsia="en-US"/>
        </w:rPr>
        <w:t>S</w:t>
      </w:r>
      <w:r w:rsidR="00E8041B" w:rsidRPr="002B4007">
        <w:rPr>
          <w:rFonts w:ascii="Arial" w:eastAsia="Calibri" w:hAnsi="Arial" w:cs="Arial"/>
          <w:sz w:val="20"/>
          <w:szCs w:val="20"/>
          <w:lang w:eastAsia="en-US"/>
        </w:rPr>
        <w:t>ljedeći</w:t>
      </w:r>
      <w:r w:rsidR="00D65F5F" w:rsidRPr="002B4007">
        <w:rPr>
          <w:rFonts w:ascii="Arial" w:eastAsia="Calibri" w:hAnsi="Arial" w:cs="Arial"/>
          <w:sz w:val="20"/>
          <w:szCs w:val="20"/>
          <w:lang w:eastAsia="en-US"/>
        </w:rPr>
        <w:t xml:space="preserve"> kriteriji moraju biti ispunjeni </w:t>
      </w:r>
      <w:r w:rsidR="00D65F5F"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na dan odobrenja </w:t>
      </w:r>
      <w:r w:rsidR="004E1876"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>K</w:t>
      </w:r>
      <w:r w:rsidR="00D65F5F"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>redita</w:t>
      </w:r>
      <w:r w:rsidR="005D2795">
        <w:rPr>
          <w:rFonts w:ascii="Arial" w:eastAsia="Calibri" w:hAnsi="Arial" w:cs="Arial"/>
          <w:sz w:val="20"/>
          <w:szCs w:val="20"/>
          <w:u w:val="single"/>
          <w:lang w:eastAsia="en-US"/>
        </w:rPr>
        <w:t>, pri čemu će se relevantnom smatrati dokumentacija iz koje je Osiguranik navedeno utvrdio prilikom obrade zahtjeva za kredit</w:t>
      </w:r>
      <w:r w:rsidR="002041DB"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>:</w:t>
      </w:r>
    </w:p>
    <w:p w14:paraId="3180FCB9" w14:textId="77777777" w:rsidR="000100B7" w:rsidRPr="002B4007" w:rsidRDefault="000100B7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D30D80" w:rsidRPr="002B4007" w14:paraId="4533CF34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  <w:right w:val="nil"/>
            </w:tcBorders>
            <w:tcMar>
              <w:top w:w="113" w:type="dxa"/>
              <w:bottom w:w="113" w:type="dxa"/>
            </w:tcMar>
          </w:tcPr>
          <w:p w14:paraId="3C6C03B3" w14:textId="77777777" w:rsidR="00FF6111" w:rsidRPr="002B4007" w:rsidRDefault="00FF6111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 xml:space="preserve">Vrsta </w:t>
            </w:r>
          </w:p>
        </w:tc>
        <w:tc>
          <w:tcPr>
            <w:tcW w:w="7371" w:type="dxa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6D6B03D" w14:textId="77777777" w:rsidR="00FF6111" w:rsidRPr="002B4007" w:rsidRDefault="00C13362" w:rsidP="00824F4F">
            <w:pPr>
              <w:pStyle w:val="ListParagraph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31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="00FF6111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ojedinačni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FF6111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okvirni ili revolving krediti</w:t>
            </w:r>
          </w:p>
        </w:tc>
      </w:tr>
      <w:tr w:rsidR="00D30D80" w:rsidRPr="002B4007" w14:paraId="209C1E6A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6FA0DCD2" w14:textId="77777777" w:rsidR="00FF6111" w:rsidRPr="002B4007" w:rsidRDefault="00FF6111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_Hlk3291573"/>
            <w:r w:rsidRPr="002B4007">
              <w:rPr>
                <w:rFonts w:ascii="Arial" w:hAnsi="Arial" w:cs="Arial"/>
                <w:b/>
                <w:sz w:val="20"/>
                <w:szCs w:val="20"/>
              </w:rPr>
              <w:t xml:space="preserve">Namjena 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2A4BEA23" w14:textId="77777777" w:rsidR="00FF6111" w:rsidRPr="002B4007" w:rsidRDefault="00972D7A" w:rsidP="0012352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52C">
              <w:rPr>
                <w:rFonts w:ascii="Arial" w:hAnsi="Arial" w:cs="Arial"/>
                <w:sz w:val="20"/>
                <w:szCs w:val="20"/>
                <w:lang w:eastAsia="en-US"/>
              </w:rPr>
              <w:t>Krediti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moraju biti novi krediti za </w:t>
            </w:r>
            <w:r w:rsidR="00506FD2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likvidnost</w:t>
            </w:r>
            <w:r w:rsidR="00C64891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2A5ACE4" w14:textId="38C1D855" w:rsidR="0012352C" w:rsidRPr="001A0E11" w:rsidRDefault="005B449A" w:rsidP="0012352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352C">
              <w:rPr>
                <w:rFonts w:ascii="Arial" w:hAnsi="Arial" w:cs="Arial"/>
                <w:sz w:val="20"/>
                <w:szCs w:val="20"/>
                <w:lang w:eastAsia="en-US"/>
              </w:rPr>
              <w:t>Sredstva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64891" w:rsidRPr="001A0E11">
              <w:rPr>
                <w:rFonts w:ascii="Arial" w:hAnsi="Arial" w:cs="Arial"/>
                <w:sz w:val="20"/>
                <w:szCs w:val="20"/>
                <w:lang w:eastAsia="en-US"/>
              </w:rPr>
              <w:t>Kredit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C64891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C136D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Osiguranik ne smije isplatiti </w:t>
            </w:r>
            <w:r w:rsidR="005049B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 Korisnik kredita </w:t>
            </w:r>
            <w:r w:rsidR="00C64891" w:rsidRPr="008224FB">
              <w:rPr>
                <w:rFonts w:ascii="Arial" w:hAnsi="Arial" w:cs="Arial"/>
                <w:sz w:val="20"/>
                <w:szCs w:val="20"/>
                <w:lang w:eastAsia="en-US"/>
              </w:rPr>
              <w:t>ne smij</w:t>
            </w:r>
            <w:r w:rsidR="005049B4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C64891" w:rsidRPr="008224F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koristiti</w:t>
            </w:r>
            <w:r w:rsidR="00C64891" w:rsidRPr="001A0E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C64891" w:rsidRPr="001A0E11">
              <w:rPr>
                <w:rFonts w:ascii="Arial" w:hAnsi="Arial" w:cs="Arial"/>
                <w:sz w:val="20"/>
                <w:szCs w:val="20"/>
                <w:lang w:eastAsia="en-US"/>
              </w:rPr>
              <w:t>za refinanciranje postojećih kredi</w:t>
            </w:r>
            <w:r w:rsidR="00DC2290" w:rsidRPr="001A0E11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C64891" w:rsidRPr="001A0E1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6C136D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kod Osiguranika ili drugih financijskih institucija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12352C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odnosno </w:t>
            </w:r>
            <w:r w:rsidR="006C136D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</w:t>
            </w:r>
            <w:r w:rsidR="00EA687C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prijevremeno podmirenje </w:t>
            </w:r>
            <w:r w:rsidR="0012352C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obveza </w:t>
            </w:r>
            <w:r w:rsidR="00EA687C" w:rsidRPr="001A0E11">
              <w:rPr>
                <w:rFonts w:ascii="Arial" w:hAnsi="Arial" w:cs="Arial"/>
                <w:sz w:val="20"/>
                <w:szCs w:val="20"/>
                <w:lang w:eastAsia="en-US"/>
              </w:rPr>
              <w:t>za postojeća zaduženja (kredite</w:t>
            </w:r>
            <w:r w:rsidR="00D257F4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leasinge i sl.)</w:t>
            </w:r>
            <w:r w:rsidR="00C64891" w:rsidRPr="001A0E1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9F3E4B6" w14:textId="5B42DAC2" w:rsidR="0012352C" w:rsidRPr="005B1CC3" w:rsidRDefault="006C136D" w:rsidP="005B1CC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</w:pPr>
            <w:bookmarkStart w:id="28" w:name="_Hlk74231286"/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Sredstva kredita Osiguranik smije isplatiti </w:t>
            </w:r>
            <w:r w:rsidR="005049B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 Korisnik kredita smije koristiti 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podmirenje obveza </w:t>
            </w:r>
            <w:bookmarkEnd w:id="28"/>
            <w:r w:rsidR="005B1CC3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koje redovno dospijevaju tijekom razdoblja korištenja Kredita </w:t>
            </w:r>
            <w:r w:rsidR="00CD09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ili su redovno dospjele prije razdoblja korištenja Kredita, </w:t>
            </w:r>
            <w:r w:rsidR="005B1CC3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prema </w:t>
            </w:r>
            <w:r w:rsidRPr="005B1CC3">
              <w:rPr>
                <w:rFonts w:ascii="Arial" w:hAnsi="Arial" w:cs="Arial"/>
                <w:sz w:val="20"/>
                <w:szCs w:val="20"/>
                <w:lang w:eastAsia="en-US"/>
              </w:rPr>
              <w:t>Osiguraniku i drugim financijskim institucijama</w:t>
            </w:r>
            <w:r w:rsidR="001A0E11" w:rsidRPr="005B1C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B1C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u skladu s otplatnim planovima u trenutku sklapanja </w:t>
            </w:r>
            <w:r w:rsidR="00CD0913">
              <w:rPr>
                <w:rFonts w:ascii="Arial" w:hAnsi="Arial" w:cs="Arial"/>
                <w:sz w:val="20"/>
                <w:szCs w:val="20"/>
                <w:lang w:eastAsia="en-US"/>
              </w:rPr>
              <w:t>tih u</w:t>
            </w:r>
            <w:r w:rsidRPr="005B1CC3">
              <w:rPr>
                <w:rFonts w:ascii="Arial" w:hAnsi="Arial" w:cs="Arial"/>
                <w:sz w:val="20"/>
                <w:szCs w:val="20"/>
                <w:lang w:eastAsia="en-US"/>
              </w:rPr>
              <w:t>govora o kreditu</w:t>
            </w:r>
            <w:r w:rsidR="0012352C" w:rsidRPr="005B1C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pri čemu najviši iznos Kredita koji se može </w:t>
            </w:r>
            <w:r w:rsidR="005049B4" w:rsidRPr="005B1CC3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F360CC" w:rsidRPr="005B1CC3">
              <w:rPr>
                <w:rFonts w:ascii="Arial" w:hAnsi="Arial" w:cs="Arial"/>
                <w:sz w:val="20"/>
                <w:szCs w:val="20"/>
                <w:lang w:eastAsia="en-US"/>
              </w:rPr>
              <w:t>splatiti</w:t>
            </w:r>
            <w:r w:rsidR="005049B4" w:rsidRPr="005B1C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koristiti</w:t>
            </w:r>
            <w:r w:rsidR="0012352C" w:rsidRPr="005B1C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 </w:t>
            </w:r>
            <w:r w:rsidR="00EA687C" w:rsidRPr="005B1C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podmirenje </w:t>
            </w:r>
            <w:r w:rsidR="0012352C" w:rsidRPr="005B1CC3">
              <w:rPr>
                <w:rFonts w:ascii="Arial" w:hAnsi="Arial" w:cs="Arial"/>
                <w:sz w:val="20"/>
                <w:szCs w:val="20"/>
                <w:lang w:eastAsia="en-US"/>
              </w:rPr>
              <w:t>tih obveza iznosi 35% ukupnog iznosa Kredita</w:t>
            </w:r>
            <w:r w:rsidR="00F360CC" w:rsidRPr="005B1CC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7C99F560" w14:textId="4B394EEE" w:rsidR="0012352C" w:rsidRPr="008219E9" w:rsidRDefault="00A678F6" w:rsidP="008219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</w:pP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Sredstva </w:t>
            </w:r>
            <w:r w:rsidR="0012352C" w:rsidRPr="001A0E11">
              <w:rPr>
                <w:rFonts w:ascii="Arial" w:hAnsi="Arial" w:cs="Arial"/>
                <w:sz w:val="20"/>
                <w:szCs w:val="20"/>
                <w:lang w:eastAsia="en-US"/>
              </w:rPr>
              <w:t>Kredit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12352C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360CC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Osiguranik smije isplatiti </w:t>
            </w:r>
            <w:r w:rsidR="005049B4">
              <w:rPr>
                <w:rFonts w:ascii="Arial" w:hAnsi="Arial" w:cs="Arial"/>
                <w:sz w:val="20"/>
                <w:szCs w:val="20"/>
                <w:lang w:eastAsia="en-US"/>
              </w:rPr>
              <w:t>te Korisnik kredita smije koristiti</w:t>
            </w:r>
            <w:r w:rsidR="0012352C" w:rsidRPr="00D62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za povrat sredstava </w:t>
            </w:r>
            <w:r w:rsidR="008219E9">
              <w:rPr>
                <w:rFonts w:ascii="Arial" w:hAnsi="Arial" w:cs="Arial"/>
                <w:sz w:val="20"/>
                <w:szCs w:val="20"/>
                <w:lang w:eastAsia="en-US"/>
              </w:rPr>
              <w:t>Korisniku kredita</w:t>
            </w:r>
            <w:r w:rsidR="008219E9" w:rsidRPr="00D62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2352C" w:rsidRPr="008219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(refundaciju) za troškove ranije plaćene od strane </w:t>
            </w:r>
            <w:r w:rsidR="008219E9">
              <w:rPr>
                <w:rFonts w:ascii="Arial" w:hAnsi="Arial" w:cs="Arial"/>
                <w:sz w:val="20"/>
                <w:szCs w:val="20"/>
                <w:lang w:eastAsia="en-US"/>
              </w:rPr>
              <w:t>Korisnika kredita</w:t>
            </w:r>
            <w:r w:rsidR="0012352C" w:rsidRPr="008219E9">
              <w:rPr>
                <w:rFonts w:ascii="Arial" w:hAnsi="Arial" w:cs="Arial"/>
                <w:sz w:val="20"/>
                <w:szCs w:val="20"/>
                <w:lang w:eastAsia="en-US"/>
              </w:rPr>
              <w:t>, a koji su nastali najranije 1. 3. 2020.</w:t>
            </w:r>
            <w:r w:rsidR="00D62AD1" w:rsidRPr="008219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</w:t>
            </w:r>
            <w:r w:rsidR="0012352C" w:rsidRPr="008219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koji su od strane Osiguranika ocijenjeni prihvatljivima u skladu s prihvatljivom namjenom Kredita u skladu s Programom osiguranja, pri čemu kod refundacije troškova </w:t>
            </w:r>
            <w:r w:rsidR="00D62BA0" w:rsidRPr="008219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plaćenih od strane </w:t>
            </w:r>
            <w:r w:rsidR="008219E9">
              <w:rPr>
                <w:rFonts w:ascii="Arial" w:hAnsi="Arial" w:cs="Arial"/>
                <w:sz w:val="20"/>
                <w:szCs w:val="20"/>
                <w:lang w:eastAsia="en-US"/>
              </w:rPr>
              <w:t>Korisnika kredita</w:t>
            </w:r>
            <w:r w:rsidR="00D62BA0" w:rsidRPr="008219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2352C" w:rsidRPr="008219E9">
              <w:rPr>
                <w:rFonts w:ascii="Arial" w:hAnsi="Arial" w:cs="Arial"/>
                <w:sz w:val="20"/>
                <w:szCs w:val="20"/>
                <w:lang w:eastAsia="en-US"/>
              </w:rPr>
              <w:t>prema financijskim institucijama</w:t>
            </w:r>
            <w:r w:rsidRPr="008219E9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12352C" w:rsidRPr="008219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iznos refundacije za te troškove može iznositi do najviše 35% ukupnog iznosa Kredita.</w:t>
            </w:r>
          </w:p>
          <w:p w14:paraId="31512C55" w14:textId="78B744F9" w:rsidR="005049B4" w:rsidRPr="008219E9" w:rsidRDefault="0012352C" w:rsidP="008219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</w:pP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plaćanje obveza prema financijskim institucijama iz prethodne dvije točke (podmirenje redovnih dospijeća i refundacije) može se koristiti </w:t>
            </w:r>
            <w:r w:rsidR="008219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zajedno </w:t>
            </w:r>
            <w:r w:rsidR="008219E9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najviše </w:t>
            </w:r>
            <w:r w:rsidRPr="008219E9">
              <w:rPr>
                <w:rFonts w:ascii="Arial" w:hAnsi="Arial" w:cs="Arial"/>
                <w:sz w:val="20"/>
                <w:szCs w:val="20"/>
                <w:lang w:eastAsia="en-US"/>
              </w:rPr>
              <w:t>35% ukupnog iznosa Kredita.</w:t>
            </w:r>
          </w:p>
          <w:p w14:paraId="094469D1" w14:textId="33102185" w:rsidR="005049B4" w:rsidRPr="00856A2F" w:rsidRDefault="00CD0913" w:rsidP="00856A2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</w:pPr>
            <w:bookmarkStart w:id="29" w:name="_Hlk74231248"/>
            <w:r>
              <w:rPr>
                <w:rFonts w:ascii="Arial" w:hAnsi="Arial" w:cs="Arial"/>
                <w:sz w:val="20"/>
                <w:szCs w:val="20"/>
                <w:lang w:eastAsia="en-US"/>
              </w:rPr>
              <w:t>Ako se sredstva Kredita isplaćuju u korist Korisnika kredita</w:t>
            </w:r>
            <w:r w:rsidR="004C2E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 Osiguranik inače po </w:t>
            </w:r>
            <w:r w:rsidR="004C2EBB" w:rsidRPr="004C2EBB">
              <w:rPr>
                <w:rFonts w:ascii="Arial" w:hAnsi="Arial" w:cs="Arial"/>
                <w:sz w:val="20"/>
                <w:szCs w:val="20"/>
                <w:lang w:eastAsia="en-US"/>
              </w:rPr>
              <w:t>propisima, svom standardn</w:t>
            </w:r>
            <w:r w:rsidR="004C2EBB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4C2EBB" w:rsidRPr="004C2E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  <w:r w:rsidR="004C2EBB">
              <w:rPr>
                <w:rFonts w:ascii="Arial" w:hAnsi="Arial" w:cs="Arial"/>
                <w:sz w:val="20"/>
                <w:szCs w:val="20"/>
                <w:lang w:eastAsia="en-US"/>
              </w:rPr>
              <w:t>postupanju</w:t>
            </w:r>
            <w:r w:rsidR="004C2EBB" w:rsidRPr="004C2E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 </w:t>
            </w:r>
            <w:r w:rsidR="004C2E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 </w:t>
            </w:r>
            <w:r w:rsidR="004C2EBB" w:rsidRPr="004C2E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Ugovoru o kreditu, </w:t>
            </w:r>
            <w:r w:rsidR="004C2EBB">
              <w:rPr>
                <w:rFonts w:ascii="Arial" w:hAnsi="Arial" w:cs="Arial"/>
                <w:sz w:val="20"/>
                <w:szCs w:val="20"/>
                <w:lang w:eastAsia="en-US"/>
              </w:rPr>
              <w:t>ne provjerava namjenu korištenja tih sredstava Kredita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856A2F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Osiguranik se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nakon isplate </w:t>
            </w:r>
            <w:r w:rsidR="005049B4" w:rsidRPr="00856A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oslobađa odgovornosti od daljnje </w:t>
            </w:r>
            <w:r w:rsidR="001A0E11" w:rsidRPr="00856A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provjere </w:t>
            </w:r>
            <w:r w:rsidR="005049B4" w:rsidRPr="00856A2F">
              <w:rPr>
                <w:rFonts w:ascii="Arial" w:hAnsi="Arial" w:cs="Arial"/>
                <w:sz w:val="20"/>
                <w:szCs w:val="20"/>
                <w:lang w:eastAsia="en-US"/>
              </w:rPr>
              <w:t>namjene.</w:t>
            </w:r>
            <w:bookmarkEnd w:id="29"/>
          </w:p>
        </w:tc>
      </w:tr>
      <w:bookmarkEnd w:id="27"/>
      <w:tr w:rsidR="00D30D80" w:rsidRPr="002B4007" w14:paraId="318D672C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204797C9" w14:textId="77777777" w:rsidR="00FF6111" w:rsidRPr="002B4007" w:rsidRDefault="00FF6111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 xml:space="preserve">Iznos 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4C38DB5F" w14:textId="2537ECED" w:rsidR="00972D7A" w:rsidRPr="002D5970" w:rsidRDefault="00972D7A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30" w:name="_Hlk36562131"/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Iznos kredita po jednom </w:t>
            </w:r>
            <w:r w:rsidR="00BD2E34" w:rsidRPr="002D5970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>orisniku kredita može iznositi najviše u visini:</w:t>
            </w:r>
          </w:p>
          <w:p w14:paraId="71FBB320" w14:textId="3C70637E" w:rsidR="00064C4E" w:rsidRPr="002D5970" w:rsidRDefault="00972D7A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>dvostruk</w:t>
            </w:r>
            <w:r w:rsidR="00A478E7" w:rsidRPr="002D5970">
              <w:rPr>
                <w:rFonts w:ascii="Arial" w:hAnsi="Arial" w:cs="Arial"/>
                <w:sz w:val="20"/>
                <w:szCs w:val="20"/>
                <w:lang w:eastAsia="en-US"/>
              </w:rPr>
              <w:t>ih godišnjih rashoda za</w:t>
            </w: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plaće Korisnika kredita </w:t>
            </w:r>
            <w:r w:rsidR="00A478E7"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(uključujući doprinose za socijalno osiguranje i trošak osoblja zaposlenog na lokaciji poduzetnika, ali formalno na platnoj listi podugovaratelja) </w:t>
            </w: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>u 2019. ili</w:t>
            </w:r>
            <w:r w:rsidR="00064C4E"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 zadnju dostupnu godinu. U slučaju poduzetnika osnovanih 1. 1. 2019. ili nakon tog datuma, maksimalni iznos kredita ne smije biti veći od procijenjenih godišnjih rashoda za plaće za prve dvije godine poslovanja</w:t>
            </w:r>
          </w:p>
          <w:p w14:paraId="2480920F" w14:textId="2995C6E3" w:rsidR="00064C4E" w:rsidRPr="002D5970" w:rsidRDefault="00064C4E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>ili</w:t>
            </w:r>
          </w:p>
          <w:p w14:paraId="73700E75" w14:textId="12FEBA2A" w:rsidR="00064C4E" w:rsidRPr="002D5970" w:rsidRDefault="00064C4E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25% </w:t>
            </w:r>
            <w:r w:rsidR="00973ADD">
              <w:rPr>
                <w:rFonts w:ascii="Arial" w:hAnsi="Arial" w:cs="Arial"/>
                <w:sz w:val="20"/>
                <w:szCs w:val="20"/>
                <w:lang w:eastAsia="en-US"/>
              </w:rPr>
              <w:t>ukup</w:t>
            </w:r>
            <w:r w:rsidR="00FD1800">
              <w:rPr>
                <w:rFonts w:ascii="Arial" w:hAnsi="Arial" w:cs="Arial"/>
                <w:sz w:val="20"/>
                <w:szCs w:val="20"/>
                <w:lang w:eastAsia="en-US"/>
              </w:rPr>
              <w:t>nih</w:t>
            </w: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</w:t>
            </w:r>
            <w:r w:rsidR="00815FDF">
              <w:rPr>
                <w:rFonts w:ascii="Arial" w:hAnsi="Arial" w:cs="Arial"/>
                <w:sz w:val="20"/>
                <w:szCs w:val="20"/>
                <w:lang w:eastAsia="en-US"/>
              </w:rPr>
              <w:t>ihoda</w:t>
            </w: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Korisnika kredita u 2019.</w:t>
            </w:r>
          </w:p>
          <w:p w14:paraId="2CE78382" w14:textId="77777777" w:rsidR="00064C4E" w:rsidRPr="002D5970" w:rsidRDefault="00064C4E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>ili</w:t>
            </w:r>
          </w:p>
          <w:p w14:paraId="0BF4F21C" w14:textId="2560FF1D" w:rsidR="00FF6111" w:rsidRPr="002D5970" w:rsidRDefault="00972D7A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potrebe Korisnika kredita za likvidnošću u sljedećih 12 mjeseci za velike poduzetnike, odnosno 18 mjeseci za male i srednje poduzetnike, </w:t>
            </w:r>
            <w:r w:rsidR="007F0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>sklad</w:t>
            </w:r>
            <w:r w:rsidR="007F0AD1">
              <w:rPr>
                <w:rFonts w:ascii="Arial" w:hAnsi="Arial" w:cs="Arial"/>
                <w:sz w:val="20"/>
                <w:szCs w:val="20"/>
                <w:lang w:eastAsia="en-US"/>
              </w:rPr>
              <w:t>u s</w:t>
            </w: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procjen</w:t>
            </w:r>
            <w:r w:rsidR="007F0AD1">
              <w:rPr>
                <w:rFonts w:ascii="Arial" w:hAnsi="Arial" w:cs="Arial"/>
                <w:sz w:val="20"/>
                <w:szCs w:val="20"/>
                <w:lang w:eastAsia="en-US"/>
              </w:rPr>
              <w:t>om</w:t>
            </w:r>
            <w:r w:rsidRPr="002D59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Korisnika kredita ili </w:t>
            </w:r>
            <w:r w:rsidR="001240F7" w:rsidRPr="002D5970">
              <w:rPr>
                <w:rFonts w:ascii="Arial" w:hAnsi="Arial" w:cs="Arial"/>
                <w:sz w:val="20"/>
                <w:szCs w:val="20"/>
                <w:lang w:eastAsia="en-US"/>
              </w:rPr>
              <w:t>Osiguranika</w:t>
            </w:r>
            <w:bookmarkEnd w:id="30"/>
            <w:r w:rsidR="009B43C1" w:rsidRPr="002D5970">
              <w:rPr>
                <w:rFonts w:ascii="Arial" w:hAnsi="Arial" w:cs="Arial"/>
                <w:sz w:val="20"/>
                <w:szCs w:val="20"/>
                <w:lang w:eastAsia="en-US"/>
              </w:rPr>
              <w:t>, koja se utvrđuje na temelju izjave Korisnika kredita</w:t>
            </w:r>
            <w:r w:rsidR="00064C4E" w:rsidRPr="002D597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20CAB6C0" w14:textId="77777777" w:rsidR="004719E4" w:rsidRPr="002B4007" w:rsidRDefault="004719E4" w:rsidP="00824F4F">
            <w:pPr>
              <w:pStyle w:val="ListParagraph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6D26F6AD" w14:textId="1DF4E2CB" w:rsidR="00724245" w:rsidRPr="002B4007" w:rsidRDefault="00724245" w:rsidP="00824F4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Glavnica kredita može se uvećati za trošak Premije</w:t>
            </w:r>
            <w:r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5389770D" w14:textId="6F55B3DB" w:rsidR="000C30F6" w:rsidRPr="002B4007" w:rsidRDefault="00B54A3E" w:rsidP="00824F4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</w:pPr>
            <w:r w:rsidRPr="002B40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>Korisnik kredita</w:t>
            </w:r>
            <w:r w:rsidR="000C30F6" w:rsidRPr="002B40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 xml:space="preserve"> za isti kredit </w:t>
            </w:r>
            <w:r w:rsidR="000C30F6" w:rsidRPr="002B400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ne smije primiti potporu u obliku subvencionirane kamatne stope za kredit </w:t>
            </w:r>
            <w:r w:rsidR="0071703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na </w:t>
            </w:r>
            <w:r w:rsidR="000C30F6" w:rsidRPr="002B400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temelj</w:t>
            </w:r>
            <w:r w:rsidR="0071703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u</w:t>
            </w:r>
            <w:r w:rsidR="000C30F6" w:rsidRPr="002B400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 </w:t>
            </w:r>
            <w:bookmarkStart w:id="31" w:name="_Hlk37335629"/>
            <w:r w:rsidR="00973A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p</w:t>
            </w:r>
            <w:r w:rsidRPr="002B400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oglavlja 3.3</w:t>
            </w:r>
            <w:r w:rsidRPr="009E41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. </w:t>
            </w:r>
            <w:r w:rsidR="000C30F6" w:rsidRPr="009E41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Komunikacije EK</w:t>
            </w:r>
            <w:bookmarkEnd w:id="31"/>
            <w:r w:rsidR="009E413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 xml:space="preserve"> (kod klupskog kredita, za dio kredita koji je odobren po komercijalnim uvjetima odnosno </w:t>
            </w:r>
            <w:r w:rsidR="009E413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lastRenderedPageBreak/>
              <w:t>bez potpore u obliku subvencionirane kamatne stope na temelju poglavlja 3.3. Komunikacije EK, može se koristiti Program osiguranja)</w:t>
            </w:r>
            <w:r w:rsidR="006E6EA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>.</w:t>
            </w:r>
          </w:p>
          <w:p w14:paraId="56D319A5" w14:textId="77777777" w:rsidR="00BD2E34" w:rsidRDefault="00BD2E34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96B43C" w14:textId="76BFE265" w:rsidR="005F0617" w:rsidRPr="002B4007" w:rsidRDefault="00787926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</w:t>
            </w:r>
            <w:r w:rsidR="005F0617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ko </w:t>
            </w:r>
            <w:r w:rsidR="00BD2E3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</w:t>
            </w:r>
            <w:r w:rsidR="00B54A3E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orisnik kredita </w:t>
            </w:r>
            <w:r w:rsidR="005F0617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koristi više kredita koji su osigurani Programom osiguranja ili koristi više kredita osiguranih </w:t>
            </w:r>
            <w:r w:rsidR="00730C63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drugim jamstvenim shemama</w:t>
            </w:r>
            <w:r w:rsidR="00ED3222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na temelju </w:t>
            </w:r>
            <w:r w:rsidR="00973AD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 w:rsidR="00ED3222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oglavlja 3.2. </w:t>
            </w:r>
            <w:r w:rsidR="00ED322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Komunikacije EK</w:t>
            </w:r>
            <w:r w:rsidR="00730C63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480F1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ili </w:t>
            </w:r>
            <w:r w:rsidR="00ED322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koristi </w:t>
            </w:r>
            <w:r w:rsidR="00480F1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potpor</w:t>
            </w:r>
            <w:r w:rsidR="00ED322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e</w:t>
            </w:r>
            <w:r w:rsidR="00480F1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ED322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u obliku subvencionirane kamatne stope </w:t>
            </w:r>
            <w:r w:rsidR="005F0617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na temelju</w:t>
            </w:r>
            <w:r w:rsidR="00480F1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973AD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 w:rsidR="00480F12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oglavlja 3.3. </w:t>
            </w:r>
            <w:r w:rsidR="005F0617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Komunikacije EK</w:t>
            </w:r>
            <w:r w:rsidR="00BD2E3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="00B54A3E"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B54A3E" w:rsidRPr="002B40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ukupan iznos svih kredita ne smije prelaziti maksimalne iznose </w:t>
            </w:r>
            <w:r w:rsidR="00ED32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kredita </w:t>
            </w:r>
            <w:r w:rsidR="00B54A3E" w:rsidRPr="002B40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iz prethodnih točaka</w:t>
            </w:r>
            <w:r w:rsidR="00B54A3E" w:rsidRPr="00157D7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30D80" w:rsidRPr="002B4007" w14:paraId="6C11C397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8BBC2C0" w14:textId="77777777" w:rsidR="00FF6111" w:rsidRPr="002B4007" w:rsidRDefault="00FF6111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 xml:space="preserve">Valuta 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762B0954" w14:textId="334EE8D9" w:rsidR="00FF6111" w:rsidRPr="002B4007" w:rsidRDefault="00C13362" w:rsidP="00824F4F">
            <w:pPr>
              <w:pStyle w:val="ListParagraph"/>
              <w:spacing w:line="276" w:lineRule="auto"/>
              <w:ind w:left="31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FF6111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HRK i uz valutnu klauzulu vezanu za EUR</w:t>
            </w:r>
          </w:p>
        </w:tc>
      </w:tr>
      <w:tr w:rsidR="00972D7A" w:rsidRPr="002B4007" w14:paraId="389398B2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00895D3D" w14:textId="3A5D34A7" w:rsidR="00972D7A" w:rsidRPr="002B4007" w:rsidRDefault="000C30F6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>Trajanje kredita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3D79F488" w14:textId="7617A17E" w:rsidR="009C7E4E" w:rsidRDefault="0095121E" w:rsidP="00824F4F">
            <w:pPr>
              <w:pStyle w:val="ListParagraph"/>
              <w:spacing w:line="276" w:lineRule="auto"/>
              <w:ind w:left="31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CharStyle34"/>
                <w:rFonts w:ascii="Arial" w:hAnsi="Arial" w:cs="Arial"/>
                <w:sz w:val="20"/>
                <w:szCs w:val="20"/>
              </w:rPr>
              <w:t>V</w:t>
            </w:r>
            <w:r w:rsidR="000C30F6" w:rsidRPr="002B4007">
              <w:rPr>
                <w:rStyle w:val="CharStyle34"/>
                <w:rFonts w:ascii="Arial" w:hAnsi="Arial" w:cs="Arial"/>
                <w:sz w:val="20"/>
                <w:szCs w:val="20"/>
              </w:rPr>
              <w:t>remensko razdoblje od dana sklapanja Ugovora o kreditu do zadnjeg dana Roka otplate kredita</w:t>
            </w:r>
            <w:r w:rsidR="00BA4D93">
              <w:rPr>
                <w:rStyle w:val="CharStyle34"/>
                <w:rFonts w:ascii="Arial" w:hAnsi="Arial" w:cs="Arial"/>
                <w:sz w:val="20"/>
                <w:szCs w:val="20"/>
              </w:rPr>
              <w:t>,</w:t>
            </w:r>
            <w:r w:rsidR="000C30F6" w:rsidRPr="002B4007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koje uključuje razdoblje korištenja kredita</w:t>
            </w:r>
            <w:r w:rsidR="00944D6B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i Rok otplate kredita. Rok otplate kredita uključuje</w:t>
            </w:r>
            <w:r w:rsidR="000C30F6" w:rsidRPr="002B4007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poček do </w:t>
            </w:r>
            <w:r w:rsidR="00D24788">
              <w:rPr>
                <w:rStyle w:val="CharStyle34"/>
                <w:rFonts w:ascii="Arial" w:hAnsi="Arial" w:cs="Arial"/>
                <w:sz w:val="20"/>
                <w:szCs w:val="20"/>
              </w:rPr>
              <w:t>jedne</w:t>
            </w:r>
            <w:r w:rsidR="000C30F6" w:rsidRPr="002B4007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godine i otplat</w:t>
            </w:r>
            <w:r w:rsidR="00944D6B">
              <w:rPr>
                <w:rStyle w:val="CharStyle34"/>
                <w:rFonts w:ascii="Arial" w:hAnsi="Arial" w:cs="Arial"/>
                <w:sz w:val="20"/>
                <w:szCs w:val="20"/>
              </w:rPr>
              <w:t>u</w:t>
            </w:r>
            <w:r w:rsidR="000C30F6" w:rsidRPr="002B4007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kredita </w:t>
            </w:r>
            <w:r w:rsidR="00972D7A" w:rsidRPr="002B4007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D24788">
              <w:rPr>
                <w:rFonts w:ascii="Arial" w:hAnsi="Arial" w:cs="Arial"/>
                <w:bCs/>
                <w:sz w:val="20"/>
                <w:szCs w:val="20"/>
              </w:rPr>
              <w:t>pet</w:t>
            </w:r>
            <w:r w:rsidR="00972D7A" w:rsidRPr="002B4007">
              <w:rPr>
                <w:rFonts w:ascii="Arial" w:hAnsi="Arial" w:cs="Arial"/>
                <w:bCs/>
                <w:sz w:val="20"/>
                <w:szCs w:val="20"/>
              </w:rPr>
              <w:t xml:space="preserve"> godina</w:t>
            </w:r>
            <w:r w:rsidR="00BA4D9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BA4D93" w:rsidRPr="00BA4D93">
              <w:rPr>
                <w:rFonts w:ascii="Arial" w:hAnsi="Arial" w:cs="Arial"/>
                <w:bCs/>
                <w:sz w:val="20"/>
                <w:szCs w:val="20"/>
              </w:rPr>
              <w:t>pri čemu ni u kojem slučaju Trajanje kredita ne može biti duže od šest godina</w:t>
            </w:r>
            <w:r w:rsidR="00BA4D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722AEAA" w14:textId="5B597661" w:rsidR="00972D7A" w:rsidRPr="002B4007" w:rsidRDefault="009C7E4E" w:rsidP="00824F4F">
            <w:pPr>
              <w:pStyle w:val="ListParagraph"/>
              <w:spacing w:line="276" w:lineRule="auto"/>
              <w:ind w:left="31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Style w:val="CharStyle34"/>
              </w:rPr>
              <w:t>O</w:t>
            </w:r>
            <w:r w:rsidR="003D2197" w:rsidRPr="002B4007">
              <w:rPr>
                <w:rFonts w:ascii="Arial" w:hAnsi="Arial" w:cs="Arial"/>
                <w:bCs/>
                <w:sz w:val="20"/>
                <w:szCs w:val="20"/>
              </w:rPr>
              <w:t>tplata kamata može biti mjesečno, tromjesečno ili godišnje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72D7A" w:rsidRPr="002B4007" w14:paraId="7E03E08F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155BA3C" w14:textId="77777777" w:rsidR="00972D7A" w:rsidRPr="002B4007" w:rsidRDefault="00972D7A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>Ostalo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562AF9EA" w14:textId="5454E89E" w:rsidR="00972D7A" w:rsidRDefault="005713CF" w:rsidP="00824F4F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</w:pPr>
            <w:r w:rsidRPr="002B4007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 xml:space="preserve">Osiguranik može uključiti u Portfelj samo one kredite čiji su Ugovori o kreditu </w:t>
            </w:r>
            <w:r w:rsidR="00824F4F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>zaključeni</w:t>
            </w:r>
            <w:r w:rsidR="00824F4F" w:rsidRPr="002B4007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 xml:space="preserve"> </w:t>
            </w:r>
            <w:r w:rsidRPr="002B4007"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  <w:t>tijekom trajanja Sporazuma o osiguranju portfelja pri čemu se Krediti u Portfelj moraju uključiti u cijelom iznosu njihove glavnice.</w:t>
            </w:r>
          </w:p>
          <w:p w14:paraId="410937D3" w14:textId="77777777" w:rsidR="006F7478" w:rsidRDefault="006F7478" w:rsidP="00824F4F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hr-HR"/>
              </w:rPr>
            </w:pPr>
          </w:p>
          <w:p w14:paraId="595DC964" w14:textId="0B5BA1C0" w:rsidR="00F94685" w:rsidRPr="005D3138" w:rsidRDefault="00FD1800" w:rsidP="00824F4F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Osiguranik može uključiti u Portfelj k</w:t>
            </w:r>
            <w:r w:rsidR="002901C4">
              <w:rPr>
                <w:rFonts w:ascii="Arial" w:hAnsi="Arial" w:cs="Arial"/>
                <w:bCs/>
                <w:sz w:val="20"/>
                <w:szCs w:val="20"/>
              </w:rPr>
              <w:t>redit</w:t>
            </w:r>
            <w:r w:rsidR="002901C4" w:rsidRPr="006F74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3138">
              <w:rPr>
                <w:rFonts w:ascii="Arial" w:hAnsi="Arial" w:cs="Arial"/>
                <w:bCs/>
                <w:sz w:val="20"/>
                <w:szCs w:val="20"/>
              </w:rPr>
              <w:t xml:space="preserve">koji </w:t>
            </w:r>
            <w:r w:rsidR="002901C4" w:rsidRPr="006F7478">
              <w:rPr>
                <w:rFonts w:ascii="Arial" w:hAnsi="Arial" w:cs="Arial"/>
                <w:bCs/>
                <w:sz w:val="20"/>
                <w:szCs w:val="20"/>
              </w:rPr>
              <w:t>iznos</w:t>
            </w:r>
            <w:r w:rsidR="005D3138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901C4" w:rsidRPr="006F7478">
              <w:rPr>
                <w:rFonts w:ascii="Arial" w:hAnsi="Arial" w:cs="Arial"/>
                <w:bCs/>
                <w:sz w:val="20"/>
                <w:szCs w:val="20"/>
              </w:rPr>
              <w:t xml:space="preserve"> 37 milijuna HRK ili više, ili u </w:t>
            </w:r>
            <w:r w:rsidR="006A1188">
              <w:rPr>
                <w:rFonts w:ascii="Arial" w:hAnsi="Arial" w:cs="Arial"/>
                <w:bCs/>
                <w:sz w:val="20"/>
                <w:szCs w:val="20"/>
              </w:rPr>
              <w:t>istoj p</w:t>
            </w:r>
            <w:r w:rsidR="002901C4" w:rsidRPr="006F7478">
              <w:rPr>
                <w:rFonts w:ascii="Arial" w:hAnsi="Arial" w:cs="Arial"/>
                <w:bCs/>
                <w:sz w:val="20"/>
                <w:szCs w:val="20"/>
              </w:rPr>
              <w:t>rotuvrijednosti po srednjem tečaju HNB-a za EUR koji se primjenjuje na dan zaključenja Sporazuma o osiguranju portfelja</w:t>
            </w:r>
            <w:r w:rsidR="00ED3222">
              <w:rPr>
                <w:rFonts w:ascii="Arial" w:hAnsi="Arial" w:cs="Arial"/>
                <w:bCs/>
                <w:sz w:val="20"/>
                <w:szCs w:val="20"/>
              </w:rPr>
              <w:t xml:space="preserve"> između Osiguratelja i Osiguranika</w:t>
            </w:r>
            <w:r w:rsidR="002901C4" w:rsidRPr="006F747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F7478" w:rsidRPr="006F7478">
              <w:rPr>
                <w:rFonts w:ascii="Arial" w:hAnsi="Arial" w:cs="Arial"/>
                <w:bCs/>
                <w:sz w:val="20"/>
                <w:szCs w:val="20"/>
              </w:rPr>
              <w:t xml:space="preserve">uz pokriće veće od 50% </w:t>
            </w:r>
            <w:r w:rsidR="002901C4">
              <w:rPr>
                <w:rFonts w:ascii="Arial" w:hAnsi="Arial" w:cs="Arial"/>
                <w:bCs/>
                <w:sz w:val="20"/>
                <w:szCs w:val="20"/>
              </w:rPr>
              <w:t>samo ako je</w:t>
            </w:r>
            <w:r w:rsidR="002901C4" w:rsidRPr="006F74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F7478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6F7478" w:rsidRPr="006F7478">
              <w:rPr>
                <w:rFonts w:ascii="Arial" w:hAnsi="Arial" w:cs="Arial"/>
                <w:bCs/>
                <w:sz w:val="20"/>
                <w:szCs w:val="20"/>
              </w:rPr>
              <w:t>Osigura</w:t>
            </w:r>
            <w:r w:rsidR="004908E2">
              <w:rPr>
                <w:rFonts w:ascii="Arial" w:hAnsi="Arial" w:cs="Arial"/>
                <w:bCs/>
                <w:sz w:val="20"/>
                <w:szCs w:val="20"/>
              </w:rPr>
              <w:t>telja</w:t>
            </w:r>
            <w:r w:rsidR="006F7478">
              <w:rPr>
                <w:rFonts w:ascii="Arial" w:hAnsi="Arial" w:cs="Arial"/>
                <w:bCs/>
                <w:sz w:val="20"/>
                <w:szCs w:val="20"/>
              </w:rPr>
              <w:t xml:space="preserve"> dobio</w:t>
            </w:r>
            <w:r w:rsidR="006F7478" w:rsidRPr="006F7478">
              <w:rPr>
                <w:rFonts w:ascii="Arial" w:hAnsi="Arial" w:cs="Arial"/>
                <w:bCs/>
                <w:sz w:val="20"/>
                <w:szCs w:val="20"/>
              </w:rPr>
              <w:t xml:space="preserve"> prethodnu suglasnost za uključivanje </w:t>
            </w:r>
            <w:r w:rsidR="005D3138">
              <w:rPr>
                <w:rFonts w:ascii="Arial" w:hAnsi="Arial" w:cs="Arial"/>
                <w:bCs/>
                <w:sz w:val="20"/>
                <w:szCs w:val="20"/>
              </w:rPr>
              <w:t xml:space="preserve">predmetnog kredita </w:t>
            </w:r>
            <w:r w:rsidR="006F7478" w:rsidRPr="006F7478"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="006F747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F7478" w:rsidRPr="006F7478">
              <w:rPr>
                <w:rFonts w:ascii="Arial" w:hAnsi="Arial" w:cs="Arial"/>
                <w:bCs/>
                <w:sz w:val="20"/>
                <w:szCs w:val="20"/>
              </w:rPr>
              <w:t>ortfelj.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3138">
              <w:rPr>
                <w:rFonts w:ascii="Arial" w:hAnsi="Arial" w:cs="Arial"/>
                <w:bCs/>
                <w:sz w:val="20"/>
                <w:szCs w:val="20"/>
              </w:rPr>
              <w:t xml:space="preserve">Ovu suglasnost Osiguranik će od Osiguratelja zatražiti </w:t>
            </w:r>
            <w:r w:rsidR="002901C4" w:rsidRPr="00F94685">
              <w:rPr>
                <w:rFonts w:ascii="Arial" w:hAnsi="Arial" w:cs="Arial"/>
                <w:sz w:val="20"/>
                <w:szCs w:val="20"/>
              </w:rPr>
              <w:t xml:space="preserve">putem propisanog obrasca </w:t>
            </w:r>
            <w:r w:rsidR="005D3138">
              <w:rPr>
                <w:rFonts w:ascii="Arial" w:hAnsi="Arial" w:cs="Arial"/>
                <w:sz w:val="20"/>
                <w:szCs w:val="20"/>
              </w:rPr>
              <w:t>z</w:t>
            </w:r>
            <w:r w:rsidR="002901C4" w:rsidRPr="00F94685">
              <w:rPr>
                <w:rFonts w:ascii="Arial" w:hAnsi="Arial" w:cs="Arial"/>
                <w:sz w:val="20"/>
                <w:szCs w:val="20"/>
              </w:rPr>
              <w:t>ahtjeva</w:t>
            </w:r>
            <w:r w:rsidR="002901C4">
              <w:rPr>
                <w:rFonts w:ascii="Arial" w:hAnsi="Arial" w:cs="Arial"/>
                <w:sz w:val="20"/>
                <w:szCs w:val="20"/>
              </w:rPr>
              <w:t xml:space="preserve"> za suglasnost</w:t>
            </w:r>
            <w:r w:rsidR="002901C4" w:rsidRPr="00F9468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D3138">
              <w:rPr>
                <w:rFonts w:ascii="Arial" w:hAnsi="Arial" w:cs="Arial"/>
                <w:sz w:val="20"/>
                <w:szCs w:val="20"/>
              </w:rPr>
              <w:t xml:space="preserve">Prilog </w:t>
            </w:r>
            <w:r w:rsidR="00811756">
              <w:rPr>
                <w:rFonts w:ascii="Arial" w:hAnsi="Arial" w:cs="Arial"/>
                <w:sz w:val="20"/>
                <w:szCs w:val="20"/>
              </w:rPr>
              <w:t>1</w:t>
            </w:r>
            <w:r w:rsidR="0061630F" w:rsidRPr="0061630F">
              <w:rPr>
                <w:rFonts w:ascii="Arial" w:hAnsi="Arial" w:cs="Arial"/>
                <w:sz w:val="20"/>
                <w:szCs w:val="20"/>
              </w:rPr>
              <w:t>1</w:t>
            </w:r>
            <w:r w:rsidR="00157D72">
              <w:rPr>
                <w:rFonts w:ascii="Arial" w:hAnsi="Arial" w:cs="Arial"/>
                <w:sz w:val="20"/>
                <w:szCs w:val="20"/>
              </w:rPr>
              <w:t xml:space="preserve"> Sporazumu o osiguranju portfelja</w:t>
            </w:r>
            <w:r w:rsidR="002901C4" w:rsidRPr="00F9468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5D3138">
              <w:rPr>
                <w:rFonts w:ascii="Arial" w:hAnsi="Arial" w:cs="Arial"/>
                <w:sz w:val="20"/>
                <w:szCs w:val="20"/>
              </w:rPr>
              <w:t xml:space="preserve">na koji će se Osiguratelj pisano očitovati </w:t>
            </w:r>
            <w:r w:rsidR="00ED3222">
              <w:rPr>
                <w:rFonts w:ascii="Arial" w:hAnsi="Arial" w:cs="Arial"/>
                <w:sz w:val="20"/>
                <w:szCs w:val="20"/>
              </w:rPr>
              <w:t xml:space="preserve">najkasnije </w:t>
            </w:r>
            <w:r w:rsidR="005D3138">
              <w:rPr>
                <w:rFonts w:ascii="Arial" w:hAnsi="Arial" w:cs="Arial"/>
                <w:sz w:val="20"/>
                <w:szCs w:val="20"/>
              </w:rPr>
              <w:t xml:space="preserve">u roku </w:t>
            </w:r>
            <w:r w:rsidR="00ED3222">
              <w:rPr>
                <w:rFonts w:ascii="Arial" w:hAnsi="Arial" w:cs="Arial"/>
                <w:sz w:val="20"/>
                <w:szCs w:val="20"/>
              </w:rPr>
              <w:t>30</w:t>
            </w:r>
            <w:r w:rsidR="00123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222">
              <w:rPr>
                <w:rFonts w:ascii="Arial" w:hAnsi="Arial" w:cs="Arial"/>
                <w:sz w:val="20"/>
                <w:szCs w:val="20"/>
              </w:rPr>
              <w:t>kalendarskih</w:t>
            </w:r>
            <w:r w:rsidR="005D3138">
              <w:rPr>
                <w:rFonts w:ascii="Arial" w:hAnsi="Arial" w:cs="Arial"/>
                <w:sz w:val="20"/>
                <w:szCs w:val="20"/>
              </w:rPr>
              <w:t xml:space="preserve"> dana od zaprimanja potpunog zahtjeva.</w:t>
            </w:r>
          </w:p>
        </w:tc>
      </w:tr>
    </w:tbl>
    <w:p w14:paraId="75CAC8FB" w14:textId="77777777" w:rsidR="00BE2174" w:rsidRPr="002B4007" w:rsidRDefault="00BE217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8D28E9" w14:textId="77777777" w:rsidR="00053258" w:rsidRPr="002B4007" w:rsidRDefault="00053258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DA9A969" w14:textId="77777777" w:rsidR="00157D72" w:rsidRDefault="00157D7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hAnsi="Arial" w:cs="Arial"/>
          <w:b/>
          <w:sz w:val="20"/>
          <w:szCs w:val="20"/>
          <w:lang w:bidi="hr-HR"/>
        </w:rPr>
        <w:t>Kriteriji prihvatljivosti za izmjenu roka otplate kredita zbog poslovnih razloga</w:t>
      </w:r>
    </w:p>
    <w:p w14:paraId="111941BE" w14:textId="50E55652" w:rsidR="007A586B" w:rsidRPr="002B4007" w:rsidRDefault="007A586B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hr-HR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U nastavku su navedeni </w:t>
      </w:r>
      <w:r w:rsidRPr="002B4007">
        <w:rPr>
          <w:rFonts w:ascii="Arial" w:hAnsi="Arial" w:cs="Arial"/>
          <w:b/>
          <w:sz w:val="20"/>
          <w:szCs w:val="20"/>
          <w:lang w:bidi="hr-HR"/>
        </w:rPr>
        <w:t xml:space="preserve">Kriteriji prihvatljivosti za </w:t>
      </w:r>
      <w:r w:rsidR="00E37E28" w:rsidRPr="002B4007">
        <w:rPr>
          <w:rFonts w:ascii="Arial" w:hAnsi="Arial" w:cs="Arial"/>
          <w:b/>
          <w:sz w:val="20"/>
          <w:szCs w:val="20"/>
          <w:lang w:bidi="hr-HR"/>
        </w:rPr>
        <w:t>izmjenu roka otplate kredita zbog poslovnih razloga</w:t>
      </w:r>
      <w:r w:rsidR="00E37E28" w:rsidRPr="002B4007">
        <w:rPr>
          <w:rFonts w:ascii="Arial" w:hAnsi="Arial" w:cs="Arial"/>
          <w:sz w:val="20"/>
          <w:szCs w:val="20"/>
          <w:lang w:bidi="hr-HR"/>
        </w:rPr>
        <w:t xml:space="preserve">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koji moraju biti ispunjeni </w:t>
      </w:r>
      <w:r w:rsidR="00E37E28" w:rsidRPr="002B4007">
        <w:rPr>
          <w:rFonts w:ascii="Arial" w:hAnsi="Arial" w:cs="Arial"/>
          <w:sz w:val="20"/>
          <w:szCs w:val="20"/>
        </w:rPr>
        <w:t>da bi Osiguranik mogao samostalno izmijeniti Rok otplate kredita u slučaju Izmjen</w:t>
      </w:r>
      <w:r w:rsidR="002D5243" w:rsidRPr="002B4007">
        <w:rPr>
          <w:rFonts w:ascii="Arial" w:hAnsi="Arial" w:cs="Arial"/>
          <w:sz w:val="20"/>
          <w:szCs w:val="20"/>
        </w:rPr>
        <w:t>e</w:t>
      </w:r>
      <w:r w:rsidR="00E37E28" w:rsidRPr="002B4007">
        <w:rPr>
          <w:rFonts w:ascii="Arial" w:hAnsi="Arial" w:cs="Arial"/>
          <w:sz w:val="20"/>
          <w:szCs w:val="20"/>
        </w:rPr>
        <w:t xml:space="preserve"> roka otplate kredita zbog poslovnih razloga</w:t>
      </w:r>
      <w:r w:rsidR="00C84E9D" w:rsidRPr="002B4007">
        <w:rPr>
          <w:rFonts w:ascii="Arial" w:hAnsi="Arial" w:cs="Arial"/>
          <w:sz w:val="20"/>
          <w:szCs w:val="20"/>
        </w:rPr>
        <w:t xml:space="preserve"> te da bi </w:t>
      </w:r>
      <w:r w:rsidR="00E37E28" w:rsidRPr="002B4007">
        <w:rPr>
          <w:rFonts w:ascii="Arial" w:hAnsi="Arial" w:cs="Arial"/>
          <w:sz w:val="20"/>
          <w:szCs w:val="20"/>
        </w:rPr>
        <w:t>Kredit bio osiguran:</w:t>
      </w:r>
    </w:p>
    <w:p w14:paraId="10FBCBD3" w14:textId="77777777" w:rsidR="00A906DD" w:rsidRPr="002B4007" w:rsidRDefault="00A906D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C7212A" w14:textId="77777777" w:rsidR="00B04217" w:rsidRPr="002B4007" w:rsidRDefault="005007D9" w:rsidP="00824F4F">
      <w:pPr>
        <w:pStyle w:val="ListParagraph"/>
        <w:numPr>
          <w:ilvl w:val="0"/>
          <w:numId w:val="20"/>
        </w:numPr>
        <w:spacing w:line="276" w:lineRule="auto"/>
        <w:ind w:left="426" w:hanging="426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KRITERIJI PRIHVATLJIVOSTI ZA</w:t>
      </w:r>
      <w:r w:rsidR="002B2663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IZMJENU ROKA OTPLATE KREDITA</w:t>
      </w:r>
      <w:r w:rsidR="001548BA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ZBOG POSLOVNIH RAZLOGA</w:t>
      </w:r>
      <w:r w:rsidR="00C65341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405014FC" w14:textId="77777777" w:rsidR="00BD4CC8" w:rsidRPr="002B4007" w:rsidRDefault="00BD4CC8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41E162" w14:textId="6276B56D" w:rsidR="00BD4CC8" w:rsidRPr="002B4007" w:rsidRDefault="00BD4CC8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2.1. U ODNOSU NA IZVOZNIKA</w:t>
      </w:r>
      <w:r w:rsidR="00ED3868"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>(KORISNIKA KREDITA)</w:t>
      </w:r>
    </w:p>
    <w:p w14:paraId="097064A4" w14:textId="2E653AB6" w:rsidR="00BD4CC8" w:rsidRPr="002B4007" w:rsidRDefault="00BD4CC8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>Svi prethodno navedeni pod 1.1.1. Kriteriji prihvatljivosti za uključenje kredita u portfelj u odnosu na Izvoznika</w:t>
      </w:r>
      <w:r w:rsidR="00ED3868"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(Korisnika kredita) </w:t>
      </w:r>
      <w:r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>moraju biti ispunjeni na dan odobrenja Izmjene roka otplate kredita zbog poslovnih razloga</w:t>
      </w:r>
      <w:r w:rsidR="005D2795">
        <w:rPr>
          <w:rFonts w:ascii="Arial" w:eastAsia="Calibri" w:hAnsi="Arial" w:cs="Arial"/>
          <w:sz w:val="20"/>
          <w:szCs w:val="20"/>
          <w:u w:val="single"/>
          <w:lang w:eastAsia="en-US"/>
        </w:rPr>
        <w:t>, pri čemu će se relevantnom smatrati dokumentacija iz koje je Osiguranik navedeno utvrdio prilikom obrade zahtjeva za izmjenu roka otplate kredita</w:t>
      </w:r>
      <w:r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>.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7D19A9B" w14:textId="77777777" w:rsidR="006E581B" w:rsidRPr="002B4007" w:rsidRDefault="006E581B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F24FA88" w14:textId="77777777" w:rsidR="00BD4CC8" w:rsidRPr="002B4007" w:rsidRDefault="00BD4CC8" w:rsidP="00824F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b/>
          <w:sz w:val="20"/>
          <w:szCs w:val="20"/>
          <w:lang w:eastAsia="en-US"/>
        </w:rPr>
        <w:t xml:space="preserve">2.2. U ODNOSU NA KREDIT </w:t>
      </w:r>
    </w:p>
    <w:p w14:paraId="48AC2586" w14:textId="77777777" w:rsidR="00BD4CC8" w:rsidRPr="002B4007" w:rsidRDefault="00BD4CC8" w:rsidP="00824F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F2851BC" w14:textId="03010483" w:rsidR="000100B7" w:rsidRPr="002B4007" w:rsidRDefault="000100B7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Sljedeći Kriteriji u odnosu na Kredit </w:t>
      </w:r>
      <w:r w:rsidRPr="002B4007">
        <w:rPr>
          <w:rFonts w:ascii="Arial" w:eastAsia="Calibri" w:hAnsi="Arial" w:cs="Arial"/>
          <w:sz w:val="20"/>
          <w:szCs w:val="20"/>
          <w:u w:val="single"/>
          <w:lang w:eastAsia="en-US"/>
        </w:rPr>
        <w:t>moraju biti ispunjeni na dan odobrenja Izmjene roka otplate kredita zbog poslovnih razloga</w:t>
      </w:r>
      <w:r w:rsidR="005D2795">
        <w:rPr>
          <w:rFonts w:ascii="Arial" w:eastAsia="Calibri" w:hAnsi="Arial" w:cs="Arial"/>
          <w:sz w:val="20"/>
          <w:szCs w:val="20"/>
          <w:u w:val="single"/>
          <w:lang w:eastAsia="en-US"/>
        </w:rPr>
        <w:t>, pri čemu će se relevantnom smatrati dokumentacija iz koje je Osiguranik navedeno utvrdio prilikom obrade zahtjeva za izmjenu roka otplate kredita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18D45AC9" w14:textId="77777777" w:rsidR="00A96E05" w:rsidRPr="002B4007" w:rsidRDefault="00A96E05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D30D80" w:rsidRPr="002B4007" w14:paraId="263E0163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  <w:right w:val="nil"/>
            </w:tcBorders>
            <w:tcMar>
              <w:top w:w="113" w:type="dxa"/>
              <w:bottom w:w="113" w:type="dxa"/>
            </w:tcMar>
          </w:tcPr>
          <w:p w14:paraId="25ABA16B" w14:textId="77777777" w:rsidR="00A96E05" w:rsidRPr="002B4007" w:rsidRDefault="00A96E05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Vrsta </w:t>
            </w:r>
          </w:p>
        </w:tc>
        <w:tc>
          <w:tcPr>
            <w:tcW w:w="7371" w:type="dxa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445C5BE4" w14:textId="77777777" w:rsidR="00A96E05" w:rsidRPr="002B4007" w:rsidRDefault="00C84E9D" w:rsidP="00824F4F">
            <w:pPr>
              <w:pStyle w:val="ListParagraph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31"/>
              <w:contextualSpacing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="00A96E05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ojedinačni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A96E05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okvirni ili revolving krediti</w:t>
            </w:r>
          </w:p>
        </w:tc>
      </w:tr>
      <w:tr w:rsidR="00D30D80" w:rsidRPr="002B4007" w14:paraId="29F5C477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33C7F859" w14:textId="77777777" w:rsidR="00A96E05" w:rsidRPr="002B4007" w:rsidRDefault="00A96E05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 xml:space="preserve">Namjena 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628FE1B2" w14:textId="6E82B1B3" w:rsidR="00A96E05" w:rsidRDefault="00ED3868" w:rsidP="0012352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Krediti moraju biti novi krediti za likvidnost</w:t>
            </w:r>
            <w:r w:rsidR="00C64891"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4D875EBF" w14:textId="534C7055" w:rsidR="0012352C" w:rsidRDefault="00973ADD" w:rsidP="00D62BA0">
            <w:pPr>
              <w:pStyle w:val="ListParagraph"/>
              <w:numPr>
                <w:ilvl w:val="0"/>
                <w:numId w:val="29"/>
              </w:numPr>
              <w:tabs>
                <w:tab w:val="left" w:pos="6900"/>
              </w:tabs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Sredstva 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Kredit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D62AD1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Osiguranik ne smije isplatiti </w:t>
            </w:r>
            <w:r w:rsidR="00D62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 Korisnik kredita 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 smij</w:t>
            </w:r>
            <w:r w:rsidR="00D62A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koristiti za refinanciranje postojećih kredita</w:t>
            </w:r>
            <w:r w:rsidR="00D62A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D62AD1" w:rsidRPr="001A0E11">
              <w:rPr>
                <w:rFonts w:ascii="Arial" w:hAnsi="Arial" w:cs="Arial"/>
                <w:sz w:val="20"/>
                <w:szCs w:val="20"/>
                <w:lang w:eastAsia="en-US"/>
              </w:rPr>
              <w:t>kod Osiguranika ili drugih financijskih institucija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12352C" w:rsidRPr="001235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odnosno </w:t>
            </w:r>
            <w:r w:rsidR="00D62A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</w:t>
            </w:r>
            <w:r w:rsidR="00EA68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prijevremeno </w:t>
            </w:r>
            <w:r w:rsidR="00D62B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podmirenje</w:t>
            </w:r>
            <w:r w:rsidR="00EA68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EA687C" w:rsidRPr="001235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obveza </w:t>
            </w:r>
            <w:r w:rsidR="00EA68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postojeća zaduženja (kredite</w:t>
            </w:r>
            <w:r w:rsidR="00D62B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leasinge i sl.</w:t>
            </w:r>
            <w:r w:rsidR="00EA68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5E25DB46" w14:textId="07DEB58C" w:rsidR="00D62AD1" w:rsidRPr="001A0E11" w:rsidRDefault="00973ADD" w:rsidP="00D62AD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Sredstva Kredita</w:t>
            </w:r>
            <w:r w:rsidR="00D62A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D62AD1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Osiguranik smije isplatiti </w:t>
            </w:r>
            <w:r w:rsidR="00D62AD1">
              <w:rPr>
                <w:rFonts w:ascii="Arial" w:hAnsi="Arial" w:cs="Arial"/>
                <w:sz w:val="20"/>
                <w:szCs w:val="20"/>
                <w:lang w:eastAsia="en-US"/>
              </w:rPr>
              <w:t>te Korisnik kredita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</w:t>
            </w:r>
            <w:r w:rsidR="00D62A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mij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 koristiti za </w:t>
            </w:r>
            <w:r w:rsidR="00D62A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podmirenje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obveza koje redovno dospijevaju</w:t>
            </w:r>
            <w:r w:rsidR="0012352C" w:rsidRPr="0012352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D62AD1" w:rsidRPr="001A0E11">
              <w:rPr>
                <w:rFonts w:ascii="Arial" w:hAnsi="Arial" w:cs="Arial"/>
                <w:sz w:val="20"/>
                <w:szCs w:val="20"/>
                <w:lang w:eastAsia="en-US"/>
              </w:rPr>
              <w:t>tijekom razdoblja korištenja Kredita</w:t>
            </w:r>
            <w:r w:rsidR="00C25F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ili su redovno dospjele prije razdoblja korištenja Kredita, </w:t>
            </w:r>
            <w:r w:rsidR="00D62AD1" w:rsidRPr="001A0E11">
              <w:rPr>
                <w:rFonts w:ascii="Arial" w:hAnsi="Arial" w:cs="Arial"/>
                <w:sz w:val="20"/>
                <w:szCs w:val="20"/>
                <w:lang w:eastAsia="en-US"/>
              </w:rPr>
              <w:t>prema Osiguraniku i drugim financijskim institucijama</w:t>
            </w:r>
            <w:r w:rsidR="00D62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62AD1" w:rsidRPr="001A0E11">
              <w:rPr>
                <w:rFonts w:ascii="Arial" w:hAnsi="Arial" w:cs="Arial"/>
                <w:sz w:val="20"/>
                <w:szCs w:val="20"/>
                <w:lang w:eastAsia="en-US"/>
              </w:rPr>
              <w:t>u skladu s otplatnim planovima u trenutku sklapanja</w:t>
            </w:r>
            <w:r w:rsidR="00C25F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tih u</w:t>
            </w:r>
            <w:r w:rsidR="00D62AD1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govora o kreditu, pri čemu najviši iznos Kredita koji se može </w:t>
            </w:r>
            <w:r w:rsidR="00D62AD1">
              <w:rPr>
                <w:rFonts w:ascii="Arial" w:hAnsi="Arial" w:cs="Arial"/>
                <w:sz w:val="20"/>
                <w:szCs w:val="20"/>
                <w:lang w:eastAsia="en-US"/>
              </w:rPr>
              <w:t>isplatiti i koristiti</w:t>
            </w:r>
            <w:r w:rsidR="00D62AD1"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 podmirenje tih obveza iznosi 35% ukupnog iznosa Kredita.</w:t>
            </w:r>
          </w:p>
          <w:p w14:paraId="6D59F241" w14:textId="4EF0DA97" w:rsidR="00D62AD1" w:rsidRPr="001A0E11" w:rsidRDefault="00D62AD1" w:rsidP="00D62AD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Sredstva Kredita Osiguranik smije isplatiti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te Korisnik kredita smije koristiti</w:t>
            </w:r>
            <w:r w:rsidRPr="00D62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za povrat sredstava </w:t>
            </w:r>
            <w:r w:rsidR="008219E9">
              <w:rPr>
                <w:rFonts w:ascii="Arial" w:hAnsi="Arial" w:cs="Arial"/>
                <w:sz w:val="20"/>
                <w:szCs w:val="20"/>
                <w:lang w:eastAsia="en-US"/>
              </w:rPr>
              <w:t>Korisniku kredita</w:t>
            </w:r>
            <w:r w:rsidRPr="00D62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(refundaciju) za troškove ranije plaćene od strane </w:t>
            </w:r>
            <w:r w:rsidR="008219E9">
              <w:rPr>
                <w:rFonts w:ascii="Arial" w:hAnsi="Arial" w:cs="Arial"/>
                <w:sz w:val="20"/>
                <w:szCs w:val="20"/>
                <w:lang w:eastAsia="en-US"/>
              </w:rPr>
              <w:t>Korisnika kredita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>, a koji su nastali najranije 1. 3. 2020.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koji su od strane Osiguranika ocijenjeni prihvatljivima u skladu s prihvatljivom namjenom Kredita u skladu s Programom osiguranja, pri čemu kod refundacije troškova plaćenih od strane </w:t>
            </w:r>
            <w:r w:rsidR="008219E9">
              <w:rPr>
                <w:rFonts w:ascii="Arial" w:hAnsi="Arial" w:cs="Arial"/>
                <w:sz w:val="20"/>
                <w:szCs w:val="20"/>
                <w:lang w:eastAsia="en-US"/>
              </w:rPr>
              <w:t>Korisnika kredita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prema financijskim institucijama, iznos refundacije za te troškove može iznositi do najviše 35% ukupnog iznosa Kredita.</w:t>
            </w:r>
          </w:p>
          <w:p w14:paraId="2EAFA20C" w14:textId="0E4D5595" w:rsidR="00D62AD1" w:rsidRPr="001A0E11" w:rsidRDefault="00D62AD1" w:rsidP="00D62AD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plaćanje obveza prema financijskim institucijama iz prethodne dvije točke (podmirenje redovnih dospijeća i refundacije) može se koristiti </w:t>
            </w:r>
            <w:r w:rsidR="00C25F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zajedno 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>najviše 35% ukupnog iznosa Kredita.</w:t>
            </w:r>
          </w:p>
          <w:p w14:paraId="198F4FD1" w14:textId="505A0476" w:rsidR="00C64891" w:rsidRPr="002B4007" w:rsidRDefault="00C25FB8" w:rsidP="00D62AD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5F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Ako se sredstva Kredita isplaćuju u korist Korisnika kredita, a Osiguranik inače po propisima, svom standardnom postupanju te po Ugovoru o kreditu, ne provjerava namjenu korištenja tih sredstava Kredita, Osiguranik se nakon isplate oslobađa odgovornosti od daljnje provjere namjene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D30D80" w:rsidRPr="002B4007" w14:paraId="03EDBE43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547EE444" w14:textId="77777777" w:rsidR="00A96E05" w:rsidRPr="002B4007" w:rsidRDefault="00A96E05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 xml:space="preserve">Iznos 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6FB177B2" w14:textId="153861BD" w:rsidR="00ED3868" w:rsidRPr="002B4007" w:rsidRDefault="00ED3868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Iznos kredita po jednom </w:t>
            </w:r>
            <w:r w:rsidR="009149AD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orisniku kredita može iznositi najviše u visini:</w:t>
            </w:r>
          </w:p>
          <w:p w14:paraId="1A9F6703" w14:textId="37260E3E" w:rsidR="00064C4E" w:rsidRPr="002B4007" w:rsidRDefault="00ED3868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dvostruk</w:t>
            </w:r>
            <w:r w:rsidR="00B666CF" w:rsidRPr="002B4007">
              <w:rPr>
                <w:rFonts w:ascii="Arial" w:hAnsi="Arial" w:cs="Arial"/>
                <w:sz w:val="20"/>
                <w:szCs w:val="20"/>
                <w:lang w:eastAsia="en-US"/>
              </w:rPr>
              <w:t>ih godišnjih rashoda za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plaće Korisnika kredita</w:t>
            </w:r>
            <w:r w:rsidR="00B666CF"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(uključujući doprinose za socijalno osiguranje i trošak osoblja zaposlenog na lokaciji poduzetnika, ali formalno na platnoj listi podugovaratelja)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 2019. ili</w:t>
            </w:r>
            <w:r w:rsidR="00B666CF"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 zadnju dostupnu godinu. U slučaju poduzetnika osnovanih 1. 1. 2019. ili nakon tog datuma, maksimalni iznos kredita ne smije biti veći od procijenjenih godišnjih rashoda za plaće za prve dvije godine poslovanja</w:t>
            </w:r>
          </w:p>
          <w:p w14:paraId="25755A8F" w14:textId="5993EAB1" w:rsidR="00B666CF" w:rsidRPr="002B4007" w:rsidRDefault="00B666CF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ili</w:t>
            </w:r>
          </w:p>
          <w:p w14:paraId="03FCF59E" w14:textId="6BA1F734" w:rsidR="00A478E7" w:rsidRPr="002B4007" w:rsidRDefault="00A478E7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25% </w:t>
            </w:r>
            <w:r w:rsidR="00973ADD">
              <w:rPr>
                <w:rFonts w:ascii="Arial" w:hAnsi="Arial" w:cs="Arial"/>
                <w:sz w:val="20"/>
                <w:szCs w:val="20"/>
                <w:lang w:eastAsia="en-US"/>
              </w:rPr>
              <w:t>ukup</w:t>
            </w:r>
            <w:r w:rsidR="00FD1800">
              <w:rPr>
                <w:rFonts w:ascii="Arial" w:hAnsi="Arial" w:cs="Arial"/>
                <w:sz w:val="20"/>
                <w:szCs w:val="20"/>
                <w:lang w:eastAsia="en-US"/>
              </w:rPr>
              <w:t>nih prihoda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Korisnika kredita u 2019.</w:t>
            </w:r>
          </w:p>
          <w:p w14:paraId="6ADD66C8" w14:textId="6A631CDA" w:rsidR="00A478E7" w:rsidRPr="002B4007" w:rsidRDefault="00A478E7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ili</w:t>
            </w:r>
          </w:p>
          <w:p w14:paraId="58F867EF" w14:textId="0A795BB0" w:rsidR="00ED3868" w:rsidRPr="002B4007" w:rsidRDefault="00ED3868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2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potrebe Korisnika kredita za likvidnošću u sljedećih 12 mjeseci za velike poduzetnike, odnosno 18 mjeseci za male i srednje poduzetnike, </w:t>
            </w:r>
            <w:r w:rsidR="007F0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sklad</w:t>
            </w:r>
            <w:r w:rsidR="007F0AD1">
              <w:rPr>
                <w:rFonts w:ascii="Arial" w:hAnsi="Arial" w:cs="Arial"/>
                <w:sz w:val="20"/>
                <w:szCs w:val="20"/>
                <w:lang w:eastAsia="en-US"/>
              </w:rPr>
              <w:t>u s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procjen</w:t>
            </w:r>
            <w:r w:rsidR="007F0AD1">
              <w:rPr>
                <w:rFonts w:ascii="Arial" w:hAnsi="Arial" w:cs="Arial"/>
                <w:sz w:val="20"/>
                <w:szCs w:val="20"/>
                <w:lang w:eastAsia="en-US"/>
              </w:rPr>
              <w:t>om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Korisnika kredita ili </w:t>
            </w:r>
            <w:r w:rsidR="005B3798" w:rsidRPr="002B4007">
              <w:rPr>
                <w:rFonts w:ascii="Arial" w:hAnsi="Arial" w:cs="Arial"/>
                <w:sz w:val="20"/>
                <w:szCs w:val="20"/>
                <w:lang w:eastAsia="en-US"/>
              </w:rPr>
              <w:t>Osiguranika</w:t>
            </w:r>
            <w:r w:rsidR="009B43C1" w:rsidRPr="002B4007">
              <w:rPr>
                <w:rFonts w:ascii="Arial" w:hAnsi="Arial" w:cs="Arial"/>
                <w:sz w:val="20"/>
                <w:szCs w:val="20"/>
                <w:lang w:eastAsia="en-US"/>
              </w:rPr>
              <w:t>, koja se utvrđuje na temelju izjave Korisnika kredita</w:t>
            </w: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6BE84869" w14:textId="77777777" w:rsidR="00B54A3E" w:rsidRPr="002B4007" w:rsidRDefault="00B54A3E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CE58D3C" w14:textId="4D8B166E" w:rsidR="00724245" w:rsidRPr="002B4007" w:rsidRDefault="00724245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sz w:val="20"/>
                <w:szCs w:val="20"/>
                <w:lang w:eastAsia="en-US"/>
              </w:rPr>
              <w:t>Glavnica kredita može se uvećati za trošak Premije.</w:t>
            </w:r>
          </w:p>
          <w:p w14:paraId="333DB7D9" w14:textId="77777777" w:rsidR="00BF61A6" w:rsidRPr="002B4007" w:rsidRDefault="00BF61A6" w:rsidP="00824F4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</w:pPr>
          </w:p>
          <w:p w14:paraId="2BB2A112" w14:textId="45E1C940" w:rsidR="00ED3222" w:rsidRPr="002B4007" w:rsidRDefault="00ED3222" w:rsidP="00824F4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</w:pPr>
            <w:r w:rsidRPr="002B40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 xml:space="preserve">Korisnik kredita za isti kredit </w:t>
            </w:r>
            <w:r w:rsidRPr="002B400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ne smije primiti potporu u obliku subvencionirane kamatne stope za kredit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na </w:t>
            </w:r>
            <w:r w:rsidRPr="002B400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temelj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u</w:t>
            </w:r>
            <w:r w:rsidRPr="002B400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 </w:t>
            </w:r>
            <w:r w:rsidR="00973A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p</w:t>
            </w:r>
            <w:r w:rsidRPr="002B400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oglavlja 3.3.</w:t>
            </w:r>
            <w:r w:rsidRPr="002B40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 xml:space="preserve"> </w:t>
            </w:r>
            <w:r w:rsidRPr="00F059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Komunikacije EK</w:t>
            </w:r>
            <w:r w:rsidR="009E41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 </w:t>
            </w:r>
            <w:r w:rsidR="009E413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>(kod klupskog kredita, za dio kredita koji je odobren po komercijalnim uvjetima odnosno bez potpore u obliku subvencionirane kamatne stope na temelju poglavlja 3.3. Komunikacije EK, može se koristiti Program osiguranja)</w:t>
            </w:r>
            <w:r w:rsidRPr="00F059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.</w:t>
            </w:r>
          </w:p>
          <w:p w14:paraId="7EDA0BFF" w14:textId="77777777" w:rsidR="00ED3222" w:rsidRDefault="00ED3222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07F925" w14:textId="29B9B6DF" w:rsidR="00A96E05" w:rsidRPr="002B4007" w:rsidRDefault="00ED3222" w:rsidP="00824F4F">
            <w:pPr>
              <w:pStyle w:val="ListParagraph"/>
              <w:spacing w:line="276" w:lineRule="auto"/>
              <w:ind w:left="3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 xml:space="preserve">Ako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</w:t>
            </w:r>
            <w:r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orisnik kredita koristi više kredita koji su osigurani Programom osiguranja ili koristi više kredita osiguranih drugim jamstvenim shemama na temelju </w:t>
            </w:r>
            <w:r w:rsidR="00973AD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oglavlja 3.2.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Komunikacije EK</w:t>
            </w:r>
            <w:r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ili koristi potpore u obliku subvencionirane kamatne stope </w:t>
            </w:r>
            <w:r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na temelju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973AD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oglavlja 3.3. </w:t>
            </w:r>
            <w:r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Komunikacije EK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Pr="002B400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2B40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ukupan iznos svih kredita ne smije prelaziti maksimalne iznose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kredita </w:t>
            </w:r>
            <w:r w:rsidRPr="002B40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iz prethodnih točaka</w:t>
            </w:r>
            <w:r w:rsidRPr="00157D7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30D80" w:rsidRPr="002B4007" w14:paraId="467F1F83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065BD77B" w14:textId="77777777" w:rsidR="00A96E05" w:rsidRPr="002B4007" w:rsidRDefault="00A96E05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 xml:space="preserve">Valuta 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0C662AA8" w14:textId="024B356A" w:rsidR="00A96E05" w:rsidRPr="002B4007" w:rsidRDefault="00A96E05" w:rsidP="00824F4F">
            <w:pPr>
              <w:pStyle w:val="ListParagraph"/>
              <w:spacing w:line="276" w:lineRule="auto"/>
              <w:ind w:left="31"/>
              <w:contextualSpacing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40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 HRK i uz valutnu klauzulu vezanu za EUR </w:t>
            </w:r>
          </w:p>
        </w:tc>
      </w:tr>
      <w:tr w:rsidR="00A96E05" w:rsidRPr="002B4007" w14:paraId="0ED7F008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5E8AC13" w14:textId="77777777" w:rsidR="00A96E05" w:rsidRPr="002B4007" w:rsidRDefault="00A96E05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B4007">
              <w:rPr>
                <w:rFonts w:ascii="Arial" w:hAnsi="Arial" w:cs="Arial"/>
                <w:b/>
                <w:sz w:val="20"/>
                <w:szCs w:val="20"/>
              </w:rPr>
              <w:t>Pomak roka otplate kredita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A1E1352" w14:textId="7B327084" w:rsidR="009F6879" w:rsidRPr="00DC3588" w:rsidRDefault="00A96E05" w:rsidP="00DC35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4007">
              <w:rPr>
                <w:rFonts w:ascii="Arial" w:hAnsi="Arial" w:cs="Arial"/>
                <w:sz w:val="20"/>
                <w:szCs w:val="20"/>
              </w:rPr>
              <w:t xml:space="preserve">Zadnji dan </w:t>
            </w:r>
            <w:r w:rsidR="00461E03" w:rsidRPr="002B4007">
              <w:rPr>
                <w:rFonts w:ascii="Arial" w:hAnsi="Arial" w:cs="Arial"/>
                <w:sz w:val="20"/>
                <w:szCs w:val="20"/>
              </w:rPr>
              <w:t>R</w:t>
            </w:r>
            <w:r w:rsidRPr="002B4007">
              <w:rPr>
                <w:rFonts w:ascii="Arial" w:hAnsi="Arial" w:cs="Arial"/>
                <w:sz w:val="20"/>
                <w:szCs w:val="20"/>
              </w:rPr>
              <w:t xml:space="preserve">oka otplate prolongiranog </w:t>
            </w:r>
            <w:r w:rsidR="00461E03" w:rsidRPr="002B4007">
              <w:rPr>
                <w:rFonts w:ascii="Arial" w:hAnsi="Arial" w:cs="Arial"/>
                <w:sz w:val="20"/>
                <w:szCs w:val="20"/>
              </w:rPr>
              <w:t>K</w:t>
            </w:r>
            <w:r w:rsidRPr="002B4007">
              <w:rPr>
                <w:rFonts w:ascii="Arial" w:hAnsi="Arial" w:cs="Arial"/>
                <w:sz w:val="20"/>
                <w:szCs w:val="20"/>
              </w:rPr>
              <w:t xml:space="preserve">redita smije biti najduže </w:t>
            </w:r>
            <w:r w:rsidR="00D24788">
              <w:rPr>
                <w:rFonts w:ascii="Arial" w:hAnsi="Arial" w:cs="Arial"/>
                <w:sz w:val="20"/>
                <w:szCs w:val="20"/>
              </w:rPr>
              <w:t>šest</w:t>
            </w:r>
            <w:r w:rsidRPr="002B4007">
              <w:rPr>
                <w:rFonts w:ascii="Arial" w:hAnsi="Arial" w:cs="Arial"/>
                <w:sz w:val="20"/>
                <w:szCs w:val="20"/>
              </w:rPr>
              <w:t xml:space="preserve"> godin</w:t>
            </w:r>
            <w:r w:rsidR="00ED3868" w:rsidRPr="002B4007">
              <w:rPr>
                <w:rFonts w:ascii="Arial" w:hAnsi="Arial" w:cs="Arial"/>
                <w:sz w:val="20"/>
                <w:szCs w:val="20"/>
              </w:rPr>
              <w:t>a</w:t>
            </w:r>
            <w:r w:rsidR="004F5471" w:rsidRPr="002B4007">
              <w:rPr>
                <w:rFonts w:ascii="Arial" w:hAnsi="Arial" w:cs="Arial"/>
                <w:sz w:val="20"/>
                <w:szCs w:val="20"/>
              </w:rPr>
              <w:t xml:space="preserve"> od datuma </w:t>
            </w:r>
            <w:r w:rsidR="00651091" w:rsidRPr="002B4007">
              <w:rPr>
                <w:rFonts w:ascii="Arial" w:hAnsi="Arial" w:cs="Arial"/>
                <w:sz w:val="20"/>
                <w:szCs w:val="20"/>
              </w:rPr>
              <w:t>zaključenja inicijalnog</w:t>
            </w:r>
            <w:r w:rsidR="00C65FAE" w:rsidRPr="002B4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471" w:rsidRPr="002B4007">
              <w:rPr>
                <w:rFonts w:ascii="Arial" w:hAnsi="Arial" w:cs="Arial"/>
                <w:sz w:val="20"/>
                <w:szCs w:val="20"/>
              </w:rPr>
              <w:t>Ugovora o kreditu</w:t>
            </w:r>
            <w:r w:rsidR="00C65FAE" w:rsidRPr="002B4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D202213" w14:textId="4227607A" w:rsidR="00B04217" w:rsidRPr="002B4007" w:rsidRDefault="00B04217" w:rsidP="00824F4F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ACFABD" w14:textId="77777777" w:rsidR="00CE1996" w:rsidRPr="002B4007" w:rsidRDefault="00CE1996" w:rsidP="00824F4F">
      <w:pPr>
        <w:tabs>
          <w:tab w:val="left" w:pos="1560"/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5B22A11" w14:textId="77777777" w:rsidR="00EB1068" w:rsidRPr="002B4007" w:rsidRDefault="00EB1068" w:rsidP="00824F4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bidi="hr-HR"/>
        </w:rPr>
      </w:pPr>
    </w:p>
    <w:p w14:paraId="77CB4044" w14:textId="05E77D6D" w:rsidR="00BD4CC8" w:rsidRPr="002B4007" w:rsidRDefault="00BD4CC8" w:rsidP="00824F4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Svi pojmovi koji su u ovom </w:t>
      </w:r>
      <w:r w:rsidR="002B1274" w:rsidRPr="002B4007">
        <w:rPr>
          <w:rFonts w:ascii="Arial" w:eastAsia="Calibri" w:hAnsi="Arial" w:cs="Arial"/>
          <w:sz w:val="20"/>
          <w:szCs w:val="20"/>
          <w:lang w:eastAsia="en-US"/>
        </w:rPr>
        <w:t xml:space="preserve">Programu osiguranja 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 xml:space="preserve">označeni velikim slovom, imaju značenje kao što je definirano u </w:t>
      </w:r>
      <w:r w:rsidR="00845A8D" w:rsidRPr="002B4007">
        <w:rPr>
          <w:rFonts w:ascii="Arial" w:eastAsia="Calibri" w:hAnsi="Arial" w:cs="Arial"/>
          <w:sz w:val="20"/>
          <w:szCs w:val="20"/>
          <w:lang w:eastAsia="en-US"/>
        </w:rPr>
        <w:t>Opći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845A8D" w:rsidRPr="002B4007">
        <w:rPr>
          <w:rFonts w:ascii="Arial" w:eastAsia="Calibri" w:hAnsi="Arial" w:cs="Arial"/>
          <w:sz w:val="20"/>
          <w:szCs w:val="20"/>
          <w:lang w:eastAsia="en-US"/>
        </w:rPr>
        <w:t xml:space="preserve"> uvjet</w:t>
      </w:r>
      <w:r w:rsidRPr="002B4007">
        <w:rPr>
          <w:rFonts w:ascii="Arial" w:eastAsia="Calibri" w:hAnsi="Arial" w:cs="Arial"/>
          <w:sz w:val="20"/>
          <w:szCs w:val="20"/>
          <w:lang w:eastAsia="en-US"/>
        </w:rPr>
        <w:t>ima</w:t>
      </w:r>
      <w:r w:rsidR="00904D6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318DC1B" w14:textId="77777777" w:rsidR="00845A8D" w:rsidRPr="0049785C" w:rsidRDefault="00845A8D" w:rsidP="00824F4F">
      <w:pPr>
        <w:widowControl w:val="0"/>
        <w:spacing w:line="276" w:lineRule="auto"/>
        <w:jc w:val="both"/>
        <w:rPr>
          <w:rFonts w:ascii="Arial" w:hAnsi="Arial" w:cs="Arial"/>
          <w:iCs/>
          <w:sz w:val="20"/>
          <w:szCs w:val="20"/>
          <w:lang w:bidi="hr-HR"/>
        </w:rPr>
      </w:pPr>
    </w:p>
    <w:sectPr w:rsidR="00845A8D" w:rsidRPr="0049785C" w:rsidSect="00B039CB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58" w:right="1418" w:bottom="1258" w:left="1418" w:header="89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CDF68" w14:textId="77777777" w:rsidR="007E0A5A" w:rsidRDefault="007E0A5A">
      <w:r>
        <w:separator/>
      </w:r>
    </w:p>
  </w:endnote>
  <w:endnote w:type="continuationSeparator" w:id="0">
    <w:p w14:paraId="34A56ED8" w14:textId="77777777" w:rsidR="007E0A5A" w:rsidRDefault="007E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3DF0" w14:textId="77777777" w:rsidR="00614F49" w:rsidRDefault="00614F49" w:rsidP="00E40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EE593" w14:textId="77777777" w:rsidR="00614F49" w:rsidRDefault="00614F49" w:rsidP="00E10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535084"/>
      <w:docPartObj>
        <w:docPartGallery w:val="Page Numbers (Bottom of Page)"/>
        <w:docPartUnique/>
      </w:docPartObj>
    </w:sdtPr>
    <w:sdtEndPr/>
    <w:sdtContent>
      <w:p w14:paraId="0A38A88B" w14:textId="25359AE1" w:rsidR="00614F49" w:rsidRDefault="00614F49">
        <w:pPr>
          <w:pStyle w:val="Footer"/>
          <w:jc w:val="right"/>
        </w:pPr>
        <w:r w:rsidRPr="00986E65">
          <w:rPr>
            <w:rFonts w:ascii="Arial" w:hAnsi="Arial" w:cs="Arial"/>
            <w:sz w:val="20"/>
            <w:szCs w:val="20"/>
          </w:rPr>
          <w:fldChar w:fldCharType="begin"/>
        </w:r>
        <w:r w:rsidRPr="00986E65">
          <w:rPr>
            <w:rFonts w:ascii="Arial" w:hAnsi="Arial" w:cs="Arial"/>
            <w:sz w:val="20"/>
            <w:szCs w:val="20"/>
          </w:rPr>
          <w:instrText>PAGE   \* MERGEFORMAT</w:instrText>
        </w:r>
        <w:r w:rsidRPr="00986E65">
          <w:rPr>
            <w:rFonts w:ascii="Arial" w:hAnsi="Arial" w:cs="Arial"/>
            <w:sz w:val="20"/>
            <w:szCs w:val="20"/>
          </w:rPr>
          <w:fldChar w:fldCharType="separate"/>
        </w:r>
        <w:r w:rsidRPr="00986E65">
          <w:rPr>
            <w:rFonts w:ascii="Arial" w:hAnsi="Arial" w:cs="Arial"/>
            <w:sz w:val="20"/>
            <w:szCs w:val="20"/>
          </w:rPr>
          <w:t>2</w:t>
        </w:r>
        <w:r w:rsidRPr="00986E6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DE8D0BC" w14:textId="77777777" w:rsidR="00614F49" w:rsidRDefault="00614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8699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C61E3B" w14:textId="2884159E" w:rsidR="00614F49" w:rsidRPr="00986E65" w:rsidRDefault="00614F49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86E65">
          <w:rPr>
            <w:rFonts w:ascii="Arial" w:hAnsi="Arial" w:cs="Arial"/>
            <w:sz w:val="20"/>
            <w:szCs w:val="20"/>
          </w:rPr>
          <w:fldChar w:fldCharType="begin"/>
        </w:r>
        <w:r w:rsidRPr="00986E65">
          <w:rPr>
            <w:rFonts w:ascii="Arial" w:hAnsi="Arial" w:cs="Arial"/>
            <w:sz w:val="20"/>
            <w:szCs w:val="20"/>
          </w:rPr>
          <w:instrText>PAGE   \* MERGEFORMAT</w:instrText>
        </w:r>
        <w:r w:rsidRPr="00986E65">
          <w:rPr>
            <w:rFonts w:ascii="Arial" w:hAnsi="Arial" w:cs="Arial"/>
            <w:sz w:val="20"/>
            <w:szCs w:val="20"/>
          </w:rPr>
          <w:fldChar w:fldCharType="separate"/>
        </w:r>
        <w:r w:rsidRPr="00986E65">
          <w:rPr>
            <w:rFonts w:ascii="Arial" w:hAnsi="Arial" w:cs="Arial"/>
            <w:sz w:val="20"/>
            <w:szCs w:val="20"/>
          </w:rPr>
          <w:t>2</w:t>
        </w:r>
        <w:r w:rsidRPr="00986E6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8985701" w14:textId="77777777" w:rsidR="00614F49" w:rsidRDefault="00614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4C71" w14:textId="77777777" w:rsidR="007E0A5A" w:rsidRDefault="007E0A5A">
      <w:r>
        <w:separator/>
      </w:r>
    </w:p>
  </w:footnote>
  <w:footnote w:type="continuationSeparator" w:id="0">
    <w:p w14:paraId="2FEA4942" w14:textId="77777777" w:rsidR="007E0A5A" w:rsidRDefault="007E0A5A">
      <w:r>
        <w:continuationSeparator/>
      </w:r>
    </w:p>
  </w:footnote>
  <w:footnote w:id="1">
    <w:p w14:paraId="406EBC36" w14:textId="5B741C83" w:rsidR="00614F49" w:rsidRDefault="00614F49" w:rsidP="005D4225">
      <w:pPr>
        <w:pStyle w:val="FootnoteText"/>
        <w:jc w:val="both"/>
      </w:pPr>
      <w:r w:rsidRPr="00064C4E">
        <w:rPr>
          <w:rStyle w:val="FootnoteReference"/>
          <w:rFonts w:ascii="Arial" w:hAnsi="Arial" w:cs="Arial"/>
          <w:sz w:val="16"/>
          <w:szCs w:val="16"/>
        </w:rPr>
        <w:footnoteRef/>
      </w:r>
      <w:r w:rsidRPr="00064C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Komunikacija Komisije - </w:t>
      </w:r>
      <w:r w:rsidRPr="00064C4E">
        <w:rPr>
          <w:rFonts w:ascii="Arial" w:hAnsi="Arial" w:cs="Arial"/>
          <w:sz w:val="16"/>
          <w:szCs w:val="16"/>
        </w:rPr>
        <w:t>P</w:t>
      </w:r>
      <w:bookmarkStart w:id="2" w:name="_Hlk57384666"/>
      <w:r w:rsidRPr="00064C4E">
        <w:rPr>
          <w:rFonts w:ascii="Arial" w:hAnsi="Arial" w:cs="Arial"/>
          <w:sz w:val="16"/>
          <w:szCs w:val="16"/>
        </w:rPr>
        <w:t xml:space="preserve">rivremeni okvir mjera državne potpore u svrhu podrške gospodarstvu u aktualnoj pandemiji COVIDa-19 (eng. </w:t>
      </w:r>
      <w:r w:rsidRPr="00064C4E">
        <w:rPr>
          <w:rFonts w:ascii="Arial" w:hAnsi="Arial" w:cs="Arial"/>
          <w:i/>
          <w:iCs/>
          <w:sz w:val="16"/>
          <w:szCs w:val="16"/>
        </w:rPr>
        <w:t>COMMUNICATION FROM THE COMMISSION - Temporary Framework for State aid measures to support the economy in the current COVID-19 outbreak</w:t>
      </w:r>
      <w:r>
        <w:rPr>
          <w:rFonts w:ascii="Arial" w:hAnsi="Arial" w:cs="Arial"/>
          <w:sz w:val="16"/>
          <w:szCs w:val="16"/>
        </w:rPr>
        <w:t xml:space="preserve">; </w:t>
      </w:r>
      <w:bookmarkEnd w:id="2"/>
      <w:r w:rsidRPr="00653D97">
        <w:rPr>
          <w:rFonts w:ascii="Arial" w:hAnsi="Arial" w:cs="Arial"/>
          <w:sz w:val="16"/>
          <w:szCs w:val="16"/>
        </w:rPr>
        <w:t>SL C 91I, 20. 3. 2020.) i izmjene privremenog okvira za mjere državne potpore u svrhu podrške gospodarstvu u aktualnoj pandemiji COVIDa-19 (SL C 112I, 4. 4. 2020; SL C 164, 13. 5.</w:t>
      </w:r>
      <w:r>
        <w:rPr>
          <w:rFonts w:ascii="Arial" w:hAnsi="Arial" w:cs="Arial"/>
          <w:sz w:val="16"/>
          <w:szCs w:val="16"/>
        </w:rPr>
        <w:t xml:space="preserve"> </w:t>
      </w:r>
      <w:r w:rsidRPr="00653D97">
        <w:rPr>
          <w:rFonts w:ascii="Arial" w:hAnsi="Arial" w:cs="Arial"/>
          <w:sz w:val="16"/>
          <w:szCs w:val="16"/>
        </w:rPr>
        <w:t>2020; SL C 218, 2. 7. 2020: SL C 340I, 13. 10. 2020</w:t>
      </w:r>
      <w:r>
        <w:rPr>
          <w:rFonts w:ascii="Arial" w:hAnsi="Arial" w:cs="Arial"/>
          <w:sz w:val="16"/>
          <w:szCs w:val="16"/>
        </w:rPr>
        <w:t xml:space="preserve"> i SL C </w:t>
      </w:r>
      <w:r w:rsidRPr="005D4225">
        <w:rPr>
          <w:rFonts w:ascii="Arial" w:hAnsi="Arial" w:cs="Arial"/>
          <w:sz w:val="16"/>
          <w:szCs w:val="16"/>
        </w:rPr>
        <w:t>34, 1.</w:t>
      </w:r>
      <w:r>
        <w:rPr>
          <w:rFonts w:ascii="Arial" w:hAnsi="Arial" w:cs="Arial"/>
          <w:sz w:val="16"/>
          <w:szCs w:val="16"/>
        </w:rPr>
        <w:t xml:space="preserve"> </w:t>
      </w:r>
      <w:r w:rsidRPr="005D4225"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 xml:space="preserve"> </w:t>
      </w:r>
      <w:r w:rsidRPr="005D4225">
        <w:rPr>
          <w:rFonts w:ascii="Arial" w:hAnsi="Arial" w:cs="Arial"/>
          <w:sz w:val="16"/>
          <w:szCs w:val="16"/>
        </w:rPr>
        <w:t>2021</w:t>
      </w:r>
      <w:r w:rsidRPr="00653D97">
        <w:rPr>
          <w:rFonts w:ascii="Arial" w:hAnsi="Arial" w:cs="Arial"/>
          <w:sz w:val="16"/>
          <w:szCs w:val="16"/>
        </w:rPr>
        <w:t>)</w:t>
      </w:r>
    </w:p>
  </w:footnote>
  <w:footnote w:id="2">
    <w:p w14:paraId="56990F70" w14:textId="75C9D01F" w:rsidR="00614F49" w:rsidRPr="00A33930" w:rsidRDefault="00614F49" w:rsidP="00A3393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A33930">
        <w:rPr>
          <w:rStyle w:val="FootnoteReference"/>
          <w:rFonts w:ascii="Arial" w:hAnsi="Arial" w:cs="Arial"/>
          <w:sz w:val="16"/>
          <w:szCs w:val="16"/>
        </w:rPr>
        <w:footnoteRef/>
      </w:r>
      <w:r w:rsidRPr="00A33930">
        <w:rPr>
          <w:rFonts w:ascii="Arial" w:hAnsi="Arial" w:cs="Arial"/>
          <w:sz w:val="16"/>
          <w:szCs w:val="16"/>
        </w:rPr>
        <w:t xml:space="preserve"> </w:t>
      </w:r>
      <w:bookmarkStart w:id="6" w:name="_Hlk74131788"/>
      <w:r w:rsidRPr="00A33930">
        <w:rPr>
          <w:rFonts w:ascii="Arial" w:hAnsi="Arial" w:cs="Arial"/>
          <w:sz w:val="16"/>
          <w:szCs w:val="16"/>
        </w:rPr>
        <w:t xml:space="preserve">utvrđuje se na temelju Izjave o potporama koju poduzetnik </w:t>
      </w:r>
      <w:r>
        <w:rPr>
          <w:rFonts w:ascii="Arial" w:hAnsi="Arial" w:cs="Arial"/>
          <w:sz w:val="16"/>
          <w:szCs w:val="16"/>
        </w:rPr>
        <w:t>potpisuje</w:t>
      </w:r>
      <w:r w:rsidRPr="00A33930">
        <w:rPr>
          <w:rFonts w:ascii="Arial" w:hAnsi="Arial" w:cs="Arial"/>
          <w:sz w:val="16"/>
          <w:szCs w:val="16"/>
        </w:rPr>
        <w:t xml:space="preserve"> pod kaznenom i materijalnom odgovorno</w:t>
      </w:r>
      <w:r>
        <w:rPr>
          <w:rFonts w:ascii="Arial" w:hAnsi="Arial" w:cs="Arial"/>
          <w:sz w:val="16"/>
          <w:szCs w:val="16"/>
        </w:rPr>
        <w:t>sti</w:t>
      </w:r>
      <w:bookmarkEnd w:id="6"/>
    </w:p>
  </w:footnote>
  <w:footnote w:id="3">
    <w:p w14:paraId="67C0FC60" w14:textId="1706A5FA" w:rsidR="00614F49" w:rsidRPr="00E53740" w:rsidRDefault="00614F49" w:rsidP="003E52C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52C4">
        <w:rPr>
          <w:rStyle w:val="FootnoteReference"/>
          <w:rFonts w:ascii="Arial" w:hAnsi="Arial" w:cs="Arial"/>
          <w:sz w:val="16"/>
          <w:szCs w:val="16"/>
        </w:rPr>
        <w:footnoteRef/>
      </w:r>
      <w:r w:rsidRPr="003E52C4">
        <w:rPr>
          <w:rFonts w:ascii="Arial" w:hAnsi="Arial" w:cs="Arial"/>
          <w:sz w:val="16"/>
          <w:szCs w:val="16"/>
        </w:rPr>
        <w:t xml:space="preserve"> Cjeloviti Kriteriji prihvatljivosti za uključenje kredita u portfelj te Kriteriji prihvatljivosti za izmjenu roka otplate kredita zbog poslovnih razloga nalaze se na </w:t>
      </w:r>
      <w:r w:rsidRPr="00B039CB">
        <w:rPr>
          <w:rFonts w:ascii="Arial" w:hAnsi="Arial" w:cs="Arial"/>
          <w:sz w:val="16"/>
          <w:szCs w:val="16"/>
        </w:rPr>
        <w:t xml:space="preserve">stranicama </w:t>
      </w:r>
      <w:r>
        <w:rPr>
          <w:rFonts w:ascii="Arial" w:hAnsi="Arial" w:cs="Arial"/>
          <w:sz w:val="16"/>
          <w:szCs w:val="16"/>
        </w:rPr>
        <w:t>6</w:t>
      </w:r>
      <w:r w:rsidRPr="00157D72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9</w:t>
      </w:r>
      <w:r w:rsidRPr="00B039CB">
        <w:rPr>
          <w:rFonts w:ascii="Arial" w:hAnsi="Arial" w:cs="Arial"/>
          <w:sz w:val="16"/>
          <w:szCs w:val="16"/>
        </w:rPr>
        <w:t xml:space="preserve"> ovog</w:t>
      </w:r>
      <w:r w:rsidRPr="00E53740">
        <w:rPr>
          <w:rFonts w:ascii="Arial" w:hAnsi="Arial" w:cs="Arial"/>
          <w:sz w:val="16"/>
          <w:szCs w:val="16"/>
        </w:rPr>
        <w:t xml:space="preserve"> Programa osiguranja.</w:t>
      </w:r>
    </w:p>
  </w:footnote>
  <w:footnote w:id="4">
    <w:p w14:paraId="44883A89" w14:textId="751A2303" w:rsidR="00614F49" w:rsidRPr="00F54BC4" w:rsidRDefault="00614F49" w:rsidP="00E5374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E53740">
        <w:rPr>
          <w:rStyle w:val="FootnoteReference"/>
          <w:rFonts w:ascii="Arial" w:hAnsi="Arial" w:cs="Arial"/>
          <w:sz w:val="16"/>
          <w:szCs w:val="16"/>
        </w:rPr>
        <w:footnoteRef/>
      </w:r>
      <w:r w:rsidRPr="00E53740">
        <w:rPr>
          <w:rFonts w:ascii="Arial" w:hAnsi="Arial" w:cs="Arial"/>
          <w:sz w:val="16"/>
          <w:szCs w:val="16"/>
        </w:rPr>
        <w:t xml:space="preserve"> Premiju je moguće subvencionirati u skladu s Programom subvencioniranja.</w:t>
      </w:r>
    </w:p>
  </w:footnote>
  <w:footnote w:id="5">
    <w:p w14:paraId="13113C7E" w14:textId="2AB500E6" w:rsidR="00614F49" w:rsidRPr="00C64891" w:rsidRDefault="00614F49" w:rsidP="00064C4E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64891">
        <w:rPr>
          <w:rStyle w:val="FootnoteReference"/>
          <w:rFonts w:ascii="Arial" w:hAnsi="Arial" w:cs="Arial"/>
          <w:sz w:val="16"/>
          <w:szCs w:val="16"/>
        </w:rPr>
        <w:footnoteRef/>
      </w:r>
      <w:r w:rsidRPr="00C64891">
        <w:rPr>
          <w:rFonts w:ascii="Arial" w:hAnsi="Arial" w:cs="Arial"/>
          <w:sz w:val="16"/>
          <w:szCs w:val="16"/>
        </w:rPr>
        <w:t xml:space="preserve"> Uredba Komisije (EU) br. 651/2014 od 17. 6. 2014. o ocjenjivanju određenih kategorija potpora spojivima s unutarnjim tržištem u primjeni članaka 107. i 108. Ugovora Tekst značajan za EGP (SL L 187, 26.6.2014, str. 1-78), pročišćeni tekst od 27. 7. 2020.</w:t>
      </w:r>
    </w:p>
  </w:footnote>
  <w:footnote w:id="6">
    <w:p w14:paraId="2C58E5C6" w14:textId="26B7DF2C" w:rsidR="00614F49" w:rsidRPr="00512D44" w:rsidRDefault="00614F49" w:rsidP="00512D4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12D44">
        <w:rPr>
          <w:rStyle w:val="FootnoteReference"/>
          <w:rFonts w:ascii="Arial" w:hAnsi="Arial" w:cs="Arial"/>
          <w:sz w:val="16"/>
          <w:szCs w:val="16"/>
        </w:rPr>
        <w:footnoteRef/>
      </w:r>
      <w:r w:rsidRPr="00512D44">
        <w:rPr>
          <w:rFonts w:ascii="Arial" w:hAnsi="Arial" w:cs="Arial"/>
          <w:sz w:val="16"/>
          <w:szCs w:val="16"/>
        </w:rPr>
        <w:t xml:space="preserve"> </w:t>
      </w:r>
      <w:r w:rsidRPr="00512D44">
        <w:rPr>
          <w:rFonts w:ascii="Arial" w:hAnsi="Arial" w:cs="Arial"/>
          <w:sz w:val="16"/>
          <w:szCs w:val="16"/>
        </w:rPr>
        <w:t xml:space="preserve">U obzir se uzima ocjena </w:t>
      </w:r>
      <w:r>
        <w:rPr>
          <w:rFonts w:ascii="Arial" w:hAnsi="Arial" w:cs="Arial"/>
          <w:sz w:val="16"/>
          <w:szCs w:val="16"/>
        </w:rPr>
        <w:t xml:space="preserve">FINA </w:t>
      </w:r>
      <w:r w:rsidRPr="00512D44">
        <w:rPr>
          <w:rFonts w:ascii="Arial" w:hAnsi="Arial" w:cs="Arial"/>
          <w:sz w:val="16"/>
          <w:szCs w:val="16"/>
        </w:rPr>
        <w:t>COVID score</w:t>
      </w:r>
      <w:r>
        <w:rPr>
          <w:rFonts w:ascii="Arial" w:hAnsi="Arial" w:cs="Arial"/>
          <w:sz w:val="16"/>
          <w:szCs w:val="16"/>
        </w:rPr>
        <w:t>-</w:t>
      </w:r>
      <w:r w:rsidRPr="00512D44">
        <w:rPr>
          <w:rFonts w:ascii="Arial" w:hAnsi="Arial" w:cs="Arial"/>
          <w:sz w:val="16"/>
          <w:szCs w:val="16"/>
        </w:rPr>
        <w:t>a koja uključuje</w:t>
      </w:r>
      <w:r>
        <w:rPr>
          <w:rFonts w:ascii="Arial" w:hAnsi="Arial" w:cs="Arial"/>
          <w:sz w:val="16"/>
          <w:szCs w:val="16"/>
        </w:rPr>
        <w:t xml:space="preserve"> i</w:t>
      </w:r>
      <w:r w:rsidRPr="00512D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dva </w:t>
      </w:r>
      <w:r w:rsidRPr="00512D44">
        <w:rPr>
          <w:rFonts w:ascii="Arial" w:hAnsi="Arial" w:cs="Arial"/>
          <w:sz w:val="16"/>
          <w:szCs w:val="16"/>
        </w:rPr>
        <w:t>eliminirajuć</w:t>
      </w:r>
      <w:r>
        <w:rPr>
          <w:rFonts w:ascii="Arial" w:hAnsi="Arial" w:cs="Arial"/>
          <w:sz w:val="16"/>
          <w:szCs w:val="16"/>
        </w:rPr>
        <w:t>a</w:t>
      </w:r>
      <w:r w:rsidRPr="00512D44">
        <w:rPr>
          <w:rFonts w:ascii="Arial" w:hAnsi="Arial" w:cs="Arial"/>
          <w:sz w:val="16"/>
          <w:szCs w:val="16"/>
        </w:rPr>
        <w:t xml:space="preserve"> kriterij</w:t>
      </w:r>
      <w:r>
        <w:rPr>
          <w:rFonts w:ascii="Arial" w:hAnsi="Arial" w:cs="Arial"/>
          <w:sz w:val="16"/>
          <w:szCs w:val="16"/>
        </w:rPr>
        <w:t>a</w:t>
      </w:r>
      <w:r w:rsidRPr="00512D44">
        <w:rPr>
          <w:rFonts w:ascii="Arial" w:hAnsi="Arial" w:cs="Arial"/>
          <w:sz w:val="16"/>
          <w:szCs w:val="16"/>
        </w:rPr>
        <w:t xml:space="preserve"> (1 - </w:t>
      </w:r>
      <w:r>
        <w:rPr>
          <w:rFonts w:ascii="Arial" w:hAnsi="Arial" w:cs="Arial"/>
          <w:sz w:val="16"/>
          <w:szCs w:val="16"/>
        </w:rPr>
        <w:t>Poduzetnik</w:t>
      </w:r>
      <w:r w:rsidRPr="00512D44">
        <w:rPr>
          <w:rFonts w:ascii="Arial" w:hAnsi="Arial" w:cs="Arial"/>
          <w:sz w:val="16"/>
          <w:szCs w:val="16"/>
        </w:rPr>
        <w:t xml:space="preserve"> je na listi neisplatitelja plaća prema zadnje dostupnim podacima; 2 - Poduzetnik je na listi neplatitelja poreza prema zadnje dostupnim podacima).</w:t>
      </w:r>
    </w:p>
  </w:footnote>
  <w:footnote w:id="7">
    <w:p w14:paraId="6BD92AFF" w14:textId="4975D5D0" w:rsidR="00614F49" w:rsidRPr="005B653A" w:rsidRDefault="00614F49">
      <w:pPr>
        <w:pStyle w:val="FootnoteText"/>
        <w:rPr>
          <w:rFonts w:ascii="Arial" w:hAnsi="Arial" w:cs="Arial"/>
          <w:sz w:val="16"/>
          <w:szCs w:val="16"/>
        </w:rPr>
      </w:pPr>
      <w:r w:rsidRPr="005B653A">
        <w:rPr>
          <w:rStyle w:val="FootnoteReference"/>
          <w:rFonts w:ascii="Arial" w:hAnsi="Arial" w:cs="Arial"/>
          <w:sz w:val="16"/>
          <w:szCs w:val="16"/>
        </w:rPr>
        <w:footnoteRef/>
      </w:r>
      <w:r w:rsidRPr="005B653A">
        <w:rPr>
          <w:rFonts w:ascii="Arial" w:hAnsi="Arial" w:cs="Arial"/>
          <w:sz w:val="16"/>
          <w:szCs w:val="16"/>
        </w:rPr>
        <w:t xml:space="preserve"> Odluka o klasifikaciji izloženosti u rizične skupine i načinu utvrđivanja kreditnih gubitaka (NN, br. 114/2017. i 110/2018.)</w:t>
      </w:r>
    </w:p>
  </w:footnote>
  <w:footnote w:id="8">
    <w:p w14:paraId="7B22470C" w14:textId="34AB657E" w:rsidR="00614F49" w:rsidRPr="00C64891" w:rsidRDefault="00614F49" w:rsidP="00C64891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64891">
        <w:rPr>
          <w:rFonts w:ascii="Arial" w:hAnsi="Arial" w:cs="Arial"/>
          <w:sz w:val="16"/>
          <w:szCs w:val="16"/>
          <w:vertAlign w:val="superscript"/>
        </w:rPr>
        <w:footnoteRef/>
      </w:r>
      <w:r w:rsidRPr="00C64891">
        <w:rPr>
          <w:rFonts w:ascii="Arial" w:hAnsi="Arial" w:cs="Arial"/>
          <w:sz w:val="16"/>
          <w:szCs w:val="16"/>
        </w:rPr>
        <w:t xml:space="preserve"> Pod pojmom “izvozni prihod” smatra se svaki prihod ostvaren s nerezidentnima Republike Hrvatske</w:t>
      </w:r>
      <w:r>
        <w:rPr>
          <w:rFonts w:ascii="Arial" w:hAnsi="Arial" w:cs="Arial"/>
          <w:sz w:val="16"/>
          <w:szCs w:val="16"/>
        </w:rPr>
        <w:t>. Izvozne prihode Osiguranik utvrđuje na temelju službenih financijskih izvještaja Korisnika kredita ili, ako u financijskim izvještajima nisu iskazani izvozni prihodi, na temelju druge dokumentacije kojom Osiguranik utvrđuje ispunjenje ovog kriterija</w:t>
      </w:r>
      <w:r w:rsidRPr="00CD55F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D55F9">
        <w:rPr>
          <w:rFonts w:ascii="Arial" w:hAnsi="Arial" w:cs="Arial"/>
          <w:sz w:val="16"/>
          <w:szCs w:val="16"/>
        </w:rPr>
        <w:t>npr. pisan</w:t>
      </w:r>
      <w:r>
        <w:rPr>
          <w:rFonts w:ascii="Arial" w:hAnsi="Arial" w:cs="Arial"/>
          <w:sz w:val="16"/>
          <w:szCs w:val="16"/>
        </w:rPr>
        <w:t>a</w:t>
      </w:r>
      <w:r w:rsidRPr="00CD55F9">
        <w:rPr>
          <w:rFonts w:ascii="Arial" w:hAnsi="Arial" w:cs="Arial"/>
          <w:sz w:val="16"/>
          <w:szCs w:val="16"/>
        </w:rPr>
        <w:t xml:space="preserve"> izjav</w:t>
      </w:r>
      <w:r>
        <w:rPr>
          <w:rFonts w:ascii="Arial" w:hAnsi="Arial" w:cs="Arial"/>
          <w:sz w:val="16"/>
          <w:szCs w:val="16"/>
        </w:rPr>
        <w:t>a Korisnika kredita</w:t>
      </w:r>
      <w:r w:rsidRPr="00CD55F9">
        <w:rPr>
          <w:rFonts w:ascii="Arial" w:hAnsi="Arial" w:cs="Arial"/>
          <w:sz w:val="16"/>
          <w:szCs w:val="16"/>
        </w:rPr>
        <w:t xml:space="preserve"> uz </w:t>
      </w:r>
      <w:r>
        <w:rPr>
          <w:rFonts w:ascii="Arial" w:hAnsi="Arial" w:cs="Arial"/>
          <w:sz w:val="16"/>
          <w:szCs w:val="16"/>
        </w:rPr>
        <w:t xml:space="preserve">dokumente </w:t>
      </w:r>
      <w:bookmarkStart w:id="18" w:name="_Hlk74227053"/>
      <w:r>
        <w:rPr>
          <w:rFonts w:ascii="Arial" w:hAnsi="Arial" w:cs="Arial"/>
          <w:sz w:val="16"/>
          <w:szCs w:val="16"/>
        </w:rPr>
        <w:t xml:space="preserve">potpisane od strane </w:t>
      </w:r>
      <w:r w:rsidRPr="00D257F4">
        <w:rPr>
          <w:rFonts w:ascii="Arial" w:hAnsi="Arial" w:cs="Arial"/>
          <w:sz w:val="16"/>
          <w:szCs w:val="16"/>
        </w:rPr>
        <w:t xml:space="preserve">ovlaštenih predstavnika </w:t>
      </w:r>
      <w:r>
        <w:rPr>
          <w:rFonts w:ascii="Arial" w:hAnsi="Arial" w:cs="Arial"/>
          <w:sz w:val="16"/>
          <w:szCs w:val="16"/>
        </w:rPr>
        <w:t xml:space="preserve">odnosno </w:t>
      </w:r>
      <w:r w:rsidRPr="00D257F4">
        <w:rPr>
          <w:rFonts w:ascii="Arial" w:hAnsi="Arial" w:cs="Arial"/>
          <w:sz w:val="16"/>
          <w:szCs w:val="16"/>
        </w:rPr>
        <w:t>zakonskih zastupnika ili punomoćnika</w:t>
      </w:r>
      <w:r>
        <w:rPr>
          <w:rFonts w:ascii="Arial" w:hAnsi="Arial" w:cs="Arial"/>
          <w:sz w:val="16"/>
          <w:szCs w:val="16"/>
        </w:rPr>
        <w:t xml:space="preserve"> Korisnika </w:t>
      </w:r>
      <w:bookmarkEnd w:id="18"/>
      <w:r>
        <w:rPr>
          <w:rFonts w:ascii="Arial" w:hAnsi="Arial" w:cs="Arial"/>
          <w:sz w:val="16"/>
          <w:szCs w:val="16"/>
        </w:rPr>
        <w:t>kredita,</w:t>
      </w:r>
      <w:r w:rsidRPr="00CD55F9">
        <w:rPr>
          <w:rFonts w:ascii="Arial" w:hAnsi="Arial" w:cs="Arial"/>
          <w:sz w:val="16"/>
          <w:szCs w:val="16"/>
        </w:rPr>
        <w:t xml:space="preserve"> kojima je ist</w:t>
      </w:r>
      <w:r>
        <w:rPr>
          <w:rFonts w:ascii="Arial" w:hAnsi="Arial" w:cs="Arial"/>
          <w:sz w:val="16"/>
          <w:szCs w:val="16"/>
        </w:rPr>
        <w:t>u</w:t>
      </w:r>
      <w:r w:rsidRPr="00CD55F9">
        <w:rPr>
          <w:rFonts w:ascii="Arial" w:hAnsi="Arial" w:cs="Arial"/>
          <w:sz w:val="16"/>
          <w:szCs w:val="16"/>
        </w:rPr>
        <w:t xml:space="preserve"> moguće provjeriti </w:t>
      </w:r>
      <w:r>
        <w:rPr>
          <w:rFonts w:ascii="Arial" w:hAnsi="Arial" w:cs="Arial"/>
          <w:sz w:val="16"/>
          <w:szCs w:val="16"/>
        </w:rPr>
        <w:t xml:space="preserve">i </w:t>
      </w:r>
      <w:r w:rsidRPr="00CD55F9">
        <w:rPr>
          <w:rFonts w:ascii="Arial" w:hAnsi="Arial" w:cs="Arial"/>
          <w:sz w:val="16"/>
          <w:szCs w:val="16"/>
        </w:rPr>
        <w:t>potvrditi</w:t>
      </w:r>
      <w:r>
        <w:rPr>
          <w:rFonts w:ascii="Arial" w:hAnsi="Arial" w:cs="Arial"/>
          <w:sz w:val="16"/>
          <w:szCs w:val="16"/>
        </w:rPr>
        <w:t xml:space="preserve">, kao npr. bruto bilancu </w:t>
      </w:r>
      <w:bookmarkStart w:id="19" w:name="_Hlk74133906"/>
      <w:r>
        <w:rPr>
          <w:rFonts w:ascii="Arial" w:hAnsi="Arial" w:cs="Arial"/>
          <w:sz w:val="16"/>
          <w:szCs w:val="16"/>
        </w:rPr>
        <w:t>usklađenu sa službenim financijskim izvještajima</w:t>
      </w:r>
      <w:bookmarkEnd w:id="19"/>
      <w:r>
        <w:rPr>
          <w:rFonts w:ascii="Arial" w:hAnsi="Arial" w:cs="Arial"/>
          <w:sz w:val="16"/>
          <w:szCs w:val="16"/>
        </w:rPr>
        <w:t xml:space="preserve">, </w:t>
      </w:r>
      <w:r w:rsidRPr="00CD55F9">
        <w:rPr>
          <w:rFonts w:ascii="Arial" w:hAnsi="Arial" w:cs="Arial"/>
          <w:sz w:val="16"/>
          <w:szCs w:val="16"/>
        </w:rPr>
        <w:t>konto kartice kupaca</w:t>
      </w:r>
      <w:r>
        <w:rPr>
          <w:rFonts w:ascii="Arial" w:hAnsi="Arial" w:cs="Arial"/>
          <w:sz w:val="16"/>
          <w:szCs w:val="16"/>
        </w:rPr>
        <w:t xml:space="preserve"> </w:t>
      </w:r>
      <w:bookmarkStart w:id="20" w:name="_Hlk74133923"/>
      <w:r>
        <w:rPr>
          <w:rFonts w:ascii="Arial" w:hAnsi="Arial" w:cs="Arial"/>
          <w:sz w:val="16"/>
          <w:szCs w:val="16"/>
        </w:rPr>
        <w:t>s ostvarenim prometom u toj godini</w:t>
      </w:r>
      <w:bookmarkEnd w:id="20"/>
      <w:r w:rsidRPr="00CD55F9">
        <w:rPr>
          <w:rFonts w:ascii="Arial" w:hAnsi="Arial" w:cs="Arial"/>
          <w:sz w:val="16"/>
          <w:szCs w:val="16"/>
        </w:rPr>
        <w:t>, ugovor</w:t>
      </w:r>
      <w:r>
        <w:rPr>
          <w:rFonts w:ascii="Arial" w:hAnsi="Arial" w:cs="Arial"/>
          <w:sz w:val="16"/>
          <w:szCs w:val="16"/>
        </w:rPr>
        <w:t>e</w:t>
      </w:r>
      <w:r w:rsidRPr="00CD55F9">
        <w:rPr>
          <w:rFonts w:ascii="Arial" w:hAnsi="Arial" w:cs="Arial"/>
          <w:sz w:val="16"/>
          <w:szCs w:val="16"/>
        </w:rPr>
        <w:t xml:space="preserve"> s kupcima</w:t>
      </w:r>
      <w:r>
        <w:rPr>
          <w:rFonts w:ascii="Arial" w:hAnsi="Arial" w:cs="Arial"/>
          <w:sz w:val="16"/>
          <w:szCs w:val="16"/>
        </w:rPr>
        <w:t xml:space="preserve"> </w:t>
      </w:r>
      <w:bookmarkStart w:id="21" w:name="_Hlk74133937"/>
      <w:r>
        <w:rPr>
          <w:rFonts w:ascii="Arial" w:hAnsi="Arial" w:cs="Arial"/>
          <w:sz w:val="16"/>
          <w:szCs w:val="16"/>
        </w:rPr>
        <w:t>koji su se djelomično ili potpuno realizirali u toj godini,</w:t>
      </w:r>
      <w:r w:rsidRPr="00CD55F9">
        <w:rPr>
          <w:rFonts w:ascii="Arial" w:hAnsi="Arial" w:cs="Arial"/>
          <w:sz w:val="16"/>
          <w:szCs w:val="16"/>
        </w:rPr>
        <w:t xml:space="preserve"> </w:t>
      </w:r>
      <w:r w:rsidRPr="00585A99">
        <w:rPr>
          <w:rFonts w:ascii="Arial" w:hAnsi="Arial" w:cs="Arial"/>
          <w:sz w:val="16"/>
          <w:szCs w:val="16"/>
        </w:rPr>
        <w:t xml:space="preserve">BON1 </w:t>
      </w:r>
      <w:r>
        <w:rPr>
          <w:rFonts w:ascii="Arial" w:hAnsi="Arial" w:cs="Arial"/>
          <w:sz w:val="16"/>
          <w:szCs w:val="16"/>
        </w:rPr>
        <w:t>s podatkom o izvoznim prihodima</w:t>
      </w:r>
      <w:r w:rsidRPr="00585A9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 toj godini, </w:t>
      </w:r>
      <w:bookmarkStart w:id="22" w:name="_Hlk74134468"/>
      <w:r>
        <w:rPr>
          <w:rFonts w:ascii="Arial" w:hAnsi="Arial" w:cs="Arial"/>
          <w:sz w:val="16"/>
          <w:szCs w:val="16"/>
        </w:rPr>
        <w:t xml:space="preserve">interni ili eksterni </w:t>
      </w:r>
      <w:r w:rsidRPr="0003182C">
        <w:rPr>
          <w:rFonts w:ascii="Arial" w:hAnsi="Arial" w:cs="Arial"/>
          <w:sz w:val="16"/>
          <w:szCs w:val="16"/>
        </w:rPr>
        <w:t>izvještaj</w:t>
      </w:r>
      <w:r>
        <w:rPr>
          <w:rFonts w:ascii="Arial" w:hAnsi="Arial" w:cs="Arial"/>
          <w:sz w:val="16"/>
          <w:szCs w:val="16"/>
        </w:rPr>
        <w:t xml:space="preserve">i Korisnika kredita koji sadrže </w:t>
      </w:r>
      <w:r w:rsidRPr="0003182C">
        <w:rPr>
          <w:rFonts w:ascii="Arial" w:hAnsi="Arial" w:cs="Arial"/>
          <w:sz w:val="16"/>
          <w:szCs w:val="16"/>
        </w:rPr>
        <w:t>podat</w:t>
      </w:r>
      <w:r>
        <w:rPr>
          <w:rFonts w:ascii="Arial" w:hAnsi="Arial" w:cs="Arial"/>
          <w:sz w:val="16"/>
          <w:szCs w:val="16"/>
        </w:rPr>
        <w:t>ke o izvoznim prihodima</w:t>
      </w:r>
      <w:r w:rsidRPr="00CD55F9">
        <w:rPr>
          <w:rFonts w:ascii="Arial" w:hAnsi="Arial" w:cs="Arial"/>
          <w:sz w:val="16"/>
          <w:szCs w:val="16"/>
        </w:rPr>
        <w:t xml:space="preserve"> </w:t>
      </w:r>
      <w:bookmarkEnd w:id="21"/>
      <w:bookmarkEnd w:id="22"/>
      <w:r w:rsidRPr="00CD55F9"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z w:val="16"/>
          <w:szCs w:val="16"/>
        </w:rPr>
        <w:t>dr</w:t>
      </w:r>
      <w:r w:rsidRPr="00CD55F9">
        <w:rPr>
          <w:rFonts w:ascii="Arial" w:hAnsi="Arial" w:cs="Arial"/>
          <w:sz w:val="16"/>
          <w:szCs w:val="16"/>
        </w:rPr>
        <w:t>.).</w:t>
      </w:r>
    </w:p>
  </w:footnote>
  <w:footnote w:id="9">
    <w:p w14:paraId="11715BE7" w14:textId="1A1FACB9" w:rsidR="00614F49" w:rsidRPr="00F56905" w:rsidRDefault="00614F49" w:rsidP="009B4117">
      <w:pPr>
        <w:pStyle w:val="FootnoteText"/>
        <w:rPr>
          <w:rFonts w:ascii="Arial" w:hAnsi="Arial" w:cs="Arial"/>
          <w:sz w:val="16"/>
          <w:szCs w:val="16"/>
        </w:rPr>
      </w:pPr>
      <w:r w:rsidRPr="009B4117">
        <w:rPr>
          <w:rStyle w:val="FootnoteReference"/>
          <w:rFonts w:ascii="Arial" w:hAnsi="Arial" w:cs="Arial"/>
          <w:sz w:val="16"/>
          <w:szCs w:val="16"/>
        </w:rPr>
        <w:footnoteRef/>
      </w:r>
      <w:r w:rsidRPr="009B41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Osiguranik </w:t>
      </w:r>
      <w:r w:rsidRPr="00F56905">
        <w:rPr>
          <w:rFonts w:ascii="Arial" w:hAnsi="Arial" w:cs="Arial"/>
          <w:sz w:val="16"/>
          <w:szCs w:val="16"/>
        </w:rPr>
        <w:t>utvrđuje udio ostvarenih noćenja nerezidenata Republike Hrvatske u ukupnom broju noćenja izvještajem eVisitor.</w:t>
      </w:r>
    </w:p>
  </w:footnote>
  <w:footnote w:id="10">
    <w:p w14:paraId="1DB3F673" w14:textId="4BFC9C40" w:rsidR="00614F49" w:rsidRPr="00DA2310" w:rsidRDefault="00614F49" w:rsidP="00DA231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F56905">
        <w:rPr>
          <w:rStyle w:val="FootnoteReference"/>
          <w:rFonts w:ascii="Arial" w:hAnsi="Arial" w:cs="Arial"/>
          <w:sz w:val="16"/>
          <w:szCs w:val="16"/>
        </w:rPr>
        <w:footnoteRef/>
      </w:r>
      <w:r w:rsidRPr="00F56905">
        <w:rPr>
          <w:rFonts w:ascii="Arial" w:hAnsi="Arial" w:cs="Arial"/>
          <w:sz w:val="16"/>
          <w:szCs w:val="16"/>
        </w:rPr>
        <w:t xml:space="preserve"> Osiguranik utvrđuje ispunjenje kriterija da je Korisnik kredita dobavljač izvoznika na temelju pisane izjave Korisnika kredita o istom, uz </w:t>
      </w:r>
      <w:r>
        <w:rPr>
          <w:rFonts w:ascii="Arial" w:hAnsi="Arial" w:cs="Arial"/>
          <w:sz w:val="16"/>
          <w:szCs w:val="16"/>
        </w:rPr>
        <w:t>dokumente</w:t>
      </w:r>
      <w:r w:rsidRPr="00F56905">
        <w:rPr>
          <w:rFonts w:ascii="Arial" w:hAnsi="Arial" w:cs="Arial"/>
          <w:sz w:val="16"/>
          <w:szCs w:val="16"/>
        </w:rPr>
        <w:t xml:space="preserve"> kojima je </w:t>
      </w:r>
      <w:r>
        <w:rPr>
          <w:rFonts w:ascii="Arial" w:hAnsi="Arial" w:cs="Arial"/>
          <w:sz w:val="16"/>
          <w:szCs w:val="16"/>
        </w:rPr>
        <w:t xml:space="preserve">izjavu </w:t>
      </w:r>
      <w:r w:rsidRPr="00F56905">
        <w:rPr>
          <w:rFonts w:ascii="Arial" w:hAnsi="Arial" w:cs="Arial"/>
          <w:sz w:val="16"/>
          <w:szCs w:val="16"/>
        </w:rPr>
        <w:t>moguće provjeriti i potvrditi (</w:t>
      </w:r>
      <w:r>
        <w:rPr>
          <w:rFonts w:ascii="Arial" w:hAnsi="Arial" w:cs="Arial"/>
          <w:sz w:val="16"/>
          <w:szCs w:val="16"/>
        </w:rPr>
        <w:t xml:space="preserve">dokumente kojima se dokazuje da je Korisnik kredita dobavljač jednom ili više društva i da su ta društva izvoznici; </w:t>
      </w:r>
      <w:r w:rsidRPr="00F56905">
        <w:rPr>
          <w:rFonts w:ascii="Arial" w:hAnsi="Arial" w:cs="Arial"/>
          <w:sz w:val="16"/>
          <w:szCs w:val="16"/>
        </w:rPr>
        <w:t xml:space="preserve">za primjere </w:t>
      </w:r>
      <w:r>
        <w:rPr>
          <w:rFonts w:ascii="Arial" w:hAnsi="Arial" w:cs="Arial"/>
          <w:sz w:val="16"/>
          <w:szCs w:val="16"/>
        </w:rPr>
        <w:t>dokumenata</w:t>
      </w:r>
      <w:r w:rsidRPr="00F56905">
        <w:rPr>
          <w:rFonts w:ascii="Arial" w:hAnsi="Arial" w:cs="Arial"/>
          <w:sz w:val="16"/>
          <w:szCs w:val="16"/>
        </w:rPr>
        <w:t xml:space="preserve"> vidjeti prethodne dvije fusnote).</w:t>
      </w:r>
    </w:p>
  </w:footnote>
  <w:footnote w:id="11">
    <w:p w14:paraId="40F81A7A" w14:textId="4C962EC4" w:rsidR="00614F49" w:rsidRPr="004A267B" w:rsidRDefault="00614F49" w:rsidP="00524E6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A267B">
        <w:rPr>
          <w:rStyle w:val="FootnoteReference"/>
          <w:rFonts w:ascii="Arial" w:hAnsi="Arial" w:cs="Arial"/>
          <w:sz w:val="16"/>
          <w:szCs w:val="16"/>
        </w:rPr>
        <w:footnoteRef/>
      </w:r>
      <w:r w:rsidRPr="004A267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Društvima koja su u većinskom vlasništvu države, smatraju se </w:t>
      </w:r>
      <w:r w:rsidRPr="004A267B">
        <w:rPr>
          <w:rFonts w:ascii="Arial" w:hAnsi="Arial" w:cs="Arial"/>
          <w:sz w:val="16"/>
          <w:szCs w:val="16"/>
        </w:rPr>
        <w:t>društva u kojima Republika Hrvatska ima većinski paket dionica ili većinski udio u upisanom kapitalu</w:t>
      </w:r>
    </w:p>
  </w:footnote>
  <w:footnote w:id="12">
    <w:p w14:paraId="5543CE4F" w14:textId="29D22677" w:rsidR="00614F49" w:rsidRDefault="00614F49" w:rsidP="00064C4E">
      <w:pPr>
        <w:pStyle w:val="FootnoteText"/>
        <w:spacing w:line="276" w:lineRule="auto"/>
        <w:jc w:val="both"/>
      </w:pPr>
      <w:r w:rsidRPr="00C64891">
        <w:rPr>
          <w:rFonts w:ascii="Arial" w:hAnsi="Arial" w:cs="Arial"/>
          <w:sz w:val="16"/>
          <w:szCs w:val="16"/>
          <w:vertAlign w:val="superscript"/>
        </w:rPr>
        <w:footnoteRef/>
      </w:r>
      <w:r w:rsidRPr="00C64891">
        <w:rPr>
          <w:rFonts w:ascii="Arial" w:hAnsi="Arial" w:cs="Arial"/>
          <w:sz w:val="16"/>
          <w:szCs w:val="16"/>
        </w:rPr>
        <w:t xml:space="preserve"> Preporuka Komisije br. 2003/361/EZ od 6. 5. 2003. u vezi s definicijom mikro, malih i srednjih poduzeća (SL L 124, 20. 5. 2003., str. 36-41)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F881" w14:textId="208EFBEC" w:rsidR="00614F49" w:rsidRDefault="00614F49" w:rsidP="001D6823">
    <w:pPr>
      <w:pStyle w:val="Header"/>
      <w:tabs>
        <w:tab w:val="clear" w:pos="9406"/>
        <w:tab w:val="right" w:pos="8460"/>
      </w:tabs>
    </w:pPr>
    <w:r>
      <w:rPr>
        <w:noProof/>
      </w:rPr>
      <w:drawing>
        <wp:inline distT="0" distB="0" distL="0" distR="0" wp14:anchorId="2FA2C86D" wp14:editId="12EFCCE0">
          <wp:extent cx="2412000" cy="777600"/>
          <wp:effectExtent l="0" t="0" r="0" b="0"/>
          <wp:docPr id="1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0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  <w:p w14:paraId="0B7844C2" w14:textId="0883DEC0" w:rsidR="00614F49" w:rsidRPr="00EA60C8" w:rsidRDefault="00614F49" w:rsidP="00EA60C8">
    <w:pPr>
      <w:pStyle w:val="Header"/>
      <w:spacing w:before="120"/>
      <w:rPr>
        <w:rFonts w:ascii="Arial" w:hAnsi="Arial" w:cs="Arial"/>
        <w:b/>
        <w:sz w:val="20"/>
        <w:szCs w:val="20"/>
      </w:rPr>
    </w:pPr>
    <w:r w:rsidRPr="00EA60C8">
      <w:rPr>
        <w:rFonts w:ascii="Arial" w:hAnsi="Arial" w:cs="Arial"/>
        <w:b/>
        <w:sz w:val="20"/>
        <w:szCs w:val="20"/>
      </w:rPr>
      <w:t>Prilog 2 – Program osiguranja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F60"/>
    <w:multiLevelType w:val="hybridMultilevel"/>
    <w:tmpl w:val="30E64A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A3F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1325B"/>
    <w:multiLevelType w:val="hybridMultilevel"/>
    <w:tmpl w:val="2D3E207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F83E8C"/>
    <w:multiLevelType w:val="hybridMultilevel"/>
    <w:tmpl w:val="89564F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3222894"/>
    <w:multiLevelType w:val="hybridMultilevel"/>
    <w:tmpl w:val="C1046126"/>
    <w:lvl w:ilvl="0" w:tplc="17C2B4C0">
      <w:start w:val="1"/>
      <w:numFmt w:val="bullet"/>
      <w:lvlText w:val="―"/>
      <w:lvlJc w:val="left"/>
      <w:pPr>
        <w:ind w:left="7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B7390B"/>
    <w:multiLevelType w:val="hybridMultilevel"/>
    <w:tmpl w:val="19D8DC4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B07EE2"/>
    <w:multiLevelType w:val="hybridMultilevel"/>
    <w:tmpl w:val="14E4D0B4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E77D5"/>
    <w:multiLevelType w:val="hybridMultilevel"/>
    <w:tmpl w:val="54BACFD0"/>
    <w:lvl w:ilvl="0" w:tplc="331ABD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7A7D"/>
    <w:multiLevelType w:val="hybridMultilevel"/>
    <w:tmpl w:val="90245AA6"/>
    <w:lvl w:ilvl="0" w:tplc="041A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A59A9F46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  <w:sz w:val="20"/>
        <w:szCs w:val="20"/>
      </w:rPr>
    </w:lvl>
    <w:lvl w:ilvl="2" w:tplc="041A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2A66379B"/>
    <w:multiLevelType w:val="hybridMultilevel"/>
    <w:tmpl w:val="0E949174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AE00F5"/>
    <w:multiLevelType w:val="hybridMultilevel"/>
    <w:tmpl w:val="E8D86552"/>
    <w:lvl w:ilvl="0" w:tplc="80A23F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370B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AD7636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F2BF7"/>
    <w:multiLevelType w:val="hybridMultilevel"/>
    <w:tmpl w:val="E49261DC"/>
    <w:lvl w:ilvl="0" w:tplc="8D3CC2B6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F97"/>
    <w:multiLevelType w:val="hybridMultilevel"/>
    <w:tmpl w:val="CA804F86"/>
    <w:lvl w:ilvl="0" w:tplc="041A0017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3C0E3508"/>
    <w:multiLevelType w:val="hybridMultilevel"/>
    <w:tmpl w:val="05A28E18"/>
    <w:lvl w:ilvl="0" w:tplc="DAA441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C1246"/>
    <w:multiLevelType w:val="hybridMultilevel"/>
    <w:tmpl w:val="9B20B4AE"/>
    <w:lvl w:ilvl="0" w:tplc="5328B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26D5D"/>
    <w:multiLevelType w:val="hybridMultilevel"/>
    <w:tmpl w:val="93DAA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B5D55"/>
    <w:multiLevelType w:val="hybridMultilevel"/>
    <w:tmpl w:val="0AE44AF8"/>
    <w:lvl w:ilvl="0" w:tplc="8C40DCA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16"/>
        <w:szCs w:val="1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66443"/>
    <w:multiLevelType w:val="hybridMultilevel"/>
    <w:tmpl w:val="42BA58B8"/>
    <w:lvl w:ilvl="0" w:tplc="CB08A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1736BC"/>
    <w:multiLevelType w:val="hybridMultilevel"/>
    <w:tmpl w:val="47061C64"/>
    <w:lvl w:ilvl="0" w:tplc="7B44777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0188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735027"/>
    <w:multiLevelType w:val="hybridMultilevel"/>
    <w:tmpl w:val="1CE866A0"/>
    <w:lvl w:ilvl="0" w:tplc="9E1C2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3AC"/>
    <w:multiLevelType w:val="hybridMultilevel"/>
    <w:tmpl w:val="FB88388E"/>
    <w:lvl w:ilvl="0" w:tplc="331ABD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681"/>
    <w:multiLevelType w:val="hybridMultilevel"/>
    <w:tmpl w:val="191A6018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7B2BB5"/>
    <w:multiLevelType w:val="hybridMultilevel"/>
    <w:tmpl w:val="F29E5B42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D789F"/>
    <w:multiLevelType w:val="hybridMultilevel"/>
    <w:tmpl w:val="42029C9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265880"/>
    <w:multiLevelType w:val="hybridMultilevel"/>
    <w:tmpl w:val="9E0A7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47AD"/>
    <w:multiLevelType w:val="hybridMultilevel"/>
    <w:tmpl w:val="D326D060"/>
    <w:lvl w:ilvl="0" w:tplc="DA34A662">
      <w:start w:val="1"/>
      <w:numFmt w:val="lowerRoman"/>
      <w:lvlText w:val="%1."/>
      <w:lvlJc w:val="left"/>
      <w:pPr>
        <w:ind w:left="160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60B36E26"/>
    <w:multiLevelType w:val="hybridMultilevel"/>
    <w:tmpl w:val="FA088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30E60"/>
    <w:multiLevelType w:val="hybridMultilevel"/>
    <w:tmpl w:val="231C4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828E3"/>
    <w:multiLevelType w:val="hybridMultilevel"/>
    <w:tmpl w:val="A5EE3C46"/>
    <w:lvl w:ilvl="0" w:tplc="17C2B4C0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7725E"/>
    <w:multiLevelType w:val="hybridMultilevel"/>
    <w:tmpl w:val="8CEA6E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10B95"/>
    <w:multiLevelType w:val="hybridMultilevel"/>
    <w:tmpl w:val="C360ABB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A5CB0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1D0082"/>
    <w:multiLevelType w:val="multilevel"/>
    <w:tmpl w:val="4266B81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BC3DFB"/>
    <w:multiLevelType w:val="multilevel"/>
    <w:tmpl w:val="3B7C886C"/>
    <w:lvl w:ilvl="0">
      <w:start w:val="1"/>
      <w:numFmt w:val="decimal"/>
      <w:lvlText w:val="%1."/>
      <w:lvlJc w:val="left"/>
      <w:pPr>
        <w:ind w:left="644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EB2E18"/>
    <w:multiLevelType w:val="hybridMultilevel"/>
    <w:tmpl w:val="75C698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E28D8"/>
    <w:multiLevelType w:val="hybridMultilevel"/>
    <w:tmpl w:val="32A0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776D9"/>
    <w:multiLevelType w:val="hybridMultilevel"/>
    <w:tmpl w:val="B3204324"/>
    <w:lvl w:ilvl="0" w:tplc="DC5AF4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75791"/>
    <w:multiLevelType w:val="hybridMultilevel"/>
    <w:tmpl w:val="3DB48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6006D"/>
    <w:multiLevelType w:val="hybridMultilevel"/>
    <w:tmpl w:val="1DE2EDD8"/>
    <w:lvl w:ilvl="0" w:tplc="FDD478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6148C"/>
    <w:multiLevelType w:val="multilevel"/>
    <w:tmpl w:val="2910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4D24A4"/>
    <w:multiLevelType w:val="hybridMultilevel"/>
    <w:tmpl w:val="C074AE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7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8"/>
  </w:num>
  <w:num w:numId="8">
    <w:abstractNumId w:val="14"/>
  </w:num>
  <w:num w:numId="9">
    <w:abstractNumId w:val="12"/>
  </w:num>
  <w:num w:numId="10">
    <w:abstractNumId w:val="0"/>
  </w:num>
  <w:num w:numId="11">
    <w:abstractNumId w:val="43"/>
  </w:num>
  <w:num w:numId="12">
    <w:abstractNumId w:val="31"/>
  </w:num>
  <w:num w:numId="13">
    <w:abstractNumId w:val="30"/>
  </w:num>
  <w:num w:numId="14">
    <w:abstractNumId w:val="34"/>
  </w:num>
  <w:num w:numId="15">
    <w:abstractNumId w:val="44"/>
  </w:num>
  <w:num w:numId="16">
    <w:abstractNumId w:val="19"/>
  </w:num>
  <w:num w:numId="17">
    <w:abstractNumId w:val="1"/>
  </w:num>
  <w:num w:numId="18">
    <w:abstractNumId w:val="13"/>
  </w:num>
  <w:num w:numId="19">
    <w:abstractNumId w:val="41"/>
  </w:num>
  <w:num w:numId="20">
    <w:abstractNumId w:val="36"/>
  </w:num>
  <w:num w:numId="21">
    <w:abstractNumId w:val="2"/>
  </w:num>
  <w:num w:numId="22">
    <w:abstractNumId w:val="20"/>
  </w:num>
  <w:num w:numId="23">
    <w:abstractNumId w:val="11"/>
  </w:num>
  <w:num w:numId="24">
    <w:abstractNumId w:val="42"/>
  </w:num>
  <w:num w:numId="25">
    <w:abstractNumId w:val="39"/>
  </w:num>
  <w:num w:numId="26">
    <w:abstractNumId w:val="6"/>
  </w:num>
  <w:num w:numId="27">
    <w:abstractNumId w:val="33"/>
  </w:num>
  <w:num w:numId="28">
    <w:abstractNumId w:val="23"/>
  </w:num>
  <w:num w:numId="29">
    <w:abstractNumId w:val="16"/>
  </w:num>
  <w:num w:numId="30">
    <w:abstractNumId w:val="17"/>
  </w:num>
  <w:num w:numId="31">
    <w:abstractNumId w:val="26"/>
  </w:num>
  <w:num w:numId="32">
    <w:abstractNumId w:val="24"/>
  </w:num>
  <w:num w:numId="33">
    <w:abstractNumId w:val="21"/>
  </w:num>
  <w:num w:numId="34">
    <w:abstractNumId w:val="8"/>
  </w:num>
  <w:num w:numId="35">
    <w:abstractNumId w:val="38"/>
  </w:num>
  <w:num w:numId="36">
    <w:abstractNumId w:val="3"/>
  </w:num>
  <w:num w:numId="37">
    <w:abstractNumId w:val="5"/>
  </w:num>
  <w:num w:numId="38">
    <w:abstractNumId w:val="25"/>
  </w:num>
  <w:num w:numId="39">
    <w:abstractNumId w:val="27"/>
  </w:num>
  <w:num w:numId="40">
    <w:abstractNumId w:val="32"/>
  </w:num>
  <w:num w:numId="41">
    <w:abstractNumId w:val="28"/>
  </w:num>
  <w:num w:numId="42">
    <w:abstractNumId w:val="40"/>
  </w:num>
  <w:num w:numId="43">
    <w:abstractNumId w:val="15"/>
  </w:num>
  <w:num w:numId="44">
    <w:abstractNumId w:val="29"/>
  </w:num>
  <w:num w:numId="45">
    <w:abstractNumId w:val="4"/>
  </w:num>
  <w:num w:numId="4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6"/>
    <w:rsid w:val="00000F12"/>
    <w:rsid w:val="00001826"/>
    <w:rsid w:val="00003280"/>
    <w:rsid w:val="000038ED"/>
    <w:rsid w:val="000052C6"/>
    <w:rsid w:val="000100B7"/>
    <w:rsid w:val="00010806"/>
    <w:rsid w:val="00010EFB"/>
    <w:rsid w:val="00011F86"/>
    <w:rsid w:val="00012442"/>
    <w:rsid w:val="000132D7"/>
    <w:rsid w:val="00013691"/>
    <w:rsid w:val="00013959"/>
    <w:rsid w:val="00013964"/>
    <w:rsid w:val="0001599A"/>
    <w:rsid w:val="000228A1"/>
    <w:rsid w:val="00023E1B"/>
    <w:rsid w:val="00024FE2"/>
    <w:rsid w:val="0002629C"/>
    <w:rsid w:val="00027FA3"/>
    <w:rsid w:val="0003182C"/>
    <w:rsid w:val="00032838"/>
    <w:rsid w:val="00032842"/>
    <w:rsid w:val="00034A02"/>
    <w:rsid w:val="00035093"/>
    <w:rsid w:val="000374C4"/>
    <w:rsid w:val="00040718"/>
    <w:rsid w:val="00043805"/>
    <w:rsid w:val="00044310"/>
    <w:rsid w:val="00045966"/>
    <w:rsid w:val="00045ABC"/>
    <w:rsid w:val="00045D28"/>
    <w:rsid w:val="00046720"/>
    <w:rsid w:val="00047712"/>
    <w:rsid w:val="00050C9A"/>
    <w:rsid w:val="00051422"/>
    <w:rsid w:val="000528E1"/>
    <w:rsid w:val="00052E07"/>
    <w:rsid w:val="00053258"/>
    <w:rsid w:val="00053A34"/>
    <w:rsid w:val="00054313"/>
    <w:rsid w:val="00054BA2"/>
    <w:rsid w:val="00054FCA"/>
    <w:rsid w:val="0005518C"/>
    <w:rsid w:val="00056C6F"/>
    <w:rsid w:val="000578A9"/>
    <w:rsid w:val="00060005"/>
    <w:rsid w:val="000623D9"/>
    <w:rsid w:val="000626D1"/>
    <w:rsid w:val="00064C4E"/>
    <w:rsid w:val="00065E16"/>
    <w:rsid w:val="00074265"/>
    <w:rsid w:val="000765FB"/>
    <w:rsid w:val="00077812"/>
    <w:rsid w:val="00080048"/>
    <w:rsid w:val="000823E4"/>
    <w:rsid w:val="000863AF"/>
    <w:rsid w:val="00091BB5"/>
    <w:rsid w:val="000920E8"/>
    <w:rsid w:val="00092910"/>
    <w:rsid w:val="000942F7"/>
    <w:rsid w:val="00095DF5"/>
    <w:rsid w:val="00096739"/>
    <w:rsid w:val="000A1D28"/>
    <w:rsid w:val="000A1E8C"/>
    <w:rsid w:val="000A2827"/>
    <w:rsid w:val="000A2E81"/>
    <w:rsid w:val="000A7C16"/>
    <w:rsid w:val="000B3171"/>
    <w:rsid w:val="000B3E4B"/>
    <w:rsid w:val="000B6917"/>
    <w:rsid w:val="000B6FCE"/>
    <w:rsid w:val="000C30F6"/>
    <w:rsid w:val="000C4741"/>
    <w:rsid w:val="000C490A"/>
    <w:rsid w:val="000C50F8"/>
    <w:rsid w:val="000D047E"/>
    <w:rsid w:val="000D143E"/>
    <w:rsid w:val="000D3C1D"/>
    <w:rsid w:val="000D422A"/>
    <w:rsid w:val="000D6DD1"/>
    <w:rsid w:val="000D6ECA"/>
    <w:rsid w:val="000D799F"/>
    <w:rsid w:val="000E0DA9"/>
    <w:rsid w:val="000E2949"/>
    <w:rsid w:val="000E4475"/>
    <w:rsid w:val="000E7894"/>
    <w:rsid w:val="000E7E4E"/>
    <w:rsid w:val="000F16C3"/>
    <w:rsid w:val="000F3931"/>
    <w:rsid w:val="000F5186"/>
    <w:rsid w:val="000F59BC"/>
    <w:rsid w:val="000F5E82"/>
    <w:rsid w:val="000F6F2B"/>
    <w:rsid w:val="000F6FC3"/>
    <w:rsid w:val="00100090"/>
    <w:rsid w:val="0010150C"/>
    <w:rsid w:val="00102BEF"/>
    <w:rsid w:val="0010377F"/>
    <w:rsid w:val="0010599A"/>
    <w:rsid w:val="00105DE1"/>
    <w:rsid w:val="001061D3"/>
    <w:rsid w:val="0011085F"/>
    <w:rsid w:val="00110924"/>
    <w:rsid w:val="00111C3F"/>
    <w:rsid w:val="0011335B"/>
    <w:rsid w:val="001150D4"/>
    <w:rsid w:val="001232A1"/>
    <w:rsid w:val="0012352C"/>
    <w:rsid w:val="001240F7"/>
    <w:rsid w:val="001269CF"/>
    <w:rsid w:val="0013174C"/>
    <w:rsid w:val="00132DD1"/>
    <w:rsid w:val="00134E36"/>
    <w:rsid w:val="00135C4F"/>
    <w:rsid w:val="00135E95"/>
    <w:rsid w:val="00136F6C"/>
    <w:rsid w:val="00140451"/>
    <w:rsid w:val="001419CA"/>
    <w:rsid w:val="00141AAE"/>
    <w:rsid w:val="0014235E"/>
    <w:rsid w:val="00143255"/>
    <w:rsid w:val="001456D5"/>
    <w:rsid w:val="00145992"/>
    <w:rsid w:val="001469AF"/>
    <w:rsid w:val="00147A82"/>
    <w:rsid w:val="0015086B"/>
    <w:rsid w:val="00151F70"/>
    <w:rsid w:val="00153978"/>
    <w:rsid w:val="001542F8"/>
    <w:rsid w:val="00154815"/>
    <w:rsid w:val="001548BA"/>
    <w:rsid w:val="0015538F"/>
    <w:rsid w:val="00157D72"/>
    <w:rsid w:val="0016136B"/>
    <w:rsid w:val="00162201"/>
    <w:rsid w:val="00162D68"/>
    <w:rsid w:val="00162F2B"/>
    <w:rsid w:val="001644B7"/>
    <w:rsid w:val="00165206"/>
    <w:rsid w:val="00165B8C"/>
    <w:rsid w:val="00165C9F"/>
    <w:rsid w:val="001669CD"/>
    <w:rsid w:val="00171141"/>
    <w:rsid w:val="001734A7"/>
    <w:rsid w:val="0018113A"/>
    <w:rsid w:val="00182303"/>
    <w:rsid w:val="00182A10"/>
    <w:rsid w:val="00187E81"/>
    <w:rsid w:val="001908F6"/>
    <w:rsid w:val="00191487"/>
    <w:rsid w:val="001914F9"/>
    <w:rsid w:val="00191DF8"/>
    <w:rsid w:val="001A0E11"/>
    <w:rsid w:val="001A132C"/>
    <w:rsid w:val="001A187F"/>
    <w:rsid w:val="001A2470"/>
    <w:rsid w:val="001A4A14"/>
    <w:rsid w:val="001A67FD"/>
    <w:rsid w:val="001A73BD"/>
    <w:rsid w:val="001B0E3F"/>
    <w:rsid w:val="001B14F9"/>
    <w:rsid w:val="001B1AFD"/>
    <w:rsid w:val="001B3315"/>
    <w:rsid w:val="001B4B39"/>
    <w:rsid w:val="001B56D4"/>
    <w:rsid w:val="001B5C4D"/>
    <w:rsid w:val="001B7133"/>
    <w:rsid w:val="001C09DF"/>
    <w:rsid w:val="001C14D9"/>
    <w:rsid w:val="001C1FF1"/>
    <w:rsid w:val="001C30A7"/>
    <w:rsid w:val="001C500A"/>
    <w:rsid w:val="001C551B"/>
    <w:rsid w:val="001C5BD8"/>
    <w:rsid w:val="001C6792"/>
    <w:rsid w:val="001C69B8"/>
    <w:rsid w:val="001C6EE3"/>
    <w:rsid w:val="001D23C1"/>
    <w:rsid w:val="001D4331"/>
    <w:rsid w:val="001D5067"/>
    <w:rsid w:val="001D6823"/>
    <w:rsid w:val="001D798E"/>
    <w:rsid w:val="001E266B"/>
    <w:rsid w:val="001F22D1"/>
    <w:rsid w:val="001F3AE8"/>
    <w:rsid w:val="001F4C50"/>
    <w:rsid w:val="001F65EC"/>
    <w:rsid w:val="001F6DC5"/>
    <w:rsid w:val="001F79F1"/>
    <w:rsid w:val="00201BAB"/>
    <w:rsid w:val="00202B6F"/>
    <w:rsid w:val="00202D2C"/>
    <w:rsid w:val="002041DB"/>
    <w:rsid w:val="0020543A"/>
    <w:rsid w:val="00205CC9"/>
    <w:rsid w:val="00206E18"/>
    <w:rsid w:val="0020773B"/>
    <w:rsid w:val="00207D66"/>
    <w:rsid w:val="0021068C"/>
    <w:rsid w:val="0021197A"/>
    <w:rsid w:val="002119E3"/>
    <w:rsid w:val="00211F8A"/>
    <w:rsid w:val="00212108"/>
    <w:rsid w:val="00213C39"/>
    <w:rsid w:val="0021607C"/>
    <w:rsid w:val="00220760"/>
    <w:rsid w:val="0022283D"/>
    <w:rsid w:val="002248A2"/>
    <w:rsid w:val="00224D0E"/>
    <w:rsid w:val="00225C6D"/>
    <w:rsid w:val="002308DC"/>
    <w:rsid w:val="002308F5"/>
    <w:rsid w:val="002311BA"/>
    <w:rsid w:val="0023301E"/>
    <w:rsid w:val="0023394D"/>
    <w:rsid w:val="00233C11"/>
    <w:rsid w:val="002340CD"/>
    <w:rsid w:val="00236018"/>
    <w:rsid w:val="00242BF4"/>
    <w:rsid w:val="002438E7"/>
    <w:rsid w:val="00251F07"/>
    <w:rsid w:val="00254820"/>
    <w:rsid w:val="002552F9"/>
    <w:rsid w:val="00256EB9"/>
    <w:rsid w:val="00257B37"/>
    <w:rsid w:val="00257FE5"/>
    <w:rsid w:val="00261295"/>
    <w:rsid w:val="00262AEF"/>
    <w:rsid w:val="00262E33"/>
    <w:rsid w:val="00263B12"/>
    <w:rsid w:val="00265B6B"/>
    <w:rsid w:val="00265C94"/>
    <w:rsid w:val="00265D65"/>
    <w:rsid w:val="0027084B"/>
    <w:rsid w:val="00270E68"/>
    <w:rsid w:val="00272725"/>
    <w:rsid w:val="00275A38"/>
    <w:rsid w:val="00276655"/>
    <w:rsid w:val="00276E21"/>
    <w:rsid w:val="00276E63"/>
    <w:rsid w:val="00283920"/>
    <w:rsid w:val="00283FF4"/>
    <w:rsid w:val="00285386"/>
    <w:rsid w:val="00287B6C"/>
    <w:rsid w:val="002901C4"/>
    <w:rsid w:val="0029029B"/>
    <w:rsid w:val="0029030A"/>
    <w:rsid w:val="00290B9C"/>
    <w:rsid w:val="002915A6"/>
    <w:rsid w:val="00291944"/>
    <w:rsid w:val="002930D6"/>
    <w:rsid w:val="002950F2"/>
    <w:rsid w:val="002961F5"/>
    <w:rsid w:val="0029658E"/>
    <w:rsid w:val="002966D4"/>
    <w:rsid w:val="002A32CF"/>
    <w:rsid w:val="002A6212"/>
    <w:rsid w:val="002B1274"/>
    <w:rsid w:val="002B21F5"/>
    <w:rsid w:val="002B2663"/>
    <w:rsid w:val="002B2D56"/>
    <w:rsid w:val="002B4007"/>
    <w:rsid w:val="002B59D8"/>
    <w:rsid w:val="002B6831"/>
    <w:rsid w:val="002C014D"/>
    <w:rsid w:val="002C1228"/>
    <w:rsid w:val="002C1D87"/>
    <w:rsid w:val="002C2309"/>
    <w:rsid w:val="002C4229"/>
    <w:rsid w:val="002C4AAB"/>
    <w:rsid w:val="002C6C66"/>
    <w:rsid w:val="002C7440"/>
    <w:rsid w:val="002D07D5"/>
    <w:rsid w:val="002D24DC"/>
    <w:rsid w:val="002D273A"/>
    <w:rsid w:val="002D27DD"/>
    <w:rsid w:val="002D39FF"/>
    <w:rsid w:val="002D5243"/>
    <w:rsid w:val="002D5970"/>
    <w:rsid w:val="002D64E7"/>
    <w:rsid w:val="002D71D4"/>
    <w:rsid w:val="002E0CEC"/>
    <w:rsid w:val="002E4FB2"/>
    <w:rsid w:val="002E5749"/>
    <w:rsid w:val="002F0CAD"/>
    <w:rsid w:val="002F0E2C"/>
    <w:rsid w:val="002F2525"/>
    <w:rsid w:val="002F42C7"/>
    <w:rsid w:val="00302F6E"/>
    <w:rsid w:val="003035D1"/>
    <w:rsid w:val="0030475C"/>
    <w:rsid w:val="00304BCA"/>
    <w:rsid w:val="00304F0C"/>
    <w:rsid w:val="00306675"/>
    <w:rsid w:val="0031035E"/>
    <w:rsid w:val="00310B7D"/>
    <w:rsid w:val="0031257E"/>
    <w:rsid w:val="003134E8"/>
    <w:rsid w:val="00313AFB"/>
    <w:rsid w:val="00315CF1"/>
    <w:rsid w:val="00316B83"/>
    <w:rsid w:val="0031774F"/>
    <w:rsid w:val="0032070D"/>
    <w:rsid w:val="00321C69"/>
    <w:rsid w:val="00331625"/>
    <w:rsid w:val="0033200B"/>
    <w:rsid w:val="00334965"/>
    <w:rsid w:val="00335015"/>
    <w:rsid w:val="003356F4"/>
    <w:rsid w:val="00336B22"/>
    <w:rsid w:val="00337174"/>
    <w:rsid w:val="00337322"/>
    <w:rsid w:val="00340138"/>
    <w:rsid w:val="00344714"/>
    <w:rsid w:val="00346DA3"/>
    <w:rsid w:val="003506ED"/>
    <w:rsid w:val="003507FB"/>
    <w:rsid w:val="0035113C"/>
    <w:rsid w:val="00352725"/>
    <w:rsid w:val="00354888"/>
    <w:rsid w:val="0035657E"/>
    <w:rsid w:val="003600A2"/>
    <w:rsid w:val="00360DDC"/>
    <w:rsid w:val="00361E20"/>
    <w:rsid w:val="003666FF"/>
    <w:rsid w:val="00367870"/>
    <w:rsid w:val="003678DB"/>
    <w:rsid w:val="00367985"/>
    <w:rsid w:val="00372822"/>
    <w:rsid w:val="0037370E"/>
    <w:rsid w:val="00374F77"/>
    <w:rsid w:val="003760E6"/>
    <w:rsid w:val="00377289"/>
    <w:rsid w:val="00380BE8"/>
    <w:rsid w:val="003811B5"/>
    <w:rsid w:val="0038171D"/>
    <w:rsid w:val="00382C99"/>
    <w:rsid w:val="00384DAD"/>
    <w:rsid w:val="00387809"/>
    <w:rsid w:val="00387DEE"/>
    <w:rsid w:val="00391B35"/>
    <w:rsid w:val="00391B7B"/>
    <w:rsid w:val="003929EE"/>
    <w:rsid w:val="0039503F"/>
    <w:rsid w:val="00397249"/>
    <w:rsid w:val="00397F76"/>
    <w:rsid w:val="003A10A3"/>
    <w:rsid w:val="003A2E95"/>
    <w:rsid w:val="003A3695"/>
    <w:rsid w:val="003A5460"/>
    <w:rsid w:val="003A62F1"/>
    <w:rsid w:val="003A6768"/>
    <w:rsid w:val="003B0A56"/>
    <w:rsid w:val="003B0CF7"/>
    <w:rsid w:val="003B1B31"/>
    <w:rsid w:val="003B39F2"/>
    <w:rsid w:val="003B3E35"/>
    <w:rsid w:val="003B5698"/>
    <w:rsid w:val="003B6767"/>
    <w:rsid w:val="003C0671"/>
    <w:rsid w:val="003C1A39"/>
    <w:rsid w:val="003C1AF4"/>
    <w:rsid w:val="003C3FC9"/>
    <w:rsid w:val="003C4C91"/>
    <w:rsid w:val="003C604C"/>
    <w:rsid w:val="003C681B"/>
    <w:rsid w:val="003C7451"/>
    <w:rsid w:val="003D0097"/>
    <w:rsid w:val="003D0645"/>
    <w:rsid w:val="003D12D4"/>
    <w:rsid w:val="003D2197"/>
    <w:rsid w:val="003D3375"/>
    <w:rsid w:val="003D7253"/>
    <w:rsid w:val="003D75A2"/>
    <w:rsid w:val="003D7614"/>
    <w:rsid w:val="003D7DCF"/>
    <w:rsid w:val="003E1BB4"/>
    <w:rsid w:val="003E39CC"/>
    <w:rsid w:val="003E42DB"/>
    <w:rsid w:val="003E4BE1"/>
    <w:rsid w:val="003E4D9D"/>
    <w:rsid w:val="003E52C4"/>
    <w:rsid w:val="003E5527"/>
    <w:rsid w:val="003E6194"/>
    <w:rsid w:val="003F0566"/>
    <w:rsid w:val="003F210C"/>
    <w:rsid w:val="003F2112"/>
    <w:rsid w:val="003F28EA"/>
    <w:rsid w:val="003F488C"/>
    <w:rsid w:val="003F5ECD"/>
    <w:rsid w:val="0040236E"/>
    <w:rsid w:val="00403824"/>
    <w:rsid w:val="00403FE2"/>
    <w:rsid w:val="00404206"/>
    <w:rsid w:val="00404737"/>
    <w:rsid w:val="0041034A"/>
    <w:rsid w:val="004105EC"/>
    <w:rsid w:val="00410A34"/>
    <w:rsid w:val="00411AEF"/>
    <w:rsid w:val="00411D1F"/>
    <w:rsid w:val="00412FEC"/>
    <w:rsid w:val="00414A44"/>
    <w:rsid w:val="004204AE"/>
    <w:rsid w:val="00422D7E"/>
    <w:rsid w:val="00422E16"/>
    <w:rsid w:val="00424332"/>
    <w:rsid w:val="004275FD"/>
    <w:rsid w:val="00427893"/>
    <w:rsid w:val="00431170"/>
    <w:rsid w:val="00433DB8"/>
    <w:rsid w:val="00437BC2"/>
    <w:rsid w:val="0044536C"/>
    <w:rsid w:val="00445439"/>
    <w:rsid w:val="00446C3A"/>
    <w:rsid w:val="00446CBC"/>
    <w:rsid w:val="00447EEA"/>
    <w:rsid w:val="004501A4"/>
    <w:rsid w:val="0045095C"/>
    <w:rsid w:val="00451EF3"/>
    <w:rsid w:val="004520E4"/>
    <w:rsid w:val="004527DF"/>
    <w:rsid w:val="0045407F"/>
    <w:rsid w:val="0045468D"/>
    <w:rsid w:val="00454C43"/>
    <w:rsid w:val="0045518C"/>
    <w:rsid w:val="00456149"/>
    <w:rsid w:val="00457F6F"/>
    <w:rsid w:val="0046032E"/>
    <w:rsid w:val="00460A21"/>
    <w:rsid w:val="00461E03"/>
    <w:rsid w:val="00462325"/>
    <w:rsid w:val="0046287F"/>
    <w:rsid w:val="0046479C"/>
    <w:rsid w:val="00466CA6"/>
    <w:rsid w:val="00467180"/>
    <w:rsid w:val="004719E4"/>
    <w:rsid w:val="00472095"/>
    <w:rsid w:val="00472A30"/>
    <w:rsid w:val="00474951"/>
    <w:rsid w:val="00474C6C"/>
    <w:rsid w:val="00477737"/>
    <w:rsid w:val="00480F12"/>
    <w:rsid w:val="00482864"/>
    <w:rsid w:val="004836CD"/>
    <w:rsid w:val="0048446A"/>
    <w:rsid w:val="00486050"/>
    <w:rsid w:val="00486664"/>
    <w:rsid w:val="004868B8"/>
    <w:rsid w:val="00487080"/>
    <w:rsid w:val="004908E2"/>
    <w:rsid w:val="00491023"/>
    <w:rsid w:val="004917FE"/>
    <w:rsid w:val="0049406D"/>
    <w:rsid w:val="0049418E"/>
    <w:rsid w:val="004970E6"/>
    <w:rsid w:val="004974A2"/>
    <w:rsid w:val="0049785C"/>
    <w:rsid w:val="004A086E"/>
    <w:rsid w:val="004A267B"/>
    <w:rsid w:val="004A523B"/>
    <w:rsid w:val="004A5EBB"/>
    <w:rsid w:val="004A680D"/>
    <w:rsid w:val="004A73C0"/>
    <w:rsid w:val="004B0CBF"/>
    <w:rsid w:val="004B20FC"/>
    <w:rsid w:val="004B2DEF"/>
    <w:rsid w:val="004B69B2"/>
    <w:rsid w:val="004B6C6A"/>
    <w:rsid w:val="004B7D56"/>
    <w:rsid w:val="004C1291"/>
    <w:rsid w:val="004C20B6"/>
    <w:rsid w:val="004C2EBB"/>
    <w:rsid w:val="004C4C2B"/>
    <w:rsid w:val="004C4DA4"/>
    <w:rsid w:val="004C744B"/>
    <w:rsid w:val="004D3CC9"/>
    <w:rsid w:val="004D52EA"/>
    <w:rsid w:val="004D7297"/>
    <w:rsid w:val="004D76D5"/>
    <w:rsid w:val="004D79B0"/>
    <w:rsid w:val="004E02B7"/>
    <w:rsid w:val="004E1876"/>
    <w:rsid w:val="004E26A1"/>
    <w:rsid w:val="004E57D3"/>
    <w:rsid w:val="004F0195"/>
    <w:rsid w:val="004F1474"/>
    <w:rsid w:val="004F3F0A"/>
    <w:rsid w:val="004F5471"/>
    <w:rsid w:val="004F5AD9"/>
    <w:rsid w:val="004F5D56"/>
    <w:rsid w:val="004F7CFC"/>
    <w:rsid w:val="005007D9"/>
    <w:rsid w:val="005049B4"/>
    <w:rsid w:val="00504B22"/>
    <w:rsid w:val="00505E9C"/>
    <w:rsid w:val="00506FD2"/>
    <w:rsid w:val="00507633"/>
    <w:rsid w:val="00507BA4"/>
    <w:rsid w:val="00507BBE"/>
    <w:rsid w:val="00507DB4"/>
    <w:rsid w:val="00512D44"/>
    <w:rsid w:val="0051353E"/>
    <w:rsid w:val="005151EB"/>
    <w:rsid w:val="005206D3"/>
    <w:rsid w:val="00521B9E"/>
    <w:rsid w:val="00521CB5"/>
    <w:rsid w:val="005224D0"/>
    <w:rsid w:val="00523F3E"/>
    <w:rsid w:val="00524E64"/>
    <w:rsid w:val="00525018"/>
    <w:rsid w:val="00525073"/>
    <w:rsid w:val="005251A6"/>
    <w:rsid w:val="00526C26"/>
    <w:rsid w:val="00527D2A"/>
    <w:rsid w:val="00531A90"/>
    <w:rsid w:val="00532060"/>
    <w:rsid w:val="00534BE9"/>
    <w:rsid w:val="005351E5"/>
    <w:rsid w:val="00535409"/>
    <w:rsid w:val="005408F4"/>
    <w:rsid w:val="005424A2"/>
    <w:rsid w:val="0054348A"/>
    <w:rsid w:val="00547245"/>
    <w:rsid w:val="00550C31"/>
    <w:rsid w:val="00550C4B"/>
    <w:rsid w:val="005512F3"/>
    <w:rsid w:val="0055288A"/>
    <w:rsid w:val="005540A0"/>
    <w:rsid w:val="0055577F"/>
    <w:rsid w:val="0055662B"/>
    <w:rsid w:val="00556A85"/>
    <w:rsid w:val="00556E64"/>
    <w:rsid w:val="00557843"/>
    <w:rsid w:val="00557C64"/>
    <w:rsid w:val="00561F1F"/>
    <w:rsid w:val="0056276A"/>
    <w:rsid w:val="00563150"/>
    <w:rsid w:val="00564967"/>
    <w:rsid w:val="00566462"/>
    <w:rsid w:val="00567129"/>
    <w:rsid w:val="0056720F"/>
    <w:rsid w:val="005711AD"/>
    <w:rsid w:val="005713CF"/>
    <w:rsid w:val="00572E38"/>
    <w:rsid w:val="0057312C"/>
    <w:rsid w:val="005734ED"/>
    <w:rsid w:val="00573911"/>
    <w:rsid w:val="00573C25"/>
    <w:rsid w:val="00576EA4"/>
    <w:rsid w:val="00577848"/>
    <w:rsid w:val="00581C8B"/>
    <w:rsid w:val="00581F02"/>
    <w:rsid w:val="005838A9"/>
    <w:rsid w:val="00584444"/>
    <w:rsid w:val="00585A99"/>
    <w:rsid w:val="00585D27"/>
    <w:rsid w:val="005865DE"/>
    <w:rsid w:val="005926EB"/>
    <w:rsid w:val="00592F0B"/>
    <w:rsid w:val="0059422C"/>
    <w:rsid w:val="00594672"/>
    <w:rsid w:val="00595829"/>
    <w:rsid w:val="00595C67"/>
    <w:rsid w:val="0059741E"/>
    <w:rsid w:val="005974C8"/>
    <w:rsid w:val="00597ED9"/>
    <w:rsid w:val="005A05D0"/>
    <w:rsid w:val="005A13DE"/>
    <w:rsid w:val="005A21A9"/>
    <w:rsid w:val="005A36C6"/>
    <w:rsid w:val="005A4446"/>
    <w:rsid w:val="005A5545"/>
    <w:rsid w:val="005A5A52"/>
    <w:rsid w:val="005A729B"/>
    <w:rsid w:val="005B1290"/>
    <w:rsid w:val="005B1CC3"/>
    <w:rsid w:val="005B21C2"/>
    <w:rsid w:val="005B226F"/>
    <w:rsid w:val="005B3798"/>
    <w:rsid w:val="005B449A"/>
    <w:rsid w:val="005B6301"/>
    <w:rsid w:val="005B653A"/>
    <w:rsid w:val="005C0A3A"/>
    <w:rsid w:val="005C0FF6"/>
    <w:rsid w:val="005C2EE9"/>
    <w:rsid w:val="005C5D03"/>
    <w:rsid w:val="005D0C84"/>
    <w:rsid w:val="005D123D"/>
    <w:rsid w:val="005D2795"/>
    <w:rsid w:val="005D3138"/>
    <w:rsid w:val="005D3A82"/>
    <w:rsid w:val="005D3FF3"/>
    <w:rsid w:val="005D4225"/>
    <w:rsid w:val="005E02AB"/>
    <w:rsid w:val="005E798B"/>
    <w:rsid w:val="005E7C31"/>
    <w:rsid w:val="005F0617"/>
    <w:rsid w:val="005F1637"/>
    <w:rsid w:val="005F2346"/>
    <w:rsid w:val="005F4D14"/>
    <w:rsid w:val="005F5D82"/>
    <w:rsid w:val="005F79B4"/>
    <w:rsid w:val="00603836"/>
    <w:rsid w:val="00603AD1"/>
    <w:rsid w:val="00604D58"/>
    <w:rsid w:val="00606C12"/>
    <w:rsid w:val="00610820"/>
    <w:rsid w:val="00610E55"/>
    <w:rsid w:val="006119E1"/>
    <w:rsid w:val="006141BE"/>
    <w:rsid w:val="00614F49"/>
    <w:rsid w:val="00615350"/>
    <w:rsid w:val="006153D7"/>
    <w:rsid w:val="0061630F"/>
    <w:rsid w:val="00616BA2"/>
    <w:rsid w:val="00617962"/>
    <w:rsid w:val="00621900"/>
    <w:rsid w:val="006238F9"/>
    <w:rsid w:val="0062494B"/>
    <w:rsid w:val="0062583A"/>
    <w:rsid w:val="00626C40"/>
    <w:rsid w:val="00632D6A"/>
    <w:rsid w:val="00632F60"/>
    <w:rsid w:val="00633018"/>
    <w:rsid w:val="00634FB1"/>
    <w:rsid w:val="006359B1"/>
    <w:rsid w:val="00635AA8"/>
    <w:rsid w:val="00635C95"/>
    <w:rsid w:val="0063604B"/>
    <w:rsid w:val="006366F9"/>
    <w:rsid w:val="006368C8"/>
    <w:rsid w:val="00640368"/>
    <w:rsid w:val="00641238"/>
    <w:rsid w:val="0064184C"/>
    <w:rsid w:val="00641B15"/>
    <w:rsid w:val="00641B5D"/>
    <w:rsid w:val="006428AC"/>
    <w:rsid w:val="00644494"/>
    <w:rsid w:val="00647659"/>
    <w:rsid w:val="0064788D"/>
    <w:rsid w:val="00651091"/>
    <w:rsid w:val="00652D3D"/>
    <w:rsid w:val="00653829"/>
    <w:rsid w:val="00653D97"/>
    <w:rsid w:val="00654FC1"/>
    <w:rsid w:val="0065565C"/>
    <w:rsid w:val="00655DA3"/>
    <w:rsid w:val="00657601"/>
    <w:rsid w:val="00660976"/>
    <w:rsid w:val="00662387"/>
    <w:rsid w:val="00662C57"/>
    <w:rsid w:val="0066489E"/>
    <w:rsid w:val="00665461"/>
    <w:rsid w:val="00666F9B"/>
    <w:rsid w:val="00667FB2"/>
    <w:rsid w:val="00671659"/>
    <w:rsid w:val="00671992"/>
    <w:rsid w:val="006739A3"/>
    <w:rsid w:val="0067548A"/>
    <w:rsid w:val="00676ECD"/>
    <w:rsid w:val="0068053D"/>
    <w:rsid w:val="0068106F"/>
    <w:rsid w:val="00681A6E"/>
    <w:rsid w:val="00681B32"/>
    <w:rsid w:val="00685DC2"/>
    <w:rsid w:val="00691866"/>
    <w:rsid w:val="0069225D"/>
    <w:rsid w:val="00693114"/>
    <w:rsid w:val="00696170"/>
    <w:rsid w:val="006A1188"/>
    <w:rsid w:val="006A1AEC"/>
    <w:rsid w:val="006A2551"/>
    <w:rsid w:val="006A52BE"/>
    <w:rsid w:val="006B061C"/>
    <w:rsid w:val="006B0D35"/>
    <w:rsid w:val="006B0D7E"/>
    <w:rsid w:val="006B1CB8"/>
    <w:rsid w:val="006B29B4"/>
    <w:rsid w:val="006B3540"/>
    <w:rsid w:val="006B38D1"/>
    <w:rsid w:val="006B3A7E"/>
    <w:rsid w:val="006B3D2A"/>
    <w:rsid w:val="006B3E96"/>
    <w:rsid w:val="006B6329"/>
    <w:rsid w:val="006C136D"/>
    <w:rsid w:val="006C61F8"/>
    <w:rsid w:val="006C638B"/>
    <w:rsid w:val="006D02DB"/>
    <w:rsid w:val="006D0B5D"/>
    <w:rsid w:val="006D411D"/>
    <w:rsid w:val="006D4A03"/>
    <w:rsid w:val="006D718C"/>
    <w:rsid w:val="006E002C"/>
    <w:rsid w:val="006E0C3C"/>
    <w:rsid w:val="006E19A2"/>
    <w:rsid w:val="006E2CA9"/>
    <w:rsid w:val="006E30A5"/>
    <w:rsid w:val="006E36E0"/>
    <w:rsid w:val="006E46B4"/>
    <w:rsid w:val="006E581B"/>
    <w:rsid w:val="006E6D0A"/>
    <w:rsid w:val="006E6EAA"/>
    <w:rsid w:val="006E798A"/>
    <w:rsid w:val="006F179D"/>
    <w:rsid w:val="006F3FAC"/>
    <w:rsid w:val="006F414A"/>
    <w:rsid w:val="006F4354"/>
    <w:rsid w:val="006F71C2"/>
    <w:rsid w:val="006F7478"/>
    <w:rsid w:val="00700100"/>
    <w:rsid w:val="0070131D"/>
    <w:rsid w:val="00701893"/>
    <w:rsid w:val="00703585"/>
    <w:rsid w:val="0070392E"/>
    <w:rsid w:val="0070419A"/>
    <w:rsid w:val="007044DD"/>
    <w:rsid w:val="00711CD9"/>
    <w:rsid w:val="00712B35"/>
    <w:rsid w:val="00712B6E"/>
    <w:rsid w:val="00715099"/>
    <w:rsid w:val="007151EE"/>
    <w:rsid w:val="00717033"/>
    <w:rsid w:val="00717CFA"/>
    <w:rsid w:val="007222E5"/>
    <w:rsid w:val="00722487"/>
    <w:rsid w:val="00723595"/>
    <w:rsid w:val="007241C9"/>
    <w:rsid w:val="00724245"/>
    <w:rsid w:val="00724D3F"/>
    <w:rsid w:val="0072528A"/>
    <w:rsid w:val="00725470"/>
    <w:rsid w:val="00726BB6"/>
    <w:rsid w:val="007274BB"/>
    <w:rsid w:val="00730298"/>
    <w:rsid w:val="00730C63"/>
    <w:rsid w:val="00732337"/>
    <w:rsid w:val="00734102"/>
    <w:rsid w:val="00735B9B"/>
    <w:rsid w:val="007371E8"/>
    <w:rsid w:val="007373BB"/>
    <w:rsid w:val="00740D80"/>
    <w:rsid w:val="00744657"/>
    <w:rsid w:val="00745B6B"/>
    <w:rsid w:val="00750CA5"/>
    <w:rsid w:val="00751D9E"/>
    <w:rsid w:val="00753038"/>
    <w:rsid w:val="00753694"/>
    <w:rsid w:val="00755C2C"/>
    <w:rsid w:val="00756A9D"/>
    <w:rsid w:val="00756C0D"/>
    <w:rsid w:val="0076194C"/>
    <w:rsid w:val="00762E94"/>
    <w:rsid w:val="00763D5A"/>
    <w:rsid w:val="00764193"/>
    <w:rsid w:val="0076686A"/>
    <w:rsid w:val="00767FA3"/>
    <w:rsid w:val="00775AD5"/>
    <w:rsid w:val="007778F1"/>
    <w:rsid w:val="00780EC2"/>
    <w:rsid w:val="00781312"/>
    <w:rsid w:val="00784B1E"/>
    <w:rsid w:val="00785EC3"/>
    <w:rsid w:val="00787926"/>
    <w:rsid w:val="00790B30"/>
    <w:rsid w:val="007917BF"/>
    <w:rsid w:val="00791935"/>
    <w:rsid w:val="007922C7"/>
    <w:rsid w:val="00793D78"/>
    <w:rsid w:val="007A17CD"/>
    <w:rsid w:val="007A1E96"/>
    <w:rsid w:val="007A29EB"/>
    <w:rsid w:val="007A3294"/>
    <w:rsid w:val="007A37AA"/>
    <w:rsid w:val="007A586B"/>
    <w:rsid w:val="007A62E1"/>
    <w:rsid w:val="007B3BF7"/>
    <w:rsid w:val="007B591A"/>
    <w:rsid w:val="007B6568"/>
    <w:rsid w:val="007B6A05"/>
    <w:rsid w:val="007B7C82"/>
    <w:rsid w:val="007C3178"/>
    <w:rsid w:val="007C4A4D"/>
    <w:rsid w:val="007C6057"/>
    <w:rsid w:val="007D1400"/>
    <w:rsid w:val="007D24F7"/>
    <w:rsid w:val="007D2F0E"/>
    <w:rsid w:val="007D3333"/>
    <w:rsid w:val="007D4F06"/>
    <w:rsid w:val="007D4FCA"/>
    <w:rsid w:val="007D553C"/>
    <w:rsid w:val="007D6347"/>
    <w:rsid w:val="007E04DB"/>
    <w:rsid w:val="007E0A5A"/>
    <w:rsid w:val="007E236A"/>
    <w:rsid w:val="007E3353"/>
    <w:rsid w:val="007E3958"/>
    <w:rsid w:val="007E4FCB"/>
    <w:rsid w:val="007E5867"/>
    <w:rsid w:val="007E6E67"/>
    <w:rsid w:val="007F0AD1"/>
    <w:rsid w:val="007F1C17"/>
    <w:rsid w:val="007F26CD"/>
    <w:rsid w:val="007F281F"/>
    <w:rsid w:val="007F4B92"/>
    <w:rsid w:val="007F56D7"/>
    <w:rsid w:val="007F7129"/>
    <w:rsid w:val="007F7848"/>
    <w:rsid w:val="007F7CD0"/>
    <w:rsid w:val="00810849"/>
    <w:rsid w:val="00811756"/>
    <w:rsid w:val="00812753"/>
    <w:rsid w:val="008138EF"/>
    <w:rsid w:val="00813E03"/>
    <w:rsid w:val="00815FDF"/>
    <w:rsid w:val="00816085"/>
    <w:rsid w:val="00816389"/>
    <w:rsid w:val="00817AF0"/>
    <w:rsid w:val="00820871"/>
    <w:rsid w:val="008211CA"/>
    <w:rsid w:val="0082197A"/>
    <w:rsid w:val="008219E9"/>
    <w:rsid w:val="008224FB"/>
    <w:rsid w:val="008225D3"/>
    <w:rsid w:val="00823F03"/>
    <w:rsid w:val="00824021"/>
    <w:rsid w:val="00824F4F"/>
    <w:rsid w:val="008252F9"/>
    <w:rsid w:val="00830759"/>
    <w:rsid w:val="00834CCA"/>
    <w:rsid w:val="008358CF"/>
    <w:rsid w:val="0083661B"/>
    <w:rsid w:val="0083765E"/>
    <w:rsid w:val="00837D1C"/>
    <w:rsid w:val="0084147E"/>
    <w:rsid w:val="00842FCC"/>
    <w:rsid w:val="00844F0E"/>
    <w:rsid w:val="0084587C"/>
    <w:rsid w:val="00845A8D"/>
    <w:rsid w:val="008521CE"/>
    <w:rsid w:val="00852228"/>
    <w:rsid w:val="00853353"/>
    <w:rsid w:val="00853ED3"/>
    <w:rsid w:val="008545B2"/>
    <w:rsid w:val="00855C03"/>
    <w:rsid w:val="00856A2F"/>
    <w:rsid w:val="00860611"/>
    <w:rsid w:val="00860D86"/>
    <w:rsid w:val="0086109F"/>
    <w:rsid w:val="0086287D"/>
    <w:rsid w:val="00864D66"/>
    <w:rsid w:val="0086567A"/>
    <w:rsid w:val="00865D63"/>
    <w:rsid w:val="00866110"/>
    <w:rsid w:val="00867E41"/>
    <w:rsid w:val="008707F4"/>
    <w:rsid w:val="00871385"/>
    <w:rsid w:val="008714A9"/>
    <w:rsid w:val="00874D9D"/>
    <w:rsid w:val="00880E7B"/>
    <w:rsid w:val="00881794"/>
    <w:rsid w:val="00881DE9"/>
    <w:rsid w:val="00882662"/>
    <w:rsid w:val="008839B3"/>
    <w:rsid w:val="00885F7F"/>
    <w:rsid w:val="00890BB4"/>
    <w:rsid w:val="0089143C"/>
    <w:rsid w:val="008935FF"/>
    <w:rsid w:val="008942D6"/>
    <w:rsid w:val="00895648"/>
    <w:rsid w:val="00896605"/>
    <w:rsid w:val="00896649"/>
    <w:rsid w:val="0089737F"/>
    <w:rsid w:val="008A0B16"/>
    <w:rsid w:val="008A1142"/>
    <w:rsid w:val="008A2C22"/>
    <w:rsid w:val="008A46AD"/>
    <w:rsid w:val="008A55DB"/>
    <w:rsid w:val="008A6AD6"/>
    <w:rsid w:val="008A709A"/>
    <w:rsid w:val="008A7303"/>
    <w:rsid w:val="008A76BF"/>
    <w:rsid w:val="008A7E8A"/>
    <w:rsid w:val="008A7F0B"/>
    <w:rsid w:val="008B0189"/>
    <w:rsid w:val="008B154B"/>
    <w:rsid w:val="008B39DE"/>
    <w:rsid w:val="008C0151"/>
    <w:rsid w:val="008C3640"/>
    <w:rsid w:val="008C4AF9"/>
    <w:rsid w:val="008C5813"/>
    <w:rsid w:val="008C5BDF"/>
    <w:rsid w:val="008C6E53"/>
    <w:rsid w:val="008C7B28"/>
    <w:rsid w:val="008C7B99"/>
    <w:rsid w:val="008C7BF2"/>
    <w:rsid w:val="008D0ACF"/>
    <w:rsid w:val="008D0ED5"/>
    <w:rsid w:val="008D2A63"/>
    <w:rsid w:val="008D4E6D"/>
    <w:rsid w:val="008D71A2"/>
    <w:rsid w:val="008D780A"/>
    <w:rsid w:val="008E0179"/>
    <w:rsid w:val="008E1482"/>
    <w:rsid w:val="008E2739"/>
    <w:rsid w:val="008E3533"/>
    <w:rsid w:val="008E4054"/>
    <w:rsid w:val="008E471D"/>
    <w:rsid w:val="008E7B98"/>
    <w:rsid w:val="008F0162"/>
    <w:rsid w:val="008F037D"/>
    <w:rsid w:val="008F215E"/>
    <w:rsid w:val="008F2D47"/>
    <w:rsid w:val="008F428B"/>
    <w:rsid w:val="008F6F62"/>
    <w:rsid w:val="008F7126"/>
    <w:rsid w:val="009003F3"/>
    <w:rsid w:val="00901614"/>
    <w:rsid w:val="00901AE1"/>
    <w:rsid w:val="00902A9B"/>
    <w:rsid w:val="0090361E"/>
    <w:rsid w:val="009038B6"/>
    <w:rsid w:val="00904D6F"/>
    <w:rsid w:val="00905098"/>
    <w:rsid w:val="009056B4"/>
    <w:rsid w:val="00907F1F"/>
    <w:rsid w:val="00910149"/>
    <w:rsid w:val="009122CD"/>
    <w:rsid w:val="00913F1D"/>
    <w:rsid w:val="0091423D"/>
    <w:rsid w:val="00914362"/>
    <w:rsid w:val="009149AD"/>
    <w:rsid w:val="00914D14"/>
    <w:rsid w:val="00915BAD"/>
    <w:rsid w:val="00916042"/>
    <w:rsid w:val="009164DB"/>
    <w:rsid w:val="00920D19"/>
    <w:rsid w:val="00921243"/>
    <w:rsid w:val="009215FC"/>
    <w:rsid w:val="00925399"/>
    <w:rsid w:val="009261CE"/>
    <w:rsid w:val="009303CD"/>
    <w:rsid w:val="00930E87"/>
    <w:rsid w:val="00931A02"/>
    <w:rsid w:val="009326B1"/>
    <w:rsid w:val="009403FC"/>
    <w:rsid w:val="00940C06"/>
    <w:rsid w:val="00941B7F"/>
    <w:rsid w:val="00942CF5"/>
    <w:rsid w:val="00944B67"/>
    <w:rsid w:val="00944D6B"/>
    <w:rsid w:val="0094600D"/>
    <w:rsid w:val="00950E9A"/>
    <w:rsid w:val="0095121E"/>
    <w:rsid w:val="0095287F"/>
    <w:rsid w:val="009535D4"/>
    <w:rsid w:val="0095429A"/>
    <w:rsid w:val="009548B0"/>
    <w:rsid w:val="00954BBB"/>
    <w:rsid w:val="0096300B"/>
    <w:rsid w:val="0096522B"/>
    <w:rsid w:val="00970149"/>
    <w:rsid w:val="00972D7A"/>
    <w:rsid w:val="00973ADD"/>
    <w:rsid w:val="00976663"/>
    <w:rsid w:val="00977F4F"/>
    <w:rsid w:val="009803C1"/>
    <w:rsid w:val="00980EAE"/>
    <w:rsid w:val="00982466"/>
    <w:rsid w:val="00982DB8"/>
    <w:rsid w:val="009837F8"/>
    <w:rsid w:val="00983F94"/>
    <w:rsid w:val="00984550"/>
    <w:rsid w:val="00986E65"/>
    <w:rsid w:val="00990C05"/>
    <w:rsid w:val="00990C2D"/>
    <w:rsid w:val="009950AF"/>
    <w:rsid w:val="00995141"/>
    <w:rsid w:val="0099517E"/>
    <w:rsid w:val="009958F2"/>
    <w:rsid w:val="0099692F"/>
    <w:rsid w:val="009A4A70"/>
    <w:rsid w:val="009B03AD"/>
    <w:rsid w:val="009B2E32"/>
    <w:rsid w:val="009B33DA"/>
    <w:rsid w:val="009B4117"/>
    <w:rsid w:val="009B434B"/>
    <w:rsid w:val="009B43C1"/>
    <w:rsid w:val="009B5846"/>
    <w:rsid w:val="009B69BC"/>
    <w:rsid w:val="009C3A77"/>
    <w:rsid w:val="009C57E3"/>
    <w:rsid w:val="009C6606"/>
    <w:rsid w:val="009C6A0C"/>
    <w:rsid w:val="009C7E4E"/>
    <w:rsid w:val="009D049A"/>
    <w:rsid w:val="009D1941"/>
    <w:rsid w:val="009D4D70"/>
    <w:rsid w:val="009D6AEC"/>
    <w:rsid w:val="009E23D4"/>
    <w:rsid w:val="009E413E"/>
    <w:rsid w:val="009E4200"/>
    <w:rsid w:val="009E42B0"/>
    <w:rsid w:val="009E4D2E"/>
    <w:rsid w:val="009E58EF"/>
    <w:rsid w:val="009F01C7"/>
    <w:rsid w:val="009F2DAB"/>
    <w:rsid w:val="009F6879"/>
    <w:rsid w:val="009F7A56"/>
    <w:rsid w:val="00A024D5"/>
    <w:rsid w:val="00A02ABE"/>
    <w:rsid w:val="00A03BB6"/>
    <w:rsid w:val="00A06AF7"/>
    <w:rsid w:val="00A07A9E"/>
    <w:rsid w:val="00A10687"/>
    <w:rsid w:val="00A10AF9"/>
    <w:rsid w:val="00A11A54"/>
    <w:rsid w:val="00A12FDB"/>
    <w:rsid w:val="00A14448"/>
    <w:rsid w:val="00A15EF4"/>
    <w:rsid w:val="00A16E82"/>
    <w:rsid w:val="00A17D6F"/>
    <w:rsid w:val="00A20230"/>
    <w:rsid w:val="00A2033A"/>
    <w:rsid w:val="00A228E7"/>
    <w:rsid w:val="00A24AD0"/>
    <w:rsid w:val="00A2594F"/>
    <w:rsid w:val="00A301C8"/>
    <w:rsid w:val="00A302CD"/>
    <w:rsid w:val="00A307AE"/>
    <w:rsid w:val="00A32C1F"/>
    <w:rsid w:val="00A33930"/>
    <w:rsid w:val="00A33A51"/>
    <w:rsid w:val="00A34F26"/>
    <w:rsid w:val="00A34F94"/>
    <w:rsid w:val="00A3700B"/>
    <w:rsid w:val="00A41C39"/>
    <w:rsid w:val="00A422BB"/>
    <w:rsid w:val="00A447EA"/>
    <w:rsid w:val="00A45E86"/>
    <w:rsid w:val="00A478E7"/>
    <w:rsid w:val="00A47A19"/>
    <w:rsid w:val="00A501A6"/>
    <w:rsid w:val="00A5418A"/>
    <w:rsid w:val="00A5443B"/>
    <w:rsid w:val="00A56B36"/>
    <w:rsid w:val="00A61C64"/>
    <w:rsid w:val="00A61D2C"/>
    <w:rsid w:val="00A65466"/>
    <w:rsid w:val="00A659E9"/>
    <w:rsid w:val="00A660FE"/>
    <w:rsid w:val="00A664BC"/>
    <w:rsid w:val="00A6701E"/>
    <w:rsid w:val="00A678F6"/>
    <w:rsid w:val="00A67A40"/>
    <w:rsid w:val="00A71E25"/>
    <w:rsid w:val="00A758FE"/>
    <w:rsid w:val="00A76575"/>
    <w:rsid w:val="00A76686"/>
    <w:rsid w:val="00A81DFF"/>
    <w:rsid w:val="00A83072"/>
    <w:rsid w:val="00A83272"/>
    <w:rsid w:val="00A845E4"/>
    <w:rsid w:val="00A846ED"/>
    <w:rsid w:val="00A87D1F"/>
    <w:rsid w:val="00A906DD"/>
    <w:rsid w:val="00A90C55"/>
    <w:rsid w:val="00A922E8"/>
    <w:rsid w:val="00A929DF"/>
    <w:rsid w:val="00A94AF1"/>
    <w:rsid w:val="00A95476"/>
    <w:rsid w:val="00A959E5"/>
    <w:rsid w:val="00A961A7"/>
    <w:rsid w:val="00A96E05"/>
    <w:rsid w:val="00AA0913"/>
    <w:rsid w:val="00AA2192"/>
    <w:rsid w:val="00AA27AD"/>
    <w:rsid w:val="00AA3A48"/>
    <w:rsid w:val="00AA3B5F"/>
    <w:rsid w:val="00AA544A"/>
    <w:rsid w:val="00AA62B1"/>
    <w:rsid w:val="00AA7001"/>
    <w:rsid w:val="00AB1999"/>
    <w:rsid w:val="00AB282B"/>
    <w:rsid w:val="00AB66DD"/>
    <w:rsid w:val="00AB6A47"/>
    <w:rsid w:val="00AB7530"/>
    <w:rsid w:val="00AB7DC4"/>
    <w:rsid w:val="00AC0913"/>
    <w:rsid w:val="00AC0AEF"/>
    <w:rsid w:val="00AC44CD"/>
    <w:rsid w:val="00AC558D"/>
    <w:rsid w:val="00AC6497"/>
    <w:rsid w:val="00AC6F4C"/>
    <w:rsid w:val="00AD0C1B"/>
    <w:rsid w:val="00AD0F18"/>
    <w:rsid w:val="00AD19E4"/>
    <w:rsid w:val="00AD364D"/>
    <w:rsid w:val="00AD36F5"/>
    <w:rsid w:val="00AD3A15"/>
    <w:rsid w:val="00AD3AA9"/>
    <w:rsid w:val="00AD46D0"/>
    <w:rsid w:val="00AD672E"/>
    <w:rsid w:val="00AE0F06"/>
    <w:rsid w:val="00AE2C2F"/>
    <w:rsid w:val="00AE2E78"/>
    <w:rsid w:val="00AE42D5"/>
    <w:rsid w:val="00AE4701"/>
    <w:rsid w:val="00AE48F2"/>
    <w:rsid w:val="00AE722D"/>
    <w:rsid w:val="00AE7272"/>
    <w:rsid w:val="00AE754C"/>
    <w:rsid w:val="00AE7E97"/>
    <w:rsid w:val="00AE7FAB"/>
    <w:rsid w:val="00AF198D"/>
    <w:rsid w:val="00AF2F15"/>
    <w:rsid w:val="00AF45C7"/>
    <w:rsid w:val="00AF47D0"/>
    <w:rsid w:val="00AF590E"/>
    <w:rsid w:val="00AF6870"/>
    <w:rsid w:val="00AF6FBF"/>
    <w:rsid w:val="00B000F5"/>
    <w:rsid w:val="00B00C02"/>
    <w:rsid w:val="00B018C2"/>
    <w:rsid w:val="00B039CB"/>
    <w:rsid w:val="00B04217"/>
    <w:rsid w:val="00B043CB"/>
    <w:rsid w:val="00B04D6A"/>
    <w:rsid w:val="00B07953"/>
    <w:rsid w:val="00B1146B"/>
    <w:rsid w:val="00B1298A"/>
    <w:rsid w:val="00B13184"/>
    <w:rsid w:val="00B131D9"/>
    <w:rsid w:val="00B15D74"/>
    <w:rsid w:val="00B15E00"/>
    <w:rsid w:val="00B161CD"/>
    <w:rsid w:val="00B1623B"/>
    <w:rsid w:val="00B22969"/>
    <w:rsid w:val="00B23B1F"/>
    <w:rsid w:val="00B2703D"/>
    <w:rsid w:val="00B30D88"/>
    <w:rsid w:val="00B32AA7"/>
    <w:rsid w:val="00B330A4"/>
    <w:rsid w:val="00B345E5"/>
    <w:rsid w:val="00B35DEC"/>
    <w:rsid w:val="00B3710A"/>
    <w:rsid w:val="00B4148B"/>
    <w:rsid w:val="00B418F7"/>
    <w:rsid w:val="00B432F7"/>
    <w:rsid w:val="00B45843"/>
    <w:rsid w:val="00B45A93"/>
    <w:rsid w:val="00B5044C"/>
    <w:rsid w:val="00B515B0"/>
    <w:rsid w:val="00B51CC4"/>
    <w:rsid w:val="00B52ECA"/>
    <w:rsid w:val="00B54A3E"/>
    <w:rsid w:val="00B5536D"/>
    <w:rsid w:val="00B55430"/>
    <w:rsid w:val="00B55838"/>
    <w:rsid w:val="00B56317"/>
    <w:rsid w:val="00B60399"/>
    <w:rsid w:val="00B610C2"/>
    <w:rsid w:val="00B614DD"/>
    <w:rsid w:val="00B64574"/>
    <w:rsid w:val="00B65EF5"/>
    <w:rsid w:val="00B666CF"/>
    <w:rsid w:val="00B67B50"/>
    <w:rsid w:val="00B70C8C"/>
    <w:rsid w:val="00B7339A"/>
    <w:rsid w:val="00B74CF4"/>
    <w:rsid w:val="00B7500C"/>
    <w:rsid w:val="00B75895"/>
    <w:rsid w:val="00B759DB"/>
    <w:rsid w:val="00B76E19"/>
    <w:rsid w:val="00B77621"/>
    <w:rsid w:val="00B821D1"/>
    <w:rsid w:val="00B82234"/>
    <w:rsid w:val="00B832E8"/>
    <w:rsid w:val="00B85E1E"/>
    <w:rsid w:val="00B868C6"/>
    <w:rsid w:val="00B903C2"/>
    <w:rsid w:val="00B928EB"/>
    <w:rsid w:val="00B932A3"/>
    <w:rsid w:val="00B935F1"/>
    <w:rsid w:val="00B96D91"/>
    <w:rsid w:val="00B9744A"/>
    <w:rsid w:val="00BA0581"/>
    <w:rsid w:val="00BA05BC"/>
    <w:rsid w:val="00BA0CD8"/>
    <w:rsid w:val="00BA1F3D"/>
    <w:rsid w:val="00BA2068"/>
    <w:rsid w:val="00BA4751"/>
    <w:rsid w:val="00BA4D93"/>
    <w:rsid w:val="00BA51F4"/>
    <w:rsid w:val="00BA7387"/>
    <w:rsid w:val="00BB0C93"/>
    <w:rsid w:val="00BB24F3"/>
    <w:rsid w:val="00BB40C1"/>
    <w:rsid w:val="00BB4183"/>
    <w:rsid w:val="00BB5F76"/>
    <w:rsid w:val="00BC0FA3"/>
    <w:rsid w:val="00BC1175"/>
    <w:rsid w:val="00BC185C"/>
    <w:rsid w:val="00BC26B7"/>
    <w:rsid w:val="00BC2B4C"/>
    <w:rsid w:val="00BC39DB"/>
    <w:rsid w:val="00BC4AF4"/>
    <w:rsid w:val="00BC59FC"/>
    <w:rsid w:val="00BC77DE"/>
    <w:rsid w:val="00BD0498"/>
    <w:rsid w:val="00BD1AAE"/>
    <w:rsid w:val="00BD2D7E"/>
    <w:rsid w:val="00BD2E34"/>
    <w:rsid w:val="00BD3090"/>
    <w:rsid w:val="00BD3C3F"/>
    <w:rsid w:val="00BD4CC8"/>
    <w:rsid w:val="00BD77C5"/>
    <w:rsid w:val="00BD7ADB"/>
    <w:rsid w:val="00BE20A5"/>
    <w:rsid w:val="00BE2174"/>
    <w:rsid w:val="00BE2816"/>
    <w:rsid w:val="00BE4588"/>
    <w:rsid w:val="00BE5E65"/>
    <w:rsid w:val="00BE6DCE"/>
    <w:rsid w:val="00BF37C2"/>
    <w:rsid w:val="00BF458F"/>
    <w:rsid w:val="00BF4F45"/>
    <w:rsid w:val="00BF5C42"/>
    <w:rsid w:val="00BF5CDD"/>
    <w:rsid w:val="00BF61A6"/>
    <w:rsid w:val="00BF7696"/>
    <w:rsid w:val="00C018EB"/>
    <w:rsid w:val="00C030AB"/>
    <w:rsid w:val="00C04330"/>
    <w:rsid w:val="00C070F2"/>
    <w:rsid w:val="00C1323D"/>
    <w:rsid w:val="00C13362"/>
    <w:rsid w:val="00C20368"/>
    <w:rsid w:val="00C217EB"/>
    <w:rsid w:val="00C21FC8"/>
    <w:rsid w:val="00C22F08"/>
    <w:rsid w:val="00C24094"/>
    <w:rsid w:val="00C24DCC"/>
    <w:rsid w:val="00C25FB8"/>
    <w:rsid w:val="00C260C4"/>
    <w:rsid w:val="00C3016B"/>
    <w:rsid w:val="00C354F7"/>
    <w:rsid w:val="00C379E2"/>
    <w:rsid w:val="00C40A09"/>
    <w:rsid w:val="00C40EE1"/>
    <w:rsid w:val="00C42061"/>
    <w:rsid w:val="00C422D6"/>
    <w:rsid w:val="00C444BA"/>
    <w:rsid w:val="00C46C7B"/>
    <w:rsid w:val="00C51787"/>
    <w:rsid w:val="00C54CE6"/>
    <w:rsid w:val="00C5585D"/>
    <w:rsid w:val="00C57AC6"/>
    <w:rsid w:val="00C64891"/>
    <w:rsid w:val="00C65341"/>
    <w:rsid w:val="00C65FAE"/>
    <w:rsid w:val="00C66AE0"/>
    <w:rsid w:val="00C6715B"/>
    <w:rsid w:val="00C713D2"/>
    <w:rsid w:val="00C76644"/>
    <w:rsid w:val="00C77593"/>
    <w:rsid w:val="00C81F44"/>
    <w:rsid w:val="00C8363A"/>
    <w:rsid w:val="00C83AC5"/>
    <w:rsid w:val="00C84626"/>
    <w:rsid w:val="00C84E9D"/>
    <w:rsid w:val="00C854E9"/>
    <w:rsid w:val="00C87A76"/>
    <w:rsid w:val="00C92200"/>
    <w:rsid w:val="00C92CC1"/>
    <w:rsid w:val="00C94D15"/>
    <w:rsid w:val="00C96747"/>
    <w:rsid w:val="00C97125"/>
    <w:rsid w:val="00CA1834"/>
    <w:rsid w:val="00CA2AA6"/>
    <w:rsid w:val="00CA7463"/>
    <w:rsid w:val="00CA7C5F"/>
    <w:rsid w:val="00CA7FB5"/>
    <w:rsid w:val="00CB10EA"/>
    <w:rsid w:val="00CB4DFA"/>
    <w:rsid w:val="00CB6BDA"/>
    <w:rsid w:val="00CC0817"/>
    <w:rsid w:val="00CC3628"/>
    <w:rsid w:val="00CC5991"/>
    <w:rsid w:val="00CC6D25"/>
    <w:rsid w:val="00CC7D54"/>
    <w:rsid w:val="00CD007E"/>
    <w:rsid w:val="00CD0913"/>
    <w:rsid w:val="00CD1211"/>
    <w:rsid w:val="00CD1A0A"/>
    <w:rsid w:val="00CD2E0A"/>
    <w:rsid w:val="00CD3364"/>
    <w:rsid w:val="00CD52E9"/>
    <w:rsid w:val="00CD55F9"/>
    <w:rsid w:val="00CE0655"/>
    <w:rsid w:val="00CE094D"/>
    <w:rsid w:val="00CE0B0E"/>
    <w:rsid w:val="00CE1996"/>
    <w:rsid w:val="00CE2777"/>
    <w:rsid w:val="00CE2B64"/>
    <w:rsid w:val="00CE4DC1"/>
    <w:rsid w:val="00CE5715"/>
    <w:rsid w:val="00CE6496"/>
    <w:rsid w:val="00CE66FE"/>
    <w:rsid w:val="00CE77C5"/>
    <w:rsid w:val="00CE7B59"/>
    <w:rsid w:val="00CE7BE7"/>
    <w:rsid w:val="00CE7C0D"/>
    <w:rsid w:val="00CF3862"/>
    <w:rsid w:val="00CF627C"/>
    <w:rsid w:val="00CF6D52"/>
    <w:rsid w:val="00D0218F"/>
    <w:rsid w:val="00D02632"/>
    <w:rsid w:val="00D05926"/>
    <w:rsid w:val="00D14A07"/>
    <w:rsid w:val="00D14DF8"/>
    <w:rsid w:val="00D16160"/>
    <w:rsid w:val="00D16216"/>
    <w:rsid w:val="00D17886"/>
    <w:rsid w:val="00D17904"/>
    <w:rsid w:val="00D22C0D"/>
    <w:rsid w:val="00D24788"/>
    <w:rsid w:val="00D24D77"/>
    <w:rsid w:val="00D24D7B"/>
    <w:rsid w:val="00D254BE"/>
    <w:rsid w:val="00D257F4"/>
    <w:rsid w:val="00D2729C"/>
    <w:rsid w:val="00D30D80"/>
    <w:rsid w:val="00D30E27"/>
    <w:rsid w:val="00D30ED5"/>
    <w:rsid w:val="00D31093"/>
    <w:rsid w:val="00D32D66"/>
    <w:rsid w:val="00D3304E"/>
    <w:rsid w:val="00D33DD1"/>
    <w:rsid w:val="00D34183"/>
    <w:rsid w:val="00D34EA1"/>
    <w:rsid w:val="00D35B1D"/>
    <w:rsid w:val="00D41582"/>
    <w:rsid w:val="00D42843"/>
    <w:rsid w:val="00D43359"/>
    <w:rsid w:val="00D43D95"/>
    <w:rsid w:val="00D51ADB"/>
    <w:rsid w:val="00D54857"/>
    <w:rsid w:val="00D57072"/>
    <w:rsid w:val="00D61925"/>
    <w:rsid w:val="00D62AD1"/>
    <w:rsid w:val="00D62BA0"/>
    <w:rsid w:val="00D65C9B"/>
    <w:rsid w:val="00D65F5F"/>
    <w:rsid w:val="00D70C2F"/>
    <w:rsid w:val="00D7187B"/>
    <w:rsid w:val="00D71D29"/>
    <w:rsid w:val="00D72DFF"/>
    <w:rsid w:val="00D73021"/>
    <w:rsid w:val="00D77B8A"/>
    <w:rsid w:val="00D83157"/>
    <w:rsid w:val="00D840D4"/>
    <w:rsid w:val="00D860E8"/>
    <w:rsid w:val="00D863DD"/>
    <w:rsid w:val="00D90FF8"/>
    <w:rsid w:val="00D92CFE"/>
    <w:rsid w:val="00D94154"/>
    <w:rsid w:val="00D94C66"/>
    <w:rsid w:val="00D94EB8"/>
    <w:rsid w:val="00D95BDA"/>
    <w:rsid w:val="00D97F2E"/>
    <w:rsid w:val="00DA2310"/>
    <w:rsid w:val="00DA24DA"/>
    <w:rsid w:val="00DA2C3B"/>
    <w:rsid w:val="00DA531D"/>
    <w:rsid w:val="00DB3BB9"/>
    <w:rsid w:val="00DB3F3B"/>
    <w:rsid w:val="00DB4DC8"/>
    <w:rsid w:val="00DB59F6"/>
    <w:rsid w:val="00DB5A02"/>
    <w:rsid w:val="00DC0CEA"/>
    <w:rsid w:val="00DC1FCC"/>
    <w:rsid w:val="00DC2290"/>
    <w:rsid w:val="00DC2BE1"/>
    <w:rsid w:val="00DC3588"/>
    <w:rsid w:val="00DC4B9B"/>
    <w:rsid w:val="00DC5C53"/>
    <w:rsid w:val="00DD41B4"/>
    <w:rsid w:val="00DD4415"/>
    <w:rsid w:val="00DE1CD6"/>
    <w:rsid w:val="00DE27C8"/>
    <w:rsid w:val="00DE4851"/>
    <w:rsid w:val="00DE4BBE"/>
    <w:rsid w:val="00DE4F85"/>
    <w:rsid w:val="00DE5CCA"/>
    <w:rsid w:val="00DE68F3"/>
    <w:rsid w:val="00DE74A7"/>
    <w:rsid w:val="00DF2101"/>
    <w:rsid w:val="00DF2127"/>
    <w:rsid w:val="00DF478C"/>
    <w:rsid w:val="00DF4B2E"/>
    <w:rsid w:val="00DF677B"/>
    <w:rsid w:val="00DF7ABF"/>
    <w:rsid w:val="00E0009B"/>
    <w:rsid w:val="00E004E4"/>
    <w:rsid w:val="00E01221"/>
    <w:rsid w:val="00E04484"/>
    <w:rsid w:val="00E04E31"/>
    <w:rsid w:val="00E06DFD"/>
    <w:rsid w:val="00E10310"/>
    <w:rsid w:val="00E11410"/>
    <w:rsid w:val="00E16B30"/>
    <w:rsid w:val="00E20284"/>
    <w:rsid w:val="00E20F9D"/>
    <w:rsid w:val="00E212DD"/>
    <w:rsid w:val="00E21D19"/>
    <w:rsid w:val="00E2441E"/>
    <w:rsid w:val="00E263BF"/>
    <w:rsid w:val="00E276F7"/>
    <w:rsid w:val="00E31BCA"/>
    <w:rsid w:val="00E31CF4"/>
    <w:rsid w:val="00E332DC"/>
    <w:rsid w:val="00E34261"/>
    <w:rsid w:val="00E34335"/>
    <w:rsid w:val="00E3459A"/>
    <w:rsid w:val="00E35B4E"/>
    <w:rsid w:val="00E37E28"/>
    <w:rsid w:val="00E401FE"/>
    <w:rsid w:val="00E4084F"/>
    <w:rsid w:val="00E41351"/>
    <w:rsid w:val="00E4229D"/>
    <w:rsid w:val="00E4240A"/>
    <w:rsid w:val="00E43834"/>
    <w:rsid w:val="00E445F0"/>
    <w:rsid w:val="00E46601"/>
    <w:rsid w:val="00E5241F"/>
    <w:rsid w:val="00E526F5"/>
    <w:rsid w:val="00E53740"/>
    <w:rsid w:val="00E53C15"/>
    <w:rsid w:val="00E54685"/>
    <w:rsid w:val="00E549FE"/>
    <w:rsid w:val="00E55E72"/>
    <w:rsid w:val="00E56D88"/>
    <w:rsid w:val="00E56DAA"/>
    <w:rsid w:val="00E570F8"/>
    <w:rsid w:val="00E65217"/>
    <w:rsid w:val="00E65739"/>
    <w:rsid w:val="00E67713"/>
    <w:rsid w:val="00E67AE5"/>
    <w:rsid w:val="00E71077"/>
    <w:rsid w:val="00E72042"/>
    <w:rsid w:val="00E729AB"/>
    <w:rsid w:val="00E732E8"/>
    <w:rsid w:val="00E73BC5"/>
    <w:rsid w:val="00E74986"/>
    <w:rsid w:val="00E75776"/>
    <w:rsid w:val="00E8041B"/>
    <w:rsid w:val="00E80B10"/>
    <w:rsid w:val="00E86C36"/>
    <w:rsid w:val="00E87D15"/>
    <w:rsid w:val="00E905CC"/>
    <w:rsid w:val="00E90703"/>
    <w:rsid w:val="00E914CF"/>
    <w:rsid w:val="00E92343"/>
    <w:rsid w:val="00E93BFE"/>
    <w:rsid w:val="00E93C18"/>
    <w:rsid w:val="00E94833"/>
    <w:rsid w:val="00E95717"/>
    <w:rsid w:val="00EA2B8E"/>
    <w:rsid w:val="00EA60C8"/>
    <w:rsid w:val="00EA687C"/>
    <w:rsid w:val="00EB0F31"/>
    <w:rsid w:val="00EB1068"/>
    <w:rsid w:val="00EB1E64"/>
    <w:rsid w:val="00EB2844"/>
    <w:rsid w:val="00EB53E3"/>
    <w:rsid w:val="00EB5887"/>
    <w:rsid w:val="00EB73D9"/>
    <w:rsid w:val="00EC1C5D"/>
    <w:rsid w:val="00EC261A"/>
    <w:rsid w:val="00EC2A5D"/>
    <w:rsid w:val="00EC36AA"/>
    <w:rsid w:val="00EC38F7"/>
    <w:rsid w:val="00EC43FA"/>
    <w:rsid w:val="00EC484D"/>
    <w:rsid w:val="00EC4CFB"/>
    <w:rsid w:val="00ED14C7"/>
    <w:rsid w:val="00ED3222"/>
    <w:rsid w:val="00ED3868"/>
    <w:rsid w:val="00ED59E5"/>
    <w:rsid w:val="00EE3828"/>
    <w:rsid w:val="00EE4042"/>
    <w:rsid w:val="00EE4A6E"/>
    <w:rsid w:val="00EF0CCD"/>
    <w:rsid w:val="00EF25AE"/>
    <w:rsid w:val="00EF2C31"/>
    <w:rsid w:val="00EF3112"/>
    <w:rsid w:val="00EF325E"/>
    <w:rsid w:val="00EF3F8B"/>
    <w:rsid w:val="00EF430A"/>
    <w:rsid w:val="00EF77C8"/>
    <w:rsid w:val="00F0044D"/>
    <w:rsid w:val="00F059B3"/>
    <w:rsid w:val="00F05CFE"/>
    <w:rsid w:val="00F0676D"/>
    <w:rsid w:val="00F06AC2"/>
    <w:rsid w:val="00F06C9A"/>
    <w:rsid w:val="00F0705B"/>
    <w:rsid w:val="00F07A1E"/>
    <w:rsid w:val="00F07CAB"/>
    <w:rsid w:val="00F1005D"/>
    <w:rsid w:val="00F10226"/>
    <w:rsid w:val="00F10B4A"/>
    <w:rsid w:val="00F116C1"/>
    <w:rsid w:val="00F121D3"/>
    <w:rsid w:val="00F161A0"/>
    <w:rsid w:val="00F16A4A"/>
    <w:rsid w:val="00F16E3D"/>
    <w:rsid w:val="00F170B1"/>
    <w:rsid w:val="00F20173"/>
    <w:rsid w:val="00F2046B"/>
    <w:rsid w:val="00F24AF3"/>
    <w:rsid w:val="00F265FD"/>
    <w:rsid w:val="00F26A19"/>
    <w:rsid w:val="00F30BBE"/>
    <w:rsid w:val="00F331C9"/>
    <w:rsid w:val="00F336D8"/>
    <w:rsid w:val="00F35B51"/>
    <w:rsid w:val="00F360CC"/>
    <w:rsid w:val="00F365A7"/>
    <w:rsid w:val="00F376AF"/>
    <w:rsid w:val="00F40749"/>
    <w:rsid w:val="00F42D8F"/>
    <w:rsid w:val="00F460DB"/>
    <w:rsid w:val="00F50E62"/>
    <w:rsid w:val="00F50F5F"/>
    <w:rsid w:val="00F52812"/>
    <w:rsid w:val="00F52A97"/>
    <w:rsid w:val="00F52D30"/>
    <w:rsid w:val="00F5430B"/>
    <w:rsid w:val="00F54BC4"/>
    <w:rsid w:val="00F5615C"/>
    <w:rsid w:val="00F56905"/>
    <w:rsid w:val="00F60AF3"/>
    <w:rsid w:val="00F61A1B"/>
    <w:rsid w:val="00F62CCE"/>
    <w:rsid w:val="00F63926"/>
    <w:rsid w:val="00F6397F"/>
    <w:rsid w:val="00F63D84"/>
    <w:rsid w:val="00F657E3"/>
    <w:rsid w:val="00F6734B"/>
    <w:rsid w:val="00F70BC6"/>
    <w:rsid w:val="00F71701"/>
    <w:rsid w:val="00F72032"/>
    <w:rsid w:val="00F72451"/>
    <w:rsid w:val="00F725A0"/>
    <w:rsid w:val="00F73448"/>
    <w:rsid w:val="00F77808"/>
    <w:rsid w:val="00F77EFB"/>
    <w:rsid w:val="00F803A8"/>
    <w:rsid w:val="00F816CD"/>
    <w:rsid w:val="00F82209"/>
    <w:rsid w:val="00F83070"/>
    <w:rsid w:val="00F83981"/>
    <w:rsid w:val="00F842D6"/>
    <w:rsid w:val="00F84467"/>
    <w:rsid w:val="00F8540D"/>
    <w:rsid w:val="00F8676B"/>
    <w:rsid w:val="00F877C3"/>
    <w:rsid w:val="00F87C90"/>
    <w:rsid w:val="00F94685"/>
    <w:rsid w:val="00F95B0A"/>
    <w:rsid w:val="00F96C5F"/>
    <w:rsid w:val="00F9786F"/>
    <w:rsid w:val="00FA16F1"/>
    <w:rsid w:val="00FA3146"/>
    <w:rsid w:val="00FA3710"/>
    <w:rsid w:val="00FA3D68"/>
    <w:rsid w:val="00FA4B06"/>
    <w:rsid w:val="00FA614B"/>
    <w:rsid w:val="00FA6FFC"/>
    <w:rsid w:val="00FA741A"/>
    <w:rsid w:val="00FB054B"/>
    <w:rsid w:val="00FB0591"/>
    <w:rsid w:val="00FB2363"/>
    <w:rsid w:val="00FB3634"/>
    <w:rsid w:val="00FB4B0B"/>
    <w:rsid w:val="00FB53F1"/>
    <w:rsid w:val="00FB75B2"/>
    <w:rsid w:val="00FC2194"/>
    <w:rsid w:val="00FC2BAE"/>
    <w:rsid w:val="00FC755B"/>
    <w:rsid w:val="00FD1800"/>
    <w:rsid w:val="00FD20C2"/>
    <w:rsid w:val="00FD2A6C"/>
    <w:rsid w:val="00FD2EB1"/>
    <w:rsid w:val="00FD6839"/>
    <w:rsid w:val="00FD6FC2"/>
    <w:rsid w:val="00FD7C6C"/>
    <w:rsid w:val="00FE1033"/>
    <w:rsid w:val="00FE1473"/>
    <w:rsid w:val="00FE21D2"/>
    <w:rsid w:val="00FE3532"/>
    <w:rsid w:val="00FE6CD1"/>
    <w:rsid w:val="00FE7EF7"/>
    <w:rsid w:val="00FF0F27"/>
    <w:rsid w:val="00FF3370"/>
    <w:rsid w:val="00FF35C0"/>
    <w:rsid w:val="00FF5532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B91C0"/>
  <w15:chartTrackingRefBased/>
  <w15:docId w15:val="{B885446F-4A04-4449-9D8C-21AE7DA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character" w:customStyle="1" w:styleId="emailstyle17">
    <w:name w:val="emailstyle17"/>
    <w:semiHidden/>
    <w:rsid w:val="00E5241F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E10310"/>
  </w:style>
  <w:style w:type="table" w:styleId="TableGrid">
    <w:name w:val="Table Grid"/>
    <w:basedOn w:val="TableNormal"/>
    <w:rsid w:val="003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7A1E"/>
    <w:rPr>
      <w:color w:val="0000FF"/>
      <w:u w:val="single"/>
    </w:rPr>
  </w:style>
  <w:style w:type="paragraph" w:styleId="BalloonText">
    <w:name w:val="Balloon Text"/>
    <w:basedOn w:val="Normal"/>
    <w:semiHidden/>
    <w:rsid w:val="00F16A4A"/>
    <w:rPr>
      <w:rFonts w:ascii="Tahoma" w:hAnsi="Tahoma" w:cs="Tahoma"/>
      <w:sz w:val="16"/>
      <w:szCs w:val="16"/>
    </w:rPr>
  </w:style>
  <w:style w:type="character" w:styleId="Strong">
    <w:name w:val="Strong"/>
    <w:qFormat/>
    <w:rsid w:val="00003280"/>
    <w:rPr>
      <w:b/>
      <w:bCs/>
    </w:rPr>
  </w:style>
  <w:style w:type="character" w:customStyle="1" w:styleId="st">
    <w:name w:val="st"/>
    <w:rsid w:val="00D57072"/>
  </w:style>
  <w:style w:type="character" w:styleId="CommentReference">
    <w:name w:val="annotation reference"/>
    <w:uiPriority w:val="99"/>
    <w:rsid w:val="008E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0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179"/>
  </w:style>
  <w:style w:type="paragraph" w:styleId="CommentSubject">
    <w:name w:val="annotation subject"/>
    <w:basedOn w:val="CommentText"/>
    <w:next w:val="CommentText"/>
    <w:link w:val="CommentSubjectChar"/>
    <w:rsid w:val="008E0179"/>
    <w:rPr>
      <w:b/>
      <w:bCs/>
    </w:rPr>
  </w:style>
  <w:style w:type="character" w:customStyle="1" w:styleId="CommentSubjectChar">
    <w:name w:val="Comment Subject Char"/>
    <w:link w:val="CommentSubject"/>
    <w:rsid w:val="008E0179"/>
    <w:rPr>
      <w:b/>
      <w:bCs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CC362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E4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71D"/>
  </w:style>
  <w:style w:type="character" w:customStyle="1" w:styleId="CharStyle27">
    <w:name w:val="Char Style 27"/>
    <w:link w:val="Style26"/>
    <w:rsid w:val="00852228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852228"/>
    <w:pPr>
      <w:widowControl w:val="0"/>
      <w:shd w:val="clear" w:color="auto" w:fill="FFFFFF"/>
      <w:spacing w:line="292" w:lineRule="exact"/>
      <w:ind w:hanging="194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D6347"/>
    <w:rPr>
      <w:sz w:val="24"/>
      <w:szCs w:val="24"/>
    </w:rPr>
  </w:style>
  <w:style w:type="character" w:customStyle="1" w:styleId="CharStyle34">
    <w:name w:val="Char Style 34"/>
    <w:semiHidden/>
    <w:unhideWhenUsed/>
    <w:rsid w:val="00A4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Revision">
    <w:name w:val="Revision"/>
    <w:hidden/>
    <w:uiPriority w:val="99"/>
    <w:semiHidden/>
    <w:rsid w:val="001908F6"/>
    <w:rPr>
      <w:sz w:val="24"/>
      <w:szCs w:val="24"/>
    </w:rPr>
  </w:style>
  <w:style w:type="character" w:styleId="FootnoteReference">
    <w:name w:val="footnote reference"/>
    <w:rsid w:val="0010377F"/>
    <w:rPr>
      <w:vertAlign w:val="superscript"/>
    </w:rPr>
  </w:style>
  <w:style w:type="character" w:customStyle="1" w:styleId="FootnoteCharacters">
    <w:name w:val="Footnote Characters"/>
    <w:rsid w:val="0010377F"/>
    <w:rPr>
      <w:vertAlign w:val="superscript"/>
    </w:rPr>
  </w:style>
  <w:style w:type="character" w:customStyle="1" w:styleId="CharStyle38Exact">
    <w:name w:val="Char Style 38 Exact"/>
    <w:semiHidden/>
    <w:unhideWhenUsed/>
    <w:rsid w:val="0014045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TableGrid1">
    <w:name w:val="Table Grid1"/>
    <w:basedOn w:val="TableNormal"/>
    <w:next w:val="TableGrid"/>
    <w:rsid w:val="00B7339A"/>
    <w:pPr>
      <w:spacing w:line="360" w:lineRule="auto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660FE"/>
    <w:rPr>
      <w:color w:val="954F72" w:themeColor="followedHyperlink"/>
      <w:u w:val="single"/>
    </w:rPr>
  </w:style>
  <w:style w:type="paragraph" w:customStyle="1" w:styleId="Default">
    <w:name w:val="Default"/>
    <w:rsid w:val="00153978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4">
    <w:name w:val="A14"/>
    <w:uiPriority w:val="99"/>
    <w:rsid w:val="00153978"/>
    <w:rPr>
      <w:rFonts w:cs="EC Square Sans Pro"/>
      <w:color w:val="000000"/>
      <w:sz w:val="10"/>
      <w:szCs w:val="10"/>
    </w:rPr>
  </w:style>
  <w:style w:type="character" w:customStyle="1" w:styleId="CharStyle22">
    <w:name w:val="Char Style 22"/>
    <w:link w:val="Style21"/>
    <w:rsid w:val="004D7297"/>
    <w:rPr>
      <w:b/>
      <w:bCs/>
      <w:sz w:val="22"/>
      <w:szCs w:val="22"/>
      <w:shd w:val="clear" w:color="auto" w:fill="FFFFFF"/>
    </w:rPr>
  </w:style>
  <w:style w:type="character" w:customStyle="1" w:styleId="CharStyle28">
    <w:name w:val="Char Style 28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7Exact">
    <w:name w:val="Char Style 37 Exact"/>
    <w:semiHidden/>
    <w:unhideWhenUsed/>
    <w:rsid w:val="004D7297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Style 21"/>
    <w:basedOn w:val="Normal"/>
    <w:link w:val="CharStyle22"/>
    <w:rsid w:val="004D7297"/>
    <w:pPr>
      <w:widowControl w:val="0"/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DF677B"/>
    <w:rPr>
      <w:sz w:val="24"/>
      <w:szCs w:val="24"/>
    </w:rPr>
  </w:style>
  <w:style w:type="paragraph" w:styleId="EndnoteText">
    <w:name w:val="endnote text"/>
    <w:basedOn w:val="Normal"/>
    <w:link w:val="EndnoteTextChar"/>
    <w:rsid w:val="00064C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4C4E"/>
  </w:style>
  <w:style w:type="character" w:styleId="EndnoteReference">
    <w:name w:val="endnote reference"/>
    <w:basedOn w:val="DefaultParagraphFont"/>
    <w:rsid w:val="00064C4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86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3" ma:contentTypeDescription="Create a new document." ma:contentTypeScope="" ma:versionID="aa574696be7da6eff9d849baccb23fee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f80c48c581f4982a5803a6bc56214283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ABCBB-7D34-497B-B649-709514B8D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CEC45-8442-4020-A817-9A2F1D183B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03E30-E7EA-4D56-9111-A70AE665A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50779-9693-4C33-BA78-F4C22A55D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4759</Words>
  <Characters>27132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OSIGURANJE IZVOZA</vt:lpstr>
      <vt:lpstr>OSIGURANJE IZVOZA</vt:lpstr>
    </vt:vector>
  </TitlesOfParts>
  <Company>HBOR</Company>
  <LinksUpToDate>false</LinksUpToDate>
  <CharactersWithSpaces>31828</CharactersWithSpaces>
  <SharedDoc>false</SharedDoc>
  <HLinks>
    <vt:vector size="12" baseType="variant">
      <vt:variant>
        <vt:i4>7340072</vt:i4>
      </vt:variant>
      <vt:variant>
        <vt:i4>11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OSIGURANJE IZVOZA</dc:title>
  <dc:subject/>
  <dc:creator>Petković Ivana</dc:creator>
  <cp:keywords/>
  <cp:lastModifiedBy>Petković Ivana</cp:lastModifiedBy>
  <cp:revision>8</cp:revision>
  <cp:lastPrinted>2019-07-01T15:17:00Z</cp:lastPrinted>
  <dcterms:created xsi:type="dcterms:W3CDTF">2021-06-16T10:37:00Z</dcterms:created>
  <dcterms:modified xsi:type="dcterms:W3CDTF">2021-07-02T07:39:00Z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</Properties>
</file>