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DFFF" w14:textId="607EEEA4" w:rsidR="009303AB" w:rsidRDefault="00F41F08" w:rsidP="00890744">
      <w:pPr>
        <w:pStyle w:val="Header"/>
        <w:rPr>
          <w:noProof/>
          <w:sz w:val="28"/>
          <w:szCs w:val="28"/>
        </w:rPr>
      </w:pPr>
      <w:r>
        <w:rPr>
          <w:noProof/>
          <w:sz w:val="28"/>
          <w:szCs w:val="28"/>
        </w:rPr>
        <w:drawing>
          <wp:inline distT="0" distB="0" distL="0" distR="0" wp14:anchorId="6C109DAB" wp14:editId="54050ADF">
            <wp:extent cx="23412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749935"/>
                    </a:xfrm>
                    <a:prstGeom prst="rect">
                      <a:avLst/>
                    </a:prstGeom>
                    <a:noFill/>
                  </pic:spPr>
                </pic:pic>
              </a:graphicData>
            </a:graphic>
          </wp:inline>
        </w:drawing>
      </w:r>
    </w:p>
    <w:p w14:paraId="0CAC7D20" w14:textId="5048F091" w:rsidR="006701F3" w:rsidRDefault="006701F3" w:rsidP="00890744">
      <w:pPr>
        <w:pStyle w:val="Header"/>
        <w:rPr>
          <w:noProof/>
          <w:sz w:val="28"/>
          <w:szCs w:val="28"/>
        </w:rPr>
      </w:pPr>
    </w:p>
    <w:p w14:paraId="1941D082" w14:textId="77777777" w:rsidR="006701F3" w:rsidRDefault="006701F3" w:rsidP="00890744">
      <w:pPr>
        <w:pStyle w:val="Header"/>
        <w:rPr>
          <w:noProof/>
          <w:sz w:val="28"/>
          <w:szCs w:val="28"/>
        </w:rPr>
      </w:pPr>
    </w:p>
    <w:p w14:paraId="1A9085D7" w14:textId="356B3B88" w:rsidR="009303AB" w:rsidRDefault="009303AB" w:rsidP="00890744">
      <w:pPr>
        <w:pStyle w:val="Header"/>
        <w:rPr>
          <w:noProof/>
          <w:sz w:val="28"/>
          <w:szCs w:val="28"/>
        </w:rPr>
      </w:pPr>
    </w:p>
    <w:p w14:paraId="6DD7B39C" w14:textId="07125466" w:rsidR="009303AB" w:rsidRDefault="009303AB" w:rsidP="00890744">
      <w:pPr>
        <w:pStyle w:val="Header"/>
        <w:rPr>
          <w:noProof/>
          <w:sz w:val="28"/>
          <w:szCs w:val="28"/>
        </w:rPr>
      </w:pPr>
    </w:p>
    <w:p w14:paraId="653C6FBF" w14:textId="5A97D00C" w:rsidR="009303AB" w:rsidRDefault="009303AB" w:rsidP="00890744">
      <w:pPr>
        <w:pStyle w:val="Header"/>
        <w:rPr>
          <w:noProof/>
          <w:sz w:val="28"/>
          <w:szCs w:val="28"/>
        </w:rPr>
      </w:pPr>
    </w:p>
    <w:p w14:paraId="0D153826" w14:textId="0217D0D7" w:rsidR="009303AB" w:rsidRDefault="009303AB" w:rsidP="00890744">
      <w:pPr>
        <w:pStyle w:val="Header"/>
        <w:rPr>
          <w:noProof/>
          <w:sz w:val="28"/>
          <w:szCs w:val="28"/>
        </w:rPr>
      </w:pPr>
    </w:p>
    <w:p w14:paraId="66B38312" w14:textId="0FB847E0" w:rsidR="009303AB" w:rsidRDefault="009303AB" w:rsidP="00890744">
      <w:pPr>
        <w:pStyle w:val="Header"/>
        <w:rPr>
          <w:noProof/>
          <w:sz w:val="28"/>
          <w:szCs w:val="28"/>
        </w:rPr>
      </w:pPr>
    </w:p>
    <w:p w14:paraId="2BAA09EF" w14:textId="354BDA16" w:rsidR="009303AB" w:rsidRDefault="009303AB" w:rsidP="00890744">
      <w:pPr>
        <w:pStyle w:val="Header"/>
        <w:rPr>
          <w:noProof/>
          <w:sz w:val="28"/>
          <w:szCs w:val="28"/>
        </w:rPr>
      </w:pPr>
    </w:p>
    <w:p w14:paraId="39FA43AD" w14:textId="51031AD7" w:rsidR="009303AB" w:rsidRDefault="009303AB" w:rsidP="00890744">
      <w:pPr>
        <w:pStyle w:val="Header"/>
        <w:rPr>
          <w:noProof/>
          <w:sz w:val="28"/>
          <w:szCs w:val="28"/>
        </w:rPr>
      </w:pPr>
    </w:p>
    <w:p w14:paraId="7F297F85" w14:textId="760E1437" w:rsidR="009303AB" w:rsidRDefault="009303AB" w:rsidP="00890744">
      <w:pPr>
        <w:pStyle w:val="Header"/>
        <w:rPr>
          <w:noProof/>
          <w:sz w:val="28"/>
          <w:szCs w:val="28"/>
        </w:rPr>
      </w:pPr>
    </w:p>
    <w:p w14:paraId="152A6869" w14:textId="16F44350" w:rsidR="009303AB" w:rsidRDefault="009303AB" w:rsidP="00890744">
      <w:pPr>
        <w:pStyle w:val="Header"/>
        <w:rPr>
          <w:noProof/>
          <w:sz w:val="28"/>
          <w:szCs w:val="28"/>
        </w:rPr>
      </w:pPr>
    </w:p>
    <w:p w14:paraId="33C70C43" w14:textId="762E22A7" w:rsidR="009303AB" w:rsidRDefault="009303AB" w:rsidP="00890744">
      <w:pPr>
        <w:pStyle w:val="Header"/>
        <w:rPr>
          <w:noProof/>
          <w:sz w:val="28"/>
          <w:szCs w:val="28"/>
        </w:rPr>
      </w:pPr>
    </w:p>
    <w:p w14:paraId="62F46956" w14:textId="77777777" w:rsidR="009303AB" w:rsidRDefault="009303AB" w:rsidP="00890744">
      <w:pPr>
        <w:pStyle w:val="Header"/>
        <w:rPr>
          <w:noProof/>
          <w:sz w:val="28"/>
          <w:szCs w:val="28"/>
        </w:rPr>
      </w:pPr>
    </w:p>
    <w:p w14:paraId="55C4E06D" w14:textId="57E29F68" w:rsidR="009303AB" w:rsidRDefault="009303AB" w:rsidP="00890744">
      <w:pPr>
        <w:pStyle w:val="Header"/>
        <w:rPr>
          <w:noProof/>
          <w:sz w:val="28"/>
          <w:szCs w:val="28"/>
        </w:rPr>
      </w:pPr>
    </w:p>
    <w:p w14:paraId="5BF2E8BA" w14:textId="293FFFFF" w:rsidR="009303AB" w:rsidRPr="00F41F08" w:rsidRDefault="009303AB" w:rsidP="009303AB">
      <w:pPr>
        <w:pStyle w:val="Standard"/>
        <w:jc w:val="center"/>
        <w:rPr>
          <w:rFonts w:asciiTheme="minorHAnsi" w:hAnsiTheme="minorHAnsi" w:cstheme="minorHAnsi"/>
          <w:b/>
          <w:bCs/>
          <w:sz w:val="28"/>
          <w:szCs w:val="28"/>
        </w:rPr>
      </w:pPr>
      <w:bookmarkStart w:id="0" w:name="_Hlk35373906"/>
      <w:r w:rsidRPr="00F41F08">
        <w:rPr>
          <w:rFonts w:asciiTheme="minorHAnsi" w:hAnsiTheme="minorHAnsi" w:cstheme="minorHAnsi"/>
          <w:b/>
          <w:bCs/>
          <w:sz w:val="28"/>
          <w:szCs w:val="28"/>
        </w:rPr>
        <w:t>PROGRAM DODJELE POTPOR</w:t>
      </w:r>
      <w:r w:rsidR="002728C3">
        <w:rPr>
          <w:rFonts w:asciiTheme="minorHAnsi" w:hAnsiTheme="minorHAnsi" w:cstheme="minorHAnsi"/>
          <w:b/>
          <w:bCs/>
          <w:sz w:val="28"/>
          <w:szCs w:val="28"/>
        </w:rPr>
        <w:t>E</w:t>
      </w:r>
    </w:p>
    <w:p w14:paraId="24216206" w14:textId="77777777" w:rsidR="009303AB" w:rsidRPr="00F41F08" w:rsidRDefault="009303AB" w:rsidP="009303AB">
      <w:pPr>
        <w:pStyle w:val="Standard"/>
        <w:jc w:val="center"/>
        <w:rPr>
          <w:rFonts w:asciiTheme="minorHAnsi" w:hAnsiTheme="minorHAnsi" w:cstheme="minorHAnsi"/>
          <w:b/>
          <w:bCs/>
          <w:sz w:val="28"/>
          <w:szCs w:val="28"/>
        </w:rPr>
      </w:pPr>
      <w:r w:rsidRPr="00F41F08">
        <w:rPr>
          <w:rFonts w:asciiTheme="minorHAnsi" w:hAnsiTheme="minorHAnsi" w:cstheme="minorHAnsi"/>
          <w:b/>
          <w:bCs/>
          <w:sz w:val="28"/>
          <w:szCs w:val="28"/>
        </w:rPr>
        <w:t>HRVATSKE BANKE ZA OBNOVU I RAZVITAK</w:t>
      </w:r>
    </w:p>
    <w:bookmarkEnd w:id="0"/>
    <w:p w14:paraId="2FBA4DE2" w14:textId="77777777" w:rsidR="009303AB" w:rsidRPr="00F41F08" w:rsidRDefault="009303AB" w:rsidP="009303AB">
      <w:pPr>
        <w:pStyle w:val="Standard"/>
        <w:jc w:val="both"/>
        <w:rPr>
          <w:rFonts w:asciiTheme="minorHAnsi" w:hAnsiTheme="minorHAnsi" w:cstheme="minorHAnsi"/>
        </w:rPr>
      </w:pPr>
    </w:p>
    <w:p w14:paraId="6E9028F8" w14:textId="10FCC211" w:rsidR="007061F6" w:rsidRPr="00F41F08" w:rsidRDefault="009303AB" w:rsidP="00FD3D8E">
      <w:pPr>
        <w:pStyle w:val="Standard"/>
        <w:jc w:val="center"/>
        <w:rPr>
          <w:rFonts w:asciiTheme="minorHAnsi" w:hAnsiTheme="minorHAnsi" w:cstheme="minorHAnsi"/>
        </w:rPr>
      </w:pPr>
      <w:r w:rsidRPr="00F41F08">
        <w:rPr>
          <w:rFonts w:asciiTheme="minorHAnsi" w:hAnsiTheme="minorHAnsi" w:cstheme="minorHAnsi"/>
          <w:b/>
          <w:bCs/>
          <w:i/>
          <w:iCs/>
        </w:rPr>
        <w:t xml:space="preserve">- </w:t>
      </w:r>
      <w:r w:rsidRPr="00F41F08">
        <w:rPr>
          <w:rFonts w:asciiTheme="minorHAnsi" w:hAnsiTheme="minorHAnsi" w:cstheme="minorHAnsi"/>
          <w:b/>
          <w:bCs/>
        </w:rPr>
        <w:t>usklađen s Privremeni</w:t>
      </w:r>
      <w:r w:rsidR="009079A4" w:rsidRPr="00F41F08">
        <w:rPr>
          <w:rFonts w:asciiTheme="minorHAnsi" w:hAnsiTheme="minorHAnsi" w:cstheme="minorHAnsi"/>
          <w:b/>
          <w:bCs/>
        </w:rPr>
        <w:t>m</w:t>
      </w:r>
      <w:r w:rsidRPr="00F41F08">
        <w:rPr>
          <w:rFonts w:asciiTheme="minorHAnsi" w:hAnsiTheme="minorHAnsi" w:cstheme="minorHAnsi"/>
          <w:b/>
          <w:bCs/>
        </w:rPr>
        <w:t xml:space="preserve"> okvir</w:t>
      </w:r>
      <w:r w:rsidR="009079A4" w:rsidRPr="00F41F08">
        <w:rPr>
          <w:rFonts w:asciiTheme="minorHAnsi" w:hAnsiTheme="minorHAnsi" w:cstheme="minorHAnsi"/>
          <w:b/>
          <w:bCs/>
        </w:rPr>
        <w:t>om</w:t>
      </w:r>
      <w:r w:rsidRPr="00F41F08">
        <w:rPr>
          <w:rFonts w:asciiTheme="minorHAnsi" w:hAnsiTheme="minorHAnsi" w:cstheme="minorHAnsi"/>
          <w:b/>
          <w:bCs/>
        </w:rPr>
        <w:t xml:space="preserve"> za </w:t>
      </w:r>
      <w:r w:rsidR="007301D1" w:rsidRPr="00F41F08">
        <w:rPr>
          <w:rFonts w:asciiTheme="minorHAnsi" w:hAnsiTheme="minorHAnsi" w:cstheme="minorHAnsi"/>
          <w:b/>
          <w:bCs/>
        </w:rPr>
        <w:t>mjere državne potpore u svrhu podrške gospodarstvu u aktualnoj pandemiji covida-19</w:t>
      </w:r>
      <w:r w:rsidR="00FD3D8E" w:rsidRPr="00F41F08">
        <w:rPr>
          <w:rFonts w:asciiTheme="minorHAnsi" w:hAnsiTheme="minorHAnsi" w:cstheme="minorHAnsi"/>
        </w:rPr>
        <w:t xml:space="preserve"> </w:t>
      </w:r>
    </w:p>
    <w:p w14:paraId="194A9871" w14:textId="7AC5E71C" w:rsidR="009303AB" w:rsidRPr="00F41F08" w:rsidRDefault="009873C0" w:rsidP="009303AB">
      <w:pPr>
        <w:pStyle w:val="Standard"/>
        <w:jc w:val="center"/>
        <w:rPr>
          <w:rFonts w:asciiTheme="minorHAnsi" w:hAnsiTheme="minorHAnsi" w:cstheme="minorHAnsi"/>
        </w:rPr>
      </w:pPr>
      <w:r w:rsidRPr="00F41F08">
        <w:rPr>
          <w:rFonts w:asciiTheme="minorHAnsi" w:hAnsiTheme="minorHAnsi" w:cstheme="minorHAnsi"/>
        </w:rPr>
        <w:t>–</w:t>
      </w:r>
      <w:r w:rsidR="009303AB" w:rsidRPr="00F41F08">
        <w:rPr>
          <w:rFonts w:asciiTheme="minorHAnsi" w:hAnsiTheme="minorHAnsi" w:cstheme="minorHAnsi"/>
        </w:rPr>
        <w:t xml:space="preserve"> </w:t>
      </w:r>
      <w:r w:rsidR="009079A4" w:rsidRPr="00F41F08">
        <w:rPr>
          <w:rFonts w:asciiTheme="minorHAnsi" w:hAnsiTheme="minorHAnsi" w:cstheme="minorHAnsi"/>
        </w:rPr>
        <w:t>odjeljci</w:t>
      </w:r>
      <w:r w:rsidR="009079A4" w:rsidRPr="00F41F08" w:rsidDel="009079A4">
        <w:rPr>
          <w:rFonts w:asciiTheme="minorHAnsi" w:hAnsiTheme="minorHAnsi" w:cstheme="minorHAnsi"/>
        </w:rPr>
        <w:t xml:space="preserve"> </w:t>
      </w:r>
      <w:r w:rsidRPr="00F41F08">
        <w:rPr>
          <w:rFonts w:asciiTheme="minorHAnsi" w:hAnsiTheme="minorHAnsi" w:cstheme="minorHAnsi"/>
        </w:rPr>
        <w:t xml:space="preserve"> </w:t>
      </w:r>
      <w:r w:rsidR="00477C1E" w:rsidRPr="00F41F08">
        <w:rPr>
          <w:rFonts w:asciiTheme="minorHAnsi" w:hAnsiTheme="minorHAnsi" w:cstheme="minorHAnsi"/>
        </w:rPr>
        <w:t xml:space="preserve">3.1., </w:t>
      </w:r>
      <w:r w:rsidRPr="00F41F08">
        <w:rPr>
          <w:rFonts w:asciiTheme="minorHAnsi" w:hAnsiTheme="minorHAnsi" w:cstheme="minorHAnsi"/>
        </w:rPr>
        <w:t>3.3.</w:t>
      </w:r>
      <w:r w:rsidR="00B7157E" w:rsidRPr="00F41F08">
        <w:rPr>
          <w:rFonts w:asciiTheme="minorHAnsi" w:hAnsiTheme="minorHAnsi" w:cstheme="minorHAnsi"/>
        </w:rPr>
        <w:t xml:space="preserve"> i 3.4.</w:t>
      </w:r>
      <w:r w:rsidR="007301D1" w:rsidRPr="00F41F08">
        <w:rPr>
          <w:rFonts w:asciiTheme="minorHAnsi" w:hAnsiTheme="minorHAnsi" w:cstheme="minorHAnsi"/>
        </w:rPr>
        <w:t xml:space="preserve"> </w:t>
      </w:r>
    </w:p>
    <w:p w14:paraId="5DC6E983" w14:textId="77777777" w:rsidR="009303AB" w:rsidRPr="00F41F08" w:rsidRDefault="009303AB" w:rsidP="009303AB">
      <w:pPr>
        <w:pStyle w:val="Standard"/>
        <w:jc w:val="both"/>
        <w:rPr>
          <w:rFonts w:asciiTheme="minorHAnsi" w:hAnsiTheme="minorHAnsi" w:cstheme="minorHAnsi"/>
        </w:rPr>
      </w:pPr>
    </w:p>
    <w:p w14:paraId="32F924DA" w14:textId="77777777" w:rsidR="009303AB" w:rsidRPr="00F41F08" w:rsidRDefault="009303AB" w:rsidP="009303AB">
      <w:pPr>
        <w:pStyle w:val="Standard"/>
        <w:jc w:val="both"/>
        <w:rPr>
          <w:rFonts w:asciiTheme="minorHAnsi" w:hAnsiTheme="minorHAnsi" w:cstheme="minorHAnsi"/>
        </w:rPr>
      </w:pPr>
    </w:p>
    <w:p w14:paraId="0AACA0CB" w14:textId="77777777" w:rsidR="009303AB" w:rsidRPr="00F41F08" w:rsidRDefault="009303AB" w:rsidP="009303AB">
      <w:pPr>
        <w:pStyle w:val="Standard"/>
        <w:jc w:val="both"/>
        <w:rPr>
          <w:rFonts w:asciiTheme="minorHAnsi" w:hAnsiTheme="minorHAnsi" w:cstheme="minorHAnsi"/>
        </w:rPr>
      </w:pPr>
    </w:p>
    <w:p w14:paraId="1595AD47" w14:textId="77777777" w:rsidR="009303AB" w:rsidRPr="00F41F08" w:rsidRDefault="009303AB" w:rsidP="009303AB">
      <w:pPr>
        <w:pStyle w:val="Standard"/>
        <w:jc w:val="both"/>
        <w:rPr>
          <w:rFonts w:asciiTheme="minorHAnsi" w:hAnsiTheme="minorHAnsi" w:cstheme="minorHAnsi"/>
        </w:rPr>
      </w:pPr>
    </w:p>
    <w:p w14:paraId="2A252E52" w14:textId="77777777" w:rsidR="009303AB" w:rsidRPr="00F41F08" w:rsidRDefault="009303AB" w:rsidP="009303AB">
      <w:pPr>
        <w:pStyle w:val="Standard"/>
        <w:jc w:val="both"/>
        <w:rPr>
          <w:rFonts w:asciiTheme="minorHAnsi" w:hAnsiTheme="minorHAnsi" w:cstheme="minorHAnsi"/>
        </w:rPr>
      </w:pPr>
    </w:p>
    <w:p w14:paraId="6F6EDC19" w14:textId="77777777" w:rsidR="009303AB" w:rsidRPr="00F41F08" w:rsidRDefault="009303AB" w:rsidP="009303AB">
      <w:pPr>
        <w:pStyle w:val="Standard"/>
        <w:jc w:val="both"/>
        <w:rPr>
          <w:rFonts w:asciiTheme="minorHAnsi" w:hAnsiTheme="minorHAnsi" w:cstheme="minorHAnsi"/>
        </w:rPr>
      </w:pPr>
    </w:p>
    <w:p w14:paraId="0AFEA2E5" w14:textId="77777777" w:rsidR="009303AB" w:rsidRPr="00F41F08" w:rsidRDefault="009303AB" w:rsidP="009303AB">
      <w:pPr>
        <w:pStyle w:val="Standard"/>
        <w:jc w:val="both"/>
        <w:rPr>
          <w:rFonts w:asciiTheme="minorHAnsi" w:hAnsiTheme="minorHAnsi" w:cstheme="minorHAnsi"/>
        </w:rPr>
      </w:pPr>
    </w:p>
    <w:p w14:paraId="65BBEFC0" w14:textId="77777777" w:rsidR="009303AB" w:rsidRPr="00F41F08" w:rsidRDefault="009303AB" w:rsidP="009303AB">
      <w:pPr>
        <w:pStyle w:val="Standard"/>
        <w:jc w:val="both"/>
        <w:rPr>
          <w:rFonts w:asciiTheme="minorHAnsi" w:hAnsiTheme="minorHAnsi" w:cstheme="minorHAnsi"/>
        </w:rPr>
      </w:pPr>
    </w:p>
    <w:p w14:paraId="75E97A4E" w14:textId="77777777" w:rsidR="009303AB" w:rsidRPr="00F41F08" w:rsidRDefault="009303AB" w:rsidP="009303AB">
      <w:pPr>
        <w:pStyle w:val="Standard"/>
        <w:jc w:val="both"/>
        <w:rPr>
          <w:rFonts w:asciiTheme="minorHAnsi" w:hAnsiTheme="minorHAnsi" w:cstheme="minorHAnsi"/>
        </w:rPr>
      </w:pPr>
    </w:p>
    <w:p w14:paraId="1905EF36" w14:textId="77777777" w:rsidR="009303AB" w:rsidRPr="00F41F08" w:rsidRDefault="009303AB" w:rsidP="009303AB">
      <w:pPr>
        <w:pStyle w:val="Standard"/>
        <w:jc w:val="both"/>
        <w:rPr>
          <w:rFonts w:asciiTheme="minorHAnsi" w:hAnsiTheme="minorHAnsi" w:cstheme="minorHAnsi"/>
        </w:rPr>
      </w:pPr>
    </w:p>
    <w:p w14:paraId="13B69B40" w14:textId="77777777" w:rsidR="009303AB" w:rsidRPr="00F41F08" w:rsidRDefault="009303AB" w:rsidP="009303AB">
      <w:pPr>
        <w:pStyle w:val="Standard"/>
        <w:jc w:val="both"/>
        <w:rPr>
          <w:rFonts w:asciiTheme="minorHAnsi" w:hAnsiTheme="minorHAnsi" w:cstheme="minorHAnsi"/>
        </w:rPr>
      </w:pPr>
    </w:p>
    <w:p w14:paraId="31B0A2F3" w14:textId="77777777" w:rsidR="00F41F08" w:rsidRPr="00F41F08" w:rsidRDefault="00F41F08" w:rsidP="009303AB">
      <w:pPr>
        <w:pStyle w:val="Standard"/>
        <w:jc w:val="both"/>
        <w:rPr>
          <w:rFonts w:asciiTheme="minorHAnsi" w:hAnsiTheme="minorHAnsi" w:cstheme="minorHAnsi"/>
        </w:rPr>
      </w:pPr>
    </w:p>
    <w:p w14:paraId="4FA51007" w14:textId="0A64B8EF" w:rsidR="009079A4" w:rsidRPr="00F41F08" w:rsidRDefault="009079A4" w:rsidP="009303AB">
      <w:pPr>
        <w:pStyle w:val="Standard"/>
        <w:jc w:val="both"/>
        <w:rPr>
          <w:rFonts w:asciiTheme="minorHAnsi" w:hAnsiTheme="minorHAnsi" w:cstheme="minorHAnsi"/>
        </w:rPr>
      </w:pPr>
    </w:p>
    <w:p w14:paraId="55175AE0" w14:textId="77777777" w:rsidR="009079A4" w:rsidRPr="00F41F08" w:rsidRDefault="009079A4" w:rsidP="009303AB">
      <w:pPr>
        <w:pStyle w:val="Standard"/>
        <w:jc w:val="both"/>
        <w:rPr>
          <w:rFonts w:asciiTheme="minorHAnsi" w:hAnsiTheme="minorHAnsi" w:cstheme="minorHAnsi"/>
        </w:rPr>
      </w:pPr>
    </w:p>
    <w:p w14:paraId="767F72B8" w14:textId="5304D970" w:rsidR="009303AB" w:rsidRPr="00F41F08" w:rsidRDefault="009303AB" w:rsidP="009303AB">
      <w:pPr>
        <w:pStyle w:val="Standard"/>
        <w:jc w:val="both"/>
        <w:rPr>
          <w:rFonts w:asciiTheme="minorHAnsi" w:hAnsiTheme="minorHAnsi" w:cstheme="minorHAnsi"/>
        </w:rPr>
      </w:pPr>
    </w:p>
    <w:p w14:paraId="7C1674AD" w14:textId="04870CA2" w:rsidR="00346149" w:rsidRPr="00F41F08" w:rsidRDefault="00346149" w:rsidP="009303AB">
      <w:pPr>
        <w:pStyle w:val="Standard"/>
        <w:jc w:val="both"/>
        <w:rPr>
          <w:rFonts w:asciiTheme="minorHAnsi" w:hAnsiTheme="minorHAnsi" w:cstheme="minorHAnsi"/>
        </w:rPr>
      </w:pPr>
    </w:p>
    <w:p w14:paraId="59433CE4" w14:textId="77777777" w:rsidR="00346149" w:rsidRPr="00F41F08" w:rsidRDefault="00346149" w:rsidP="009303AB">
      <w:pPr>
        <w:pStyle w:val="Standard"/>
        <w:jc w:val="both"/>
        <w:rPr>
          <w:rFonts w:asciiTheme="minorHAnsi" w:hAnsiTheme="minorHAnsi" w:cstheme="minorHAnsi"/>
        </w:rPr>
      </w:pPr>
    </w:p>
    <w:p w14:paraId="1260E24D" w14:textId="77777777" w:rsidR="009303AB" w:rsidRPr="00F41F08" w:rsidRDefault="009303AB" w:rsidP="009303AB">
      <w:pPr>
        <w:pStyle w:val="Standard"/>
        <w:jc w:val="both"/>
        <w:rPr>
          <w:rFonts w:asciiTheme="minorHAnsi" w:hAnsiTheme="minorHAnsi" w:cstheme="minorHAnsi"/>
        </w:rPr>
      </w:pPr>
    </w:p>
    <w:p w14:paraId="570B7B05" w14:textId="67B9BF93" w:rsidR="006701F3" w:rsidRPr="00F41F08" w:rsidRDefault="00346149" w:rsidP="00346149">
      <w:pPr>
        <w:pStyle w:val="Standard"/>
        <w:tabs>
          <w:tab w:val="center" w:pos="4536"/>
          <w:tab w:val="right" w:pos="9072"/>
        </w:tabs>
        <w:rPr>
          <w:rFonts w:asciiTheme="minorHAnsi" w:hAnsiTheme="minorHAnsi" w:cstheme="minorHAnsi"/>
        </w:rPr>
      </w:pPr>
      <w:r w:rsidRPr="00F41F08">
        <w:rPr>
          <w:rFonts w:asciiTheme="minorHAnsi" w:hAnsiTheme="minorHAnsi" w:cstheme="minorHAnsi"/>
        </w:rPr>
        <w:tab/>
      </w:r>
      <w:r w:rsidR="00452C72">
        <w:rPr>
          <w:rFonts w:asciiTheme="minorHAnsi" w:hAnsiTheme="minorHAnsi" w:cstheme="minorHAnsi"/>
        </w:rPr>
        <w:t>listopad</w:t>
      </w:r>
      <w:r w:rsidR="009079A4" w:rsidRPr="00F41F08">
        <w:rPr>
          <w:rFonts w:asciiTheme="minorHAnsi" w:hAnsiTheme="minorHAnsi" w:cstheme="minorHAnsi"/>
        </w:rPr>
        <w:t xml:space="preserve"> 2020.</w:t>
      </w:r>
    </w:p>
    <w:p w14:paraId="291984B5" w14:textId="0CE8B8F0" w:rsidR="00346149" w:rsidRDefault="00346149" w:rsidP="00346149">
      <w:pPr>
        <w:pStyle w:val="Standard"/>
        <w:tabs>
          <w:tab w:val="center" w:pos="4536"/>
          <w:tab w:val="right" w:pos="9072"/>
        </w:tabs>
      </w:pPr>
      <w:r>
        <w:lastRenderedPageBreak/>
        <w:tab/>
      </w:r>
    </w:p>
    <w:p w14:paraId="0548FE28" w14:textId="77777777" w:rsidR="009303AB" w:rsidRPr="00AA0A1C" w:rsidRDefault="009303AB">
      <w:pPr>
        <w:pStyle w:val="Standard"/>
        <w:jc w:val="center"/>
        <w:rPr>
          <w:rFonts w:asciiTheme="minorHAnsi" w:hAnsiTheme="minorHAnsi" w:cstheme="minorHAnsi"/>
          <w:b/>
          <w:bCs/>
        </w:rPr>
      </w:pPr>
      <w:r w:rsidRPr="00AA0A1C">
        <w:rPr>
          <w:rFonts w:asciiTheme="minorHAnsi" w:hAnsiTheme="minorHAnsi" w:cstheme="minorHAnsi"/>
          <w:b/>
          <w:bCs/>
        </w:rPr>
        <w:t>PROGRAM DODJELE POTPORE</w:t>
      </w:r>
    </w:p>
    <w:p w14:paraId="4172A969" w14:textId="0EEE34E8" w:rsidR="009303AB" w:rsidRDefault="009303AB">
      <w:pPr>
        <w:pStyle w:val="Standard"/>
        <w:jc w:val="center"/>
        <w:rPr>
          <w:rFonts w:asciiTheme="minorHAnsi" w:hAnsiTheme="minorHAnsi" w:cstheme="minorHAnsi"/>
          <w:b/>
          <w:bCs/>
        </w:rPr>
      </w:pPr>
      <w:r w:rsidRPr="00AA0A1C">
        <w:rPr>
          <w:rFonts w:asciiTheme="minorHAnsi" w:hAnsiTheme="minorHAnsi" w:cstheme="minorHAnsi"/>
          <w:b/>
          <w:bCs/>
        </w:rPr>
        <w:t>HRVATSKE BANKE ZA OBNOVU I RAZVITAK (HBOR)</w:t>
      </w:r>
    </w:p>
    <w:p w14:paraId="6370553D" w14:textId="77777777" w:rsidR="00A9283D" w:rsidRPr="00AA0A1C" w:rsidRDefault="00A9283D">
      <w:pPr>
        <w:pStyle w:val="Standard"/>
        <w:jc w:val="center"/>
        <w:rPr>
          <w:rFonts w:asciiTheme="minorHAnsi" w:hAnsiTheme="minorHAnsi" w:cstheme="minorHAnsi"/>
          <w:b/>
          <w:bCs/>
        </w:rPr>
      </w:pPr>
    </w:p>
    <w:p w14:paraId="2A277448" w14:textId="20D1D7E8" w:rsidR="00A9283D" w:rsidRPr="00A9283D" w:rsidRDefault="00A9283D" w:rsidP="00A9283D">
      <w:pPr>
        <w:pStyle w:val="Standard"/>
        <w:jc w:val="center"/>
        <w:rPr>
          <w:rFonts w:asciiTheme="minorHAnsi" w:hAnsiTheme="minorHAnsi" w:cstheme="minorHAnsi"/>
          <w:b/>
          <w:bCs/>
          <w:sz w:val="22"/>
          <w:szCs w:val="22"/>
        </w:rPr>
      </w:pPr>
      <w:r w:rsidRPr="00A9283D">
        <w:rPr>
          <w:rFonts w:asciiTheme="minorHAnsi" w:hAnsiTheme="minorHAnsi" w:cstheme="minorHAnsi"/>
          <w:b/>
          <w:bCs/>
          <w:sz w:val="22"/>
          <w:szCs w:val="22"/>
        </w:rPr>
        <w:t>- usklađen s Privremenim okvirom za mjere državne potpore u svrhu podrške gospodarstvu u aktualnoj pandemiji covida-19</w:t>
      </w:r>
    </w:p>
    <w:p w14:paraId="66D9F284" w14:textId="2FF4929F" w:rsidR="009303AB" w:rsidRPr="00AA0A1C" w:rsidRDefault="00A9283D" w:rsidP="00A9283D">
      <w:pPr>
        <w:pStyle w:val="Standard"/>
        <w:jc w:val="center"/>
        <w:rPr>
          <w:rFonts w:asciiTheme="minorHAnsi" w:hAnsiTheme="minorHAnsi" w:cstheme="minorHAnsi"/>
          <w:b/>
          <w:bCs/>
          <w:sz w:val="22"/>
          <w:szCs w:val="22"/>
        </w:rPr>
      </w:pPr>
      <w:r>
        <w:rPr>
          <w:rFonts w:asciiTheme="minorHAnsi" w:hAnsiTheme="minorHAnsi" w:cstheme="minorHAnsi"/>
          <w:b/>
          <w:bCs/>
          <w:sz w:val="22"/>
          <w:szCs w:val="22"/>
        </w:rPr>
        <w:t>-</w:t>
      </w:r>
      <w:r w:rsidRPr="00A9283D">
        <w:rPr>
          <w:rFonts w:asciiTheme="minorHAnsi" w:hAnsiTheme="minorHAnsi" w:cstheme="minorHAnsi"/>
          <w:b/>
          <w:bCs/>
          <w:sz w:val="22"/>
          <w:szCs w:val="22"/>
        </w:rPr>
        <w:t xml:space="preserve"> odjeljci  3.1., 3.3. i 3.4.</w:t>
      </w:r>
      <w:r>
        <w:rPr>
          <w:rFonts w:asciiTheme="minorHAnsi" w:hAnsiTheme="minorHAnsi" w:cstheme="minorHAnsi"/>
          <w:b/>
          <w:bCs/>
          <w:sz w:val="22"/>
          <w:szCs w:val="22"/>
        </w:rPr>
        <w:t xml:space="preserve"> -</w:t>
      </w:r>
    </w:p>
    <w:p w14:paraId="7D9369DD" w14:textId="77777777" w:rsidR="00346149" w:rsidRPr="00AA0A1C" w:rsidRDefault="00346149" w:rsidP="009303AB">
      <w:pPr>
        <w:pStyle w:val="Standard"/>
        <w:jc w:val="both"/>
        <w:rPr>
          <w:rFonts w:asciiTheme="minorHAnsi" w:hAnsiTheme="minorHAnsi" w:cstheme="minorHAnsi"/>
          <w:b/>
          <w:bCs/>
          <w:sz w:val="22"/>
          <w:szCs w:val="22"/>
        </w:rPr>
      </w:pPr>
    </w:p>
    <w:p w14:paraId="0635EB18" w14:textId="77777777" w:rsidR="009303AB" w:rsidRPr="00AA0A1C" w:rsidRDefault="009303AB" w:rsidP="009303AB">
      <w:pPr>
        <w:pStyle w:val="Standard"/>
        <w:jc w:val="both"/>
        <w:rPr>
          <w:rFonts w:asciiTheme="minorHAnsi" w:hAnsiTheme="minorHAnsi" w:cstheme="minorHAnsi"/>
          <w:sz w:val="22"/>
          <w:szCs w:val="22"/>
        </w:rPr>
      </w:pPr>
    </w:p>
    <w:p w14:paraId="5D889B9C" w14:textId="77777777" w:rsidR="009303AB" w:rsidRPr="00AA0A1C" w:rsidRDefault="009303AB"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Članak 1.</w:t>
      </w:r>
    </w:p>
    <w:p w14:paraId="479ED7E0" w14:textId="7D3E5584" w:rsidR="009303AB" w:rsidRPr="00AA0A1C" w:rsidRDefault="009303AB" w:rsidP="00346149">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Pravni temelj</w:t>
      </w:r>
    </w:p>
    <w:p w14:paraId="2A4CCFE6" w14:textId="794721D5" w:rsidR="009646ED" w:rsidRPr="00AA0A1C" w:rsidRDefault="009646ED" w:rsidP="009646ED">
      <w:pPr>
        <w:pStyle w:val="Standard"/>
        <w:jc w:val="both"/>
        <w:rPr>
          <w:rFonts w:asciiTheme="minorHAnsi" w:hAnsiTheme="minorHAnsi" w:cstheme="minorHAnsi"/>
          <w:sz w:val="22"/>
          <w:szCs w:val="22"/>
        </w:rPr>
      </w:pPr>
      <w:bookmarkStart w:id="1" w:name="_Hlk35375267"/>
    </w:p>
    <w:p w14:paraId="46107A44" w14:textId="2BF5619E" w:rsidR="00346149" w:rsidRPr="00AA0A1C" w:rsidRDefault="009646ED" w:rsidP="004961C8">
      <w:pPr>
        <w:pStyle w:val="Standard"/>
        <w:numPr>
          <w:ilvl w:val="0"/>
          <w:numId w:val="6"/>
        </w:numPr>
        <w:jc w:val="both"/>
        <w:rPr>
          <w:rFonts w:asciiTheme="minorHAnsi" w:hAnsiTheme="minorHAnsi" w:cstheme="minorHAnsi"/>
          <w:sz w:val="22"/>
          <w:szCs w:val="22"/>
        </w:rPr>
      </w:pPr>
      <w:r w:rsidRPr="00AA0A1C">
        <w:rPr>
          <w:rFonts w:asciiTheme="minorHAnsi" w:hAnsiTheme="minorHAnsi" w:cstheme="minorHAnsi"/>
          <w:sz w:val="22"/>
          <w:szCs w:val="22"/>
        </w:rPr>
        <w:t xml:space="preserve">Ovim Programom uređuje se dodjela potpora sukladno Obavijesti Europske komisije - </w:t>
      </w:r>
      <w:r w:rsidRPr="00AA0A1C">
        <w:rPr>
          <w:rFonts w:asciiTheme="minorHAnsi" w:hAnsiTheme="minorHAnsi" w:cstheme="minorHAnsi"/>
          <w:i/>
          <w:iCs/>
          <w:sz w:val="22"/>
          <w:szCs w:val="22"/>
        </w:rPr>
        <w:t>Privremeni okvir za mjere državne potpore u svrhu podrške gospodarstvu u aktualnoj pandemiji covida-19</w:t>
      </w:r>
      <w:r w:rsidRPr="00AA0A1C">
        <w:rPr>
          <w:rFonts w:asciiTheme="minorHAnsi" w:hAnsiTheme="minorHAnsi" w:cstheme="minorHAnsi"/>
          <w:sz w:val="22"/>
          <w:szCs w:val="22"/>
        </w:rPr>
        <w:t xml:space="preserve"> (SL C 91I, 20.3.2020.</w:t>
      </w:r>
      <w:r w:rsidR="00346149" w:rsidRPr="00AA0A1C">
        <w:rPr>
          <w:rFonts w:asciiTheme="minorHAnsi" w:hAnsiTheme="minorHAnsi" w:cstheme="minorHAnsi"/>
          <w:sz w:val="22"/>
          <w:szCs w:val="22"/>
        </w:rPr>
        <w:t xml:space="preserve">, dalje: </w:t>
      </w:r>
      <w:r w:rsidR="00346149" w:rsidRPr="00AA0A1C">
        <w:rPr>
          <w:rFonts w:asciiTheme="minorHAnsi" w:hAnsiTheme="minorHAnsi" w:cstheme="minorHAnsi"/>
          <w:i/>
          <w:iCs/>
          <w:sz w:val="22"/>
          <w:szCs w:val="22"/>
        </w:rPr>
        <w:t>Privremeni okvir</w:t>
      </w:r>
      <w:r w:rsidRPr="00AA0A1C">
        <w:rPr>
          <w:rFonts w:asciiTheme="minorHAnsi" w:hAnsiTheme="minorHAnsi" w:cstheme="minorHAnsi"/>
          <w:sz w:val="22"/>
          <w:szCs w:val="22"/>
        </w:rPr>
        <w:t>) te svim njegovim naknadnim izmjenama i dopunama</w:t>
      </w:r>
      <w:r w:rsidR="00346149" w:rsidRPr="00AA0A1C">
        <w:rPr>
          <w:rStyle w:val="FootnoteReference"/>
          <w:rFonts w:asciiTheme="minorHAnsi" w:hAnsiTheme="minorHAnsi" w:cstheme="minorHAnsi"/>
          <w:sz w:val="22"/>
          <w:szCs w:val="22"/>
        </w:rPr>
        <w:footnoteReference w:id="2"/>
      </w:r>
      <w:r w:rsidR="00346149" w:rsidRPr="00AA0A1C">
        <w:rPr>
          <w:rFonts w:asciiTheme="minorHAnsi" w:hAnsiTheme="minorHAnsi" w:cstheme="minorHAnsi"/>
          <w:sz w:val="22"/>
          <w:szCs w:val="22"/>
        </w:rPr>
        <w:t>.</w:t>
      </w:r>
      <w:r w:rsidRPr="00AA0A1C">
        <w:rPr>
          <w:rFonts w:asciiTheme="minorHAnsi" w:hAnsiTheme="minorHAnsi" w:cstheme="minorHAnsi"/>
          <w:sz w:val="22"/>
          <w:szCs w:val="22"/>
        </w:rPr>
        <w:t xml:space="preserve"> </w:t>
      </w:r>
    </w:p>
    <w:p w14:paraId="7FAEA969" w14:textId="77777777" w:rsidR="00346149" w:rsidRPr="00AA0A1C" w:rsidRDefault="00346149" w:rsidP="00346149">
      <w:pPr>
        <w:pStyle w:val="Standard"/>
        <w:ind w:left="360"/>
        <w:jc w:val="both"/>
        <w:rPr>
          <w:rFonts w:asciiTheme="minorHAnsi" w:hAnsiTheme="minorHAnsi" w:cstheme="minorHAnsi"/>
          <w:sz w:val="22"/>
          <w:szCs w:val="22"/>
        </w:rPr>
      </w:pPr>
    </w:p>
    <w:p w14:paraId="0D80CDC2" w14:textId="26DDB561" w:rsidR="009303AB" w:rsidRPr="00AA0A1C" w:rsidRDefault="009303AB" w:rsidP="004961C8">
      <w:pPr>
        <w:pStyle w:val="Standard"/>
        <w:numPr>
          <w:ilvl w:val="0"/>
          <w:numId w:val="6"/>
        </w:numPr>
        <w:jc w:val="both"/>
        <w:rPr>
          <w:rFonts w:asciiTheme="minorHAnsi" w:hAnsiTheme="minorHAnsi" w:cstheme="minorHAnsi"/>
          <w:b/>
          <w:bCs/>
          <w:sz w:val="22"/>
          <w:szCs w:val="22"/>
        </w:rPr>
      </w:pPr>
      <w:r w:rsidRPr="00AA0A1C">
        <w:rPr>
          <w:rFonts w:asciiTheme="minorHAnsi" w:hAnsiTheme="minorHAnsi" w:cstheme="minorHAnsi"/>
          <w:sz w:val="22"/>
          <w:szCs w:val="22"/>
        </w:rPr>
        <w:t xml:space="preserve">Ovaj Program predstavlja akt temeljem kojeg HBOR može, bez potrebe za daljnjim provedbenim mjerama, dodjeljivati pojedinačne potpore korisnicima koju ispunjavaju propisane uvjete. </w:t>
      </w:r>
      <w:bookmarkEnd w:id="1"/>
    </w:p>
    <w:p w14:paraId="14AB85C9" w14:textId="77777777" w:rsidR="00346149" w:rsidRPr="00AA0A1C" w:rsidRDefault="00346149" w:rsidP="009303AB">
      <w:pPr>
        <w:pStyle w:val="Standard"/>
        <w:jc w:val="both"/>
        <w:rPr>
          <w:rFonts w:asciiTheme="minorHAnsi" w:hAnsiTheme="minorHAnsi" w:cstheme="minorHAnsi"/>
          <w:b/>
          <w:bCs/>
          <w:sz w:val="22"/>
          <w:szCs w:val="22"/>
        </w:rPr>
      </w:pPr>
    </w:p>
    <w:p w14:paraId="21624001" w14:textId="77777777" w:rsidR="009303AB" w:rsidRDefault="009303AB" w:rsidP="009303AB">
      <w:pPr>
        <w:pStyle w:val="Standard"/>
        <w:jc w:val="both"/>
        <w:rPr>
          <w:rFonts w:asciiTheme="minorHAnsi" w:hAnsiTheme="minorHAnsi" w:cstheme="minorHAnsi"/>
          <w:b/>
          <w:bCs/>
          <w:sz w:val="22"/>
          <w:szCs w:val="22"/>
        </w:rPr>
      </w:pPr>
    </w:p>
    <w:p w14:paraId="2DE4956B" w14:textId="77777777" w:rsidR="00AA0A1C" w:rsidRPr="00AA0A1C" w:rsidRDefault="00AA0A1C" w:rsidP="009303AB">
      <w:pPr>
        <w:pStyle w:val="Standard"/>
        <w:jc w:val="both"/>
        <w:rPr>
          <w:rFonts w:asciiTheme="minorHAnsi" w:hAnsiTheme="minorHAnsi" w:cstheme="minorHAnsi"/>
          <w:b/>
          <w:bCs/>
          <w:sz w:val="22"/>
          <w:szCs w:val="22"/>
        </w:rPr>
      </w:pPr>
    </w:p>
    <w:p w14:paraId="513E2680" w14:textId="77777777" w:rsidR="009303AB" w:rsidRPr="00AA0A1C" w:rsidRDefault="009303AB"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Članak 2.</w:t>
      </w:r>
    </w:p>
    <w:p w14:paraId="5857E8EC" w14:textId="77777777" w:rsidR="009303AB" w:rsidRPr="00AA0A1C" w:rsidRDefault="009303AB" w:rsidP="009303AB">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 xml:space="preserve">Prihvatljivi korisnici </w:t>
      </w:r>
    </w:p>
    <w:p w14:paraId="3F8F7934" w14:textId="77777777" w:rsidR="009303AB" w:rsidRPr="00AA0A1C" w:rsidRDefault="009303AB" w:rsidP="009303AB">
      <w:pPr>
        <w:pStyle w:val="Standard"/>
        <w:jc w:val="both"/>
        <w:rPr>
          <w:rFonts w:asciiTheme="minorHAnsi" w:hAnsiTheme="minorHAnsi" w:cstheme="minorHAnsi"/>
          <w:sz w:val="22"/>
          <w:szCs w:val="22"/>
        </w:rPr>
      </w:pPr>
    </w:p>
    <w:p w14:paraId="7E29A710" w14:textId="01814547" w:rsidR="009303AB" w:rsidRPr="00AA0A1C" w:rsidRDefault="009303AB" w:rsidP="004961C8">
      <w:pPr>
        <w:pStyle w:val="Standard"/>
        <w:numPr>
          <w:ilvl w:val="0"/>
          <w:numId w:val="1"/>
        </w:numPr>
        <w:jc w:val="both"/>
        <w:rPr>
          <w:rFonts w:asciiTheme="minorHAnsi" w:hAnsiTheme="minorHAnsi" w:cstheme="minorHAnsi"/>
          <w:sz w:val="22"/>
          <w:szCs w:val="22"/>
        </w:rPr>
      </w:pPr>
      <w:r w:rsidRPr="00AA0A1C">
        <w:rPr>
          <w:rFonts w:asciiTheme="minorHAnsi" w:hAnsiTheme="minorHAnsi" w:cstheme="minorHAnsi"/>
          <w:sz w:val="22"/>
          <w:szCs w:val="22"/>
        </w:rPr>
        <w:t>Ovaj Program primjenjuje se prilikom dodjele potpora poduzetnicima u svim sektorima, uključujući poduzetnike koji se bave djelatnostima primarne poljoprivredne proizvodnje i sektora ribarstva, bez obzira na veličinu.</w:t>
      </w:r>
    </w:p>
    <w:p w14:paraId="574B6259" w14:textId="77777777" w:rsidR="00E41C27" w:rsidRPr="00AA0A1C" w:rsidRDefault="00E41C27" w:rsidP="00E41C27">
      <w:pPr>
        <w:pStyle w:val="Standard"/>
        <w:ind w:left="360"/>
        <w:jc w:val="both"/>
        <w:rPr>
          <w:rFonts w:asciiTheme="minorHAnsi" w:hAnsiTheme="minorHAnsi" w:cstheme="minorHAnsi"/>
          <w:sz w:val="22"/>
          <w:szCs w:val="22"/>
        </w:rPr>
      </w:pPr>
    </w:p>
    <w:p w14:paraId="0C8B165F" w14:textId="77777777" w:rsidR="003A35BE" w:rsidRPr="00AA0A1C" w:rsidRDefault="009303AB" w:rsidP="004961C8">
      <w:pPr>
        <w:pStyle w:val="Standard"/>
        <w:numPr>
          <w:ilvl w:val="0"/>
          <w:numId w:val="1"/>
        </w:numPr>
        <w:jc w:val="both"/>
        <w:rPr>
          <w:rFonts w:asciiTheme="minorHAnsi" w:hAnsiTheme="minorHAnsi" w:cstheme="minorHAnsi"/>
          <w:sz w:val="22"/>
          <w:szCs w:val="22"/>
        </w:rPr>
      </w:pPr>
      <w:r w:rsidRPr="00AA0A1C">
        <w:rPr>
          <w:rFonts w:asciiTheme="minorHAnsi" w:hAnsiTheme="minorHAnsi" w:cstheme="minorHAnsi"/>
          <w:sz w:val="22"/>
          <w:szCs w:val="22"/>
        </w:rPr>
        <w:t xml:space="preserve">Prihvatljivima </w:t>
      </w:r>
      <w:r w:rsidR="00153A14" w:rsidRPr="00AA0A1C">
        <w:rPr>
          <w:rFonts w:asciiTheme="minorHAnsi" w:hAnsiTheme="minorHAnsi" w:cstheme="minorHAnsi"/>
          <w:sz w:val="22"/>
          <w:szCs w:val="22"/>
        </w:rPr>
        <w:t xml:space="preserve">korisnicima </w:t>
      </w:r>
      <w:r w:rsidRPr="00AA0A1C">
        <w:rPr>
          <w:rFonts w:asciiTheme="minorHAnsi" w:hAnsiTheme="minorHAnsi" w:cstheme="minorHAnsi"/>
          <w:sz w:val="22"/>
          <w:szCs w:val="22"/>
        </w:rPr>
        <w:t>se smatraju</w:t>
      </w:r>
      <w:r w:rsidR="003A35BE" w:rsidRPr="00AA0A1C">
        <w:rPr>
          <w:rFonts w:asciiTheme="minorHAnsi" w:hAnsiTheme="minorHAnsi" w:cstheme="minorHAnsi"/>
          <w:sz w:val="22"/>
          <w:szCs w:val="22"/>
        </w:rPr>
        <w:t>:</w:t>
      </w:r>
    </w:p>
    <w:p w14:paraId="0BBA1596" w14:textId="4EB7D634" w:rsidR="003A35BE" w:rsidRPr="00AA0A1C" w:rsidRDefault="003A35BE" w:rsidP="003A35BE">
      <w:pPr>
        <w:pStyle w:val="Standard"/>
        <w:ind w:left="360"/>
        <w:jc w:val="both"/>
        <w:rPr>
          <w:rFonts w:asciiTheme="minorHAnsi" w:hAnsiTheme="minorHAnsi" w:cstheme="minorHAnsi"/>
          <w:sz w:val="22"/>
          <w:szCs w:val="22"/>
        </w:rPr>
      </w:pPr>
      <w:r w:rsidRPr="00AA0A1C">
        <w:rPr>
          <w:rFonts w:asciiTheme="minorHAnsi" w:hAnsiTheme="minorHAnsi" w:cstheme="minorHAnsi"/>
          <w:sz w:val="22"/>
          <w:szCs w:val="22"/>
        </w:rPr>
        <w:t>-</w:t>
      </w:r>
      <w:r w:rsidR="005C1B40" w:rsidRPr="00AA0A1C">
        <w:rPr>
          <w:rFonts w:asciiTheme="minorHAnsi" w:hAnsiTheme="minorHAnsi" w:cstheme="minorHAnsi"/>
          <w:sz w:val="22"/>
          <w:szCs w:val="22"/>
        </w:rPr>
        <w:t xml:space="preserve"> </w:t>
      </w:r>
      <w:r w:rsidRPr="00AA0A1C">
        <w:rPr>
          <w:rFonts w:asciiTheme="minorHAnsi" w:hAnsiTheme="minorHAnsi" w:cstheme="minorHAnsi"/>
          <w:sz w:val="22"/>
          <w:szCs w:val="22"/>
        </w:rPr>
        <w:t xml:space="preserve">   </w:t>
      </w:r>
      <w:r w:rsidR="005C1B40" w:rsidRPr="00AA0A1C">
        <w:rPr>
          <w:rFonts w:asciiTheme="minorHAnsi" w:hAnsiTheme="minorHAnsi" w:cstheme="minorHAnsi"/>
          <w:sz w:val="22"/>
          <w:szCs w:val="22"/>
        </w:rPr>
        <w:t xml:space="preserve">mikro, </w:t>
      </w:r>
      <w:r w:rsidR="009873C0" w:rsidRPr="00AA0A1C">
        <w:rPr>
          <w:rFonts w:asciiTheme="minorHAnsi" w:hAnsiTheme="minorHAnsi" w:cstheme="minorHAnsi"/>
          <w:sz w:val="22"/>
          <w:szCs w:val="22"/>
        </w:rPr>
        <w:t xml:space="preserve">mali, srednji i  veliki </w:t>
      </w:r>
      <w:r w:rsidR="009303AB" w:rsidRPr="00AA0A1C">
        <w:rPr>
          <w:rFonts w:asciiTheme="minorHAnsi" w:hAnsiTheme="minorHAnsi" w:cstheme="minorHAnsi"/>
          <w:sz w:val="22"/>
          <w:szCs w:val="22"/>
        </w:rPr>
        <w:t>poduzetnici</w:t>
      </w:r>
      <w:r w:rsidR="005C1B40" w:rsidRPr="00AA0A1C">
        <w:rPr>
          <w:rFonts w:asciiTheme="minorHAnsi" w:hAnsiTheme="minorHAnsi" w:cstheme="minorHAnsi"/>
          <w:sz w:val="22"/>
          <w:szCs w:val="22"/>
        </w:rPr>
        <w:t xml:space="preserve">, </w:t>
      </w:r>
    </w:p>
    <w:p w14:paraId="4597E9B1" w14:textId="7DA15D8F" w:rsidR="003A35BE" w:rsidRPr="00AA0A1C" w:rsidRDefault="005C1B40" w:rsidP="004961C8">
      <w:pPr>
        <w:pStyle w:val="Standard"/>
        <w:numPr>
          <w:ilvl w:val="0"/>
          <w:numId w:val="7"/>
        </w:numPr>
        <w:jc w:val="both"/>
        <w:rPr>
          <w:rFonts w:asciiTheme="minorHAnsi" w:hAnsiTheme="minorHAnsi" w:cstheme="minorHAnsi"/>
          <w:sz w:val="22"/>
          <w:szCs w:val="22"/>
        </w:rPr>
      </w:pPr>
      <w:r w:rsidRPr="00AA0A1C">
        <w:rPr>
          <w:rFonts w:asciiTheme="minorHAnsi" w:hAnsiTheme="minorHAnsi" w:cstheme="minorHAnsi"/>
          <w:sz w:val="22"/>
          <w:szCs w:val="22"/>
        </w:rPr>
        <w:t xml:space="preserve">koji </w:t>
      </w:r>
      <w:r w:rsidR="00153A14" w:rsidRPr="00AA0A1C">
        <w:rPr>
          <w:rFonts w:asciiTheme="minorHAnsi" w:hAnsiTheme="minorHAnsi" w:cstheme="minorHAnsi"/>
          <w:sz w:val="22"/>
          <w:szCs w:val="22"/>
        </w:rPr>
        <w:t>nisu bili u teškoćama (u smislu Uredbe o općem skupnom izuzeću</w:t>
      </w:r>
      <w:r w:rsidR="00153A14" w:rsidRPr="00AA0A1C">
        <w:rPr>
          <w:rStyle w:val="FootnoteReference"/>
          <w:rFonts w:asciiTheme="minorHAnsi" w:hAnsiTheme="minorHAnsi" w:cstheme="minorHAnsi"/>
          <w:sz w:val="22"/>
          <w:szCs w:val="22"/>
        </w:rPr>
        <w:footnoteReference w:id="3"/>
      </w:r>
      <w:r w:rsidR="00153A14" w:rsidRPr="00AA0A1C">
        <w:rPr>
          <w:rFonts w:asciiTheme="minorHAnsi" w:hAnsiTheme="minorHAnsi" w:cstheme="minorHAnsi"/>
          <w:sz w:val="22"/>
          <w:szCs w:val="22"/>
        </w:rPr>
        <w:t>) 31. prosinca 2019</w:t>
      </w:r>
      <w:r w:rsidRPr="00AA0A1C">
        <w:rPr>
          <w:rFonts w:asciiTheme="minorHAnsi" w:hAnsiTheme="minorHAnsi" w:cstheme="minorHAnsi"/>
          <w:sz w:val="22"/>
          <w:szCs w:val="22"/>
        </w:rPr>
        <w:t xml:space="preserve">. </w:t>
      </w:r>
    </w:p>
    <w:p w14:paraId="283227F7" w14:textId="75CA71A5" w:rsidR="005C1B40" w:rsidRPr="00AA0A1C" w:rsidRDefault="003A35BE" w:rsidP="004961C8">
      <w:pPr>
        <w:pStyle w:val="Standard"/>
        <w:numPr>
          <w:ilvl w:val="0"/>
          <w:numId w:val="7"/>
        </w:numPr>
        <w:jc w:val="both"/>
        <w:rPr>
          <w:rFonts w:asciiTheme="minorHAnsi" w:hAnsiTheme="minorHAnsi" w:cstheme="minorHAnsi"/>
          <w:sz w:val="22"/>
          <w:szCs w:val="22"/>
        </w:rPr>
      </w:pPr>
      <w:r w:rsidRPr="00AA0A1C">
        <w:rPr>
          <w:rFonts w:asciiTheme="minorHAnsi" w:hAnsiTheme="minorHAnsi" w:cstheme="minorHAnsi"/>
          <w:sz w:val="22"/>
          <w:szCs w:val="22"/>
        </w:rPr>
        <w:t>odstupajući od prethodno navedenog, p</w:t>
      </w:r>
      <w:r w:rsidR="005C1B40" w:rsidRPr="00AA0A1C">
        <w:rPr>
          <w:rFonts w:asciiTheme="minorHAnsi" w:hAnsiTheme="minorHAnsi" w:cstheme="minorHAnsi"/>
          <w:sz w:val="22"/>
          <w:szCs w:val="22"/>
        </w:rPr>
        <w:t>otpore se ne mogu dodijeliti mikro poduzetnicima ili malim poduzetnicima (u smislu Priloga I Uredbi o općem skupnom izuzeću) koji su već bili u teškoćama na dan 31. prosinca 2019., ako se nad njima provodi cjelokupni stečajni postupak u skladu s nacionalnim pravom, a još nisu primili potporu za sanaciju</w:t>
      </w:r>
      <w:r w:rsidR="005C1B40" w:rsidRPr="00AA0A1C">
        <w:rPr>
          <w:rStyle w:val="FootnoteReference"/>
          <w:rFonts w:asciiTheme="minorHAnsi" w:hAnsiTheme="minorHAnsi" w:cstheme="minorHAnsi"/>
          <w:sz w:val="22"/>
          <w:szCs w:val="22"/>
        </w:rPr>
        <w:footnoteReference w:id="4"/>
      </w:r>
      <w:r w:rsidR="00EE33FF">
        <w:rPr>
          <w:rFonts w:asciiTheme="minorHAnsi" w:hAnsiTheme="minorHAnsi" w:cstheme="minorHAnsi"/>
          <w:sz w:val="22"/>
          <w:szCs w:val="22"/>
        </w:rPr>
        <w:t xml:space="preserve"> </w:t>
      </w:r>
      <w:r w:rsidR="005C1B40" w:rsidRPr="00AA0A1C">
        <w:rPr>
          <w:rFonts w:asciiTheme="minorHAnsi" w:hAnsiTheme="minorHAnsi" w:cstheme="minorHAnsi"/>
          <w:sz w:val="22"/>
          <w:szCs w:val="22"/>
        </w:rPr>
        <w:t>ili potporu za restrukturiranje</w:t>
      </w:r>
      <w:r w:rsidR="005C1B40" w:rsidRPr="00AA0A1C">
        <w:rPr>
          <w:rStyle w:val="FootnoteReference"/>
          <w:rFonts w:asciiTheme="minorHAnsi" w:hAnsiTheme="minorHAnsi" w:cstheme="minorHAnsi"/>
          <w:sz w:val="22"/>
          <w:szCs w:val="22"/>
        </w:rPr>
        <w:footnoteReference w:id="5"/>
      </w:r>
      <w:r w:rsidR="005C1B40" w:rsidRPr="00AA0A1C">
        <w:rPr>
          <w:rFonts w:asciiTheme="minorHAnsi" w:hAnsiTheme="minorHAnsi" w:cstheme="minorHAnsi"/>
          <w:sz w:val="22"/>
          <w:szCs w:val="22"/>
        </w:rPr>
        <w:t>.</w:t>
      </w:r>
    </w:p>
    <w:p w14:paraId="602DE1A6" w14:textId="5B368B00" w:rsidR="003A35BE" w:rsidRPr="00AA0A1C" w:rsidRDefault="003A35BE" w:rsidP="00346149">
      <w:pPr>
        <w:pStyle w:val="Standard"/>
        <w:jc w:val="both"/>
        <w:rPr>
          <w:rFonts w:asciiTheme="minorHAnsi" w:hAnsiTheme="minorHAnsi" w:cstheme="minorHAnsi"/>
          <w:sz w:val="22"/>
          <w:szCs w:val="22"/>
        </w:rPr>
      </w:pPr>
    </w:p>
    <w:p w14:paraId="59203A7C" w14:textId="1C24E715" w:rsidR="00AA0A1C" w:rsidRPr="00A9283D" w:rsidRDefault="7E50AF1A" w:rsidP="004961C8">
      <w:pPr>
        <w:pStyle w:val="Standard"/>
        <w:numPr>
          <w:ilvl w:val="0"/>
          <w:numId w:val="1"/>
        </w:numPr>
        <w:jc w:val="both"/>
        <w:rPr>
          <w:rFonts w:asciiTheme="minorHAnsi" w:eastAsia="Calibri" w:hAnsiTheme="minorHAnsi" w:cstheme="minorHAnsi"/>
          <w:sz w:val="22"/>
          <w:szCs w:val="22"/>
        </w:rPr>
      </w:pPr>
      <w:r w:rsidRPr="00AA0A1C">
        <w:rPr>
          <w:rFonts w:asciiTheme="minorHAnsi" w:eastAsia="Calibri" w:hAnsiTheme="minorHAnsi" w:cstheme="minorHAnsi"/>
          <w:sz w:val="22"/>
          <w:szCs w:val="22"/>
        </w:rPr>
        <w:t>Prema ovom Programu ne mogu se dodijeliti potpore poduzetnicima koji podliježu neizvršenom nalogu za povrat sredstava na temelju prethodne odluke Europske komisije kojom se potpora ocjenjuje nezakonitom i nespojivom s unutarnjim tržištem</w:t>
      </w:r>
    </w:p>
    <w:p w14:paraId="1707502E" w14:textId="77777777" w:rsidR="00AA0A1C" w:rsidRPr="00AA0A1C" w:rsidRDefault="00AA0A1C" w:rsidP="009873C0">
      <w:pPr>
        <w:pStyle w:val="Standard"/>
        <w:ind w:left="360"/>
        <w:jc w:val="both"/>
        <w:rPr>
          <w:rFonts w:asciiTheme="minorHAnsi" w:hAnsiTheme="minorHAnsi" w:cstheme="minorHAnsi"/>
          <w:sz w:val="22"/>
          <w:szCs w:val="22"/>
        </w:rPr>
      </w:pPr>
    </w:p>
    <w:p w14:paraId="2177F03D" w14:textId="77777777" w:rsidR="009303AB" w:rsidRPr="00AA0A1C" w:rsidRDefault="009303AB" w:rsidP="009303AB">
      <w:pPr>
        <w:pStyle w:val="Standard"/>
        <w:ind w:left="360"/>
        <w:jc w:val="center"/>
        <w:rPr>
          <w:rFonts w:asciiTheme="minorHAnsi" w:hAnsiTheme="minorHAnsi" w:cstheme="minorHAnsi"/>
          <w:b/>
          <w:bCs/>
          <w:sz w:val="22"/>
          <w:szCs w:val="22"/>
        </w:rPr>
      </w:pPr>
      <w:r w:rsidRPr="00AA0A1C">
        <w:rPr>
          <w:rFonts w:asciiTheme="minorHAnsi" w:hAnsiTheme="minorHAnsi" w:cstheme="minorHAnsi"/>
          <w:b/>
          <w:bCs/>
          <w:sz w:val="22"/>
          <w:szCs w:val="22"/>
        </w:rPr>
        <w:t>Članak 3.</w:t>
      </w:r>
    </w:p>
    <w:p w14:paraId="11481859" w14:textId="77777777" w:rsidR="009303AB" w:rsidRPr="00AA0A1C" w:rsidRDefault="009303AB" w:rsidP="009303AB">
      <w:pPr>
        <w:pStyle w:val="Standard"/>
        <w:ind w:left="360"/>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Namjena kredita</w:t>
      </w:r>
    </w:p>
    <w:p w14:paraId="28C4BA27" w14:textId="05906D84" w:rsidR="00E41C27" w:rsidRPr="00AA0A1C" w:rsidRDefault="00E41C27" w:rsidP="00E41C27">
      <w:pPr>
        <w:pStyle w:val="Standard"/>
        <w:ind w:left="360"/>
        <w:jc w:val="both"/>
        <w:rPr>
          <w:rFonts w:asciiTheme="minorHAnsi" w:hAnsiTheme="minorHAnsi" w:cstheme="minorHAnsi"/>
          <w:sz w:val="22"/>
          <w:szCs w:val="22"/>
        </w:rPr>
      </w:pPr>
    </w:p>
    <w:p w14:paraId="45B6BF3F" w14:textId="24E16BF5" w:rsidR="009079A4" w:rsidRPr="00AA0A1C" w:rsidRDefault="009079A4" w:rsidP="004961C8">
      <w:pPr>
        <w:pStyle w:val="Standard"/>
        <w:numPr>
          <w:ilvl w:val="0"/>
          <w:numId w:val="8"/>
        </w:numPr>
        <w:jc w:val="both"/>
        <w:rPr>
          <w:rFonts w:asciiTheme="minorHAnsi" w:hAnsiTheme="minorHAnsi" w:cstheme="minorHAnsi"/>
          <w:color w:val="FF0000"/>
          <w:sz w:val="22"/>
          <w:szCs w:val="22"/>
        </w:rPr>
      </w:pPr>
      <w:bookmarkStart w:id="3" w:name="_Hlk51002001"/>
      <w:r w:rsidRPr="00AA0A1C">
        <w:rPr>
          <w:rFonts w:asciiTheme="minorHAnsi" w:hAnsiTheme="minorHAnsi" w:cstheme="minorHAnsi"/>
          <w:sz w:val="22"/>
          <w:szCs w:val="22"/>
        </w:rPr>
        <w:t xml:space="preserve">Potpore temeljem ovog Programa mogu se dodjeljivati isključivo za nove kredite namijenjene financiranju obrtnih sredstava, dok se potpore temeljem čl. </w:t>
      </w:r>
      <w:r w:rsidR="006372B3" w:rsidRPr="00AA0A1C">
        <w:rPr>
          <w:rFonts w:asciiTheme="minorHAnsi" w:hAnsiTheme="minorHAnsi" w:cstheme="minorHAnsi"/>
          <w:sz w:val="22"/>
          <w:szCs w:val="22"/>
        </w:rPr>
        <w:t>4</w:t>
      </w:r>
      <w:r w:rsidRPr="00AA0A1C">
        <w:rPr>
          <w:rFonts w:asciiTheme="minorHAnsi" w:hAnsiTheme="minorHAnsi" w:cstheme="minorHAnsi"/>
          <w:sz w:val="22"/>
          <w:szCs w:val="22"/>
        </w:rPr>
        <w:t>. ovog Programa, odnosno potpore</w:t>
      </w:r>
      <w:r w:rsidR="00AF7103" w:rsidRPr="00AA0A1C">
        <w:rPr>
          <w:rFonts w:asciiTheme="minorHAnsi" w:hAnsiTheme="minorHAnsi" w:cstheme="minorHAnsi"/>
          <w:sz w:val="22"/>
          <w:szCs w:val="22"/>
        </w:rPr>
        <w:t xml:space="preserve"> </w:t>
      </w:r>
      <w:r w:rsidRPr="00AA0A1C">
        <w:rPr>
          <w:rFonts w:asciiTheme="minorHAnsi" w:hAnsiTheme="minorHAnsi" w:cstheme="minorHAnsi"/>
          <w:sz w:val="22"/>
          <w:szCs w:val="22"/>
        </w:rPr>
        <w:t xml:space="preserve">u skladu s odjeljcima 3.3. i 3.4. Privremenog okvira mogu dodjeljivati i za financiranje ulaganja, odnosno osnovnih sredstava (materijalna i nematerijalna imovina). </w:t>
      </w:r>
    </w:p>
    <w:bookmarkEnd w:id="3"/>
    <w:p w14:paraId="7EF007A8" w14:textId="77777777" w:rsidR="009079A4" w:rsidRPr="00AA0A1C" w:rsidRDefault="009079A4" w:rsidP="00346149">
      <w:pPr>
        <w:pStyle w:val="Standard"/>
        <w:jc w:val="both"/>
        <w:rPr>
          <w:rFonts w:asciiTheme="minorHAnsi" w:hAnsiTheme="minorHAnsi" w:cstheme="minorHAnsi"/>
          <w:sz w:val="22"/>
          <w:szCs w:val="22"/>
        </w:rPr>
      </w:pPr>
    </w:p>
    <w:p w14:paraId="0B30BB10" w14:textId="6F0ABCE0" w:rsidR="009303AB" w:rsidRPr="00AA0A1C" w:rsidRDefault="009303AB" w:rsidP="004961C8">
      <w:pPr>
        <w:pStyle w:val="Standard"/>
        <w:numPr>
          <w:ilvl w:val="0"/>
          <w:numId w:val="8"/>
        </w:numPr>
        <w:jc w:val="both"/>
        <w:rPr>
          <w:rFonts w:asciiTheme="minorHAnsi" w:hAnsiTheme="minorHAnsi" w:cstheme="minorHAnsi"/>
          <w:sz w:val="22"/>
          <w:szCs w:val="22"/>
        </w:rPr>
      </w:pPr>
      <w:r w:rsidRPr="00AA0A1C">
        <w:rPr>
          <w:rFonts w:asciiTheme="minorHAnsi" w:hAnsiTheme="minorHAnsi" w:cstheme="minorHAnsi"/>
          <w:sz w:val="22"/>
          <w:szCs w:val="22"/>
        </w:rPr>
        <w:t>Ugovori o kreditima kojima se dodjeljuje potpora prema ovom Programu moraju biti zaključeni do 3</w:t>
      </w:r>
      <w:r w:rsidR="00551187">
        <w:rPr>
          <w:rFonts w:asciiTheme="minorHAnsi" w:hAnsiTheme="minorHAnsi" w:cstheme="minorHAnsi"/>
          <w:sz w:val="22"/>
          <w:szCs w:val="22"/>
        </w:rPr>
        <w:t>0</w:t>
      </w:r>
      <w:r w:rsidRPr="00AA0A1C">
        <w:rPr>
          <w:rFonts w:asciiTheme="minorHAnsi" w:hAnsiTheme="minorHAnsi" w:cstheme="minorHAnsi"/>
          <w:sz w:val="22"/>
          <w:szCs w:val="22"/>
        </w:rPr>
        <w:t xml:space="preserve">. </w:t>
      </w:r>
      <w:r w:rsidR="00551187">
        <w:rPr>
          <w:rFonts w:asciiTheme="minorHAnsi" w:hAnsiTheme="minorHAnsi" w:cstheme="minorHAnsi"/>
          <w:sz w:val="22"/>
          <w:szCs w:val="22"/>
        </w:rPr>
        <w:t xml:space="preserve">lipnja </w:t>
      </w:r>
      <w:r w:rsidRPr="00AA0A1C">
        <w:rPr>
          <w:rFonts w:asciiTheme="minorHAnsi" w:hAnsiTheme="minorHAnsi" w:cstheme="minorHAnsi"/>
          <w:sz w:val="22"/>
          <w:szCs w:val="22"/>
        </w:rPr>
        <w:t>202</w:t>
      </w:r>
      <w:r w:rsidR="00551187">
        <w:rPr>
          <w:rFonts w:asciiTheme="minorHAnsi" w:hAnsiTheme="minorHAnsi" w:cstheme="minorHAnsi"/>
          <w:sz w:val="22"/>
          <w:szCs w:val="22"/>
        </w:rPr>
        <w:t>1</w:t>
      </w:r>
      <w:r w:rsidRPr="00AA0A1C">
        <w:rPr>
          <w:rFonts w:asciiTheme="minorHAnsi" w:hAnsiTheme="minorHAnsi" w:cstheme="minorHAnsi"/>
          <w:sz w:val="22"/>
          <w:szCs w:val="22"/>
        </w:rPr>
        <w:t xml:space="preserve">. </w:t>
      </w:r>
      <w:r w:rsidR="00CF7D48" w:rsidRPr="00AA0A1C">
        <w:rPr>
          <w:rFonts w:asciiTheme="minorHAnsi" w:hAnsiTheme="minorHAnsi" w:cstheme="minorHAnsi"/>
          <w:sz w:val="22"/>
          <w:szCs w:val="22"/>
        </w:rPr>
        <w:t>g</w:t>
      </w:r>
      <w:r w:rsidR="5AC6E02E" w:rsidRPr="00AA0A1C">
        <w:rPr>
          <w:rFonts w:asciiTheme="minorHAnsi" w:hAnsiTheme="minorHAnsi" w:cstheme="minorHAnsi"/>
          <w:sz w:val="22"/>
          <w:szCs w:val="22"/>
        </w:rPr>
        <w:t>odine</w:t>
      </w:r>
      <w:r w:rsidR="00C01220" w:rsidRPr="00AA0A1C">
        <w:rPr>
          <w:rFonts w:asciiTheme="minorHAnsi" w:hAnsiTheme="minorHAnsi" w:cstheme="minorHAnsi"/>
          <w:sz w:val="22"/>
          <w:szCs w:val="22"/>
        </w:rPr>
        <w:t>,</w:t>
      </w:r>
      <w:r w:rsidR="2A54E335" w:rsidRPr="00AA0A1C">
        <w:rPr>
          <w:rFonts w:asciiTheme="minorHAnsi" w:hAnsiTheme="minorHAnsi" w:cstheme="minorHAnsi"/>
          <w:sz w:val="22"/>
          <w:szCs w:val="22"/>
        </w:rPr>
        <w:t xml:space="preserve"> </w:t>
      </w:r>
      <w:r w:rsidR="00114D67" w:rsidRPr="00AA0A1C">
        <w:rPr>
          <w:rFonts w:asciiTheme="minorHAnsi" w:hAnsiTheme="minorHAnsi" w:cstheme="minorHAnsi"/>
          <w:sz w:val="22"/>
          <w:szCs w:val="22"/>
        </w:rPr>
        <w:t xml:space="preserve">odnosno najduže do kraja razdoblja trajanja pravnog temelja iz članka 1., </w:t>
      </w:r>
      <w:r w:rsidR="2A54E335" w:rsidRPr="00AA0A1C">
        <w:rPr>
          <w:rFonts w:asciiTheme="minorHAnsi" w:hAnsiTheme="minorHAnsi" w:cstheme="minorHAnsi"/>
          <w:sz w:val="22"/>
          <w:szCs w:val="22"/>
        </w:rPr>
        <w:t xml:space="preserve">uz rok otplate do </w:t>
      </w:r>
      <w:r w:rsidR="00C44078" w:rsidRPr="00AA0A1C">
        <w:rPr>
          <w:rFonts w:asciiTheme="minorHAnsi" w:hAnsiTheme="minorHAnsi" w:cstheme="minorHAnsi"/>
          <w:sz w:val="22"/>
          <w:szCs w:val="22"/>
        </w:rPr>
        <w:t>6</w:t>
      </w:r>
      <w:r w:rsidR="2A54E335" w:rsidRPr="00AA0A1C">
        <w:rPr>
          <w:rFonts w:asciiTheme="minorHAnsi" w:hAnsiTheme="minorHAnsi" w:cstheme="minorHAnsi"/>
          <w:sz w:val="22"/>
          <w:szCs w:val="22"/>
        </w:rPr>
        <w:t xml:space="preserve"> godina. </w:t>
      </w:r>
    </w:p>
    <w:p w14:paraId="306046EE" w14:textId="3ACE8A5D" w:rsidR="009303AB" w:rsidRPr="00AA0A1C" w:rsidRDefault="009303AB" w:rsidP="009303AB">
      <w:pPr>
        <w:pStyle w:val="Standard"/>
        <w:jc w:val="both"/>
        <w:rPr>
          <w:rFonts w:asciiTheme="minorHAnsi" w:hAnsiTheme="minorHAnsi" w:cstheme="minorHAnsi"/>
          <w:sz w:val="22"/>
          <w:szCs w:val="22"/>
        </w:rPr>
      </w:pPr>
    </w:p>
    <w:p w14:paraId="18FB6DB1" w14:textId="77777777" w:rsidR="00346149" w:rsidRDefault="00346149" w:rsidP="009303AB">
      <w:pPr>
        <w:pStyle w:val="Standard"/>
        <w:jc w:val="both"/>
        <w:rPr>
          <w:rFonts w:asciiTheme="minorHAnsi" w:hAnsiTheme="minorHAnsi" w:cstheme="minorHAnsi"/>
          <w:sz w:val="22"/>
          <w:szCs w:val="22"/>
        </w:rPr>
      </w:pPr>
    </w:p>
    <w:p w14:paraId="10F88E24" w14:textId="77777777" w:rsidR="00AA0A1C" w:rsidRPr="00AA0A1C" w:rsidRDefault="00AA0A1C" w:rsidP="009303AB">
      <w:pPr>
        <w:pStyle w:val="Standard"/>
        <w:jc w:val="both"/>
        <w:rPr>
          <w:rFonts w:asciiTheme="minorHAnsi" w:hAnsiTheme="minorHAnsi" w:cstheme="minorHAnsi"/>
          <w:sz w:val="22"/>
          <w:szCs w:val="22"/>
        </w:rPr>
      </w:pPr>
    </w:p>
    <w:p w14:paraId="788DD526" w14:textId="77777777" w:rsidR="009303AB" w:rsidRPr="00AA0A1C" w:rsidRDefault="009303AB" w:rsidP="009303AB">
      <w:pPr>
        <w:pStyle w:val="Standard"/>
        <w:jc w:val="center"/>
        <w:rPr>
          <w:rFonts w:asciiTheme="minorHAnsi" w:hAnsiTheme="minorHAnsi" w:cstheme="minorHAnsi"/>
          <w:b/>
          <w:bCs/>
          <w:sz w:val="22"/>
          <w:szCs w:val="22"/>
        </w:rPr>
      </w:pPr>
      <w:bookmarkStart w:id="4" w:name="_Hlk51002206"/>
      <w:r w:rsidRPr="00AA0A1C">
        <w:rPr>
          <w:rFonts w:asciiTheme="minorHAnsi" w:hAnsiTheme="minorHAnsi" w:cstheme="minorHAnsi"/>
          <w:b/>
          <w:bCs/>
          <w:sz w:val="22"/>
          <w:szCs w:val="22"/>
        </w:rPr>
        <w:t>Članak 4.</w:t>
      </w:r>
    </w:p>
    <w:p w14:paraId="743717F3" w14:textId="50D65867" w:rsidR="009303AB" w:rsidRPr="00AA0A1C" w:rsidRDefault="000178CB" w:rsidP="009303AB">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 xml:space="preserve">Mehanizam </w:t>
      </w:r>
      <w:r w:rsidR="001577BF" w:rsidRPr="00AA0A1C">
        <w:rPr>
          <w:rFonts w:asciiTheme="minorHAnsi" w:hAnsiTheme="minorHAnsi" w:cstheme="minorHAnsi"/>
          <w:b/>
          <w:bCs/>
          <w:i/>
          <w:iCs/>
          <w:sz w:val="22"/>
          <w:szCs w:val="22"/>
        </w:rPr>
        <w:t>provedbe</w:t>
      </w:r>
      <w:r w:rsidRPr="00AA0A1C">
        <w:rPr>
          <w:rFonts w:asciiTheme="minorHAnsi" w:hAnsiTheme="minorHAnsi" w:cstheme="minorHAnsi"/>
          <w:b/>
          <w:bCs/>
          <w:i/>
          <w:iCs/>
          <w:sz w:val="22"/>
          <w:szCs w:val="22"/>
        </w:rPr>
        <w:t xml:space="preserve"> kod povoljnijih zajmova </w:t>
      </w:r>
    </w:p>
    <w:p w14:paraId="270FBE40" w14:textId="2202706C" w:rsidR="001577BF" w:rsidRPr="00AA0A1C" w:rsidRDefault="001577BF" w:rsidP="009303AB">
      <w:pPr>
        <w:pStyle w:val="Standard"/>
        <w:jc w:val="center"/>
        <w:rPr>
          <w:rFonts w:asciiTheme="minorHAnsi" w:hAnsiTheme="minorHAnsi" w:cstheme="minorHAnsi"/>
          <w:b/>
          <w:bCs/>
          <w:i/>
          <w:iCs/>
          <w:sz w:val="22"/>
          <w:szCs w:val="22"/>
        </w:rPr>
      </w:pPr>
    </w:p>
    <w:p w14:paraId="6859E405" w14:textId="50538310" w:rsidR="001577BF" w:rsidRPr="00AA0A1C" w:rsidRDefault="001577BF" w:rsidP="004961C8">
      <w:pPr>
        <w:pStyle w:val="Standard"/>
        <w:numPr>
          <w:ilvl w:val="0"/>
          <w:numId w:val="2"/>
        </w:numPr>
        <w:jc w:val="both"/>
        <w:rPr>
          <w:rFonts w:asciiTheme="minorHAnsi" w:hAnsiTheme="minorHAnsi" w:cstheme="minorHAnsi"/>
          <w:sz w:val="22"/>
          <w:szCs w:val="22"/>
        </w:rPr>
      </w:pPr>
      <w:r w:rsidRPr="00AA0A1C">
        <w:rPr>
          <w:rFonts w:asciiTheme="minorHAnsi" w:hAnsiTheme="minorHAnsi" w:cstheme="minorHAnsi"/>
          <w:sz w:val="22"/>
          <w:szCs w:val="22"/>
        </w:rPr>
        <w:t xml:space="preserve">Instrument potpore kod potpora dodijeljenih u skladu s </w:t>
      </w:r>
      <w:r w:rsidR="006C47F0" w:rsidRPr="00AA0A1C">
        <w:rPr>
          <w:rFonts w:asciiTheme="minorHAnsi" w:hAnsiTheme="minorHAnsi" w:cstheme="minorHAnsi"/>
          <w:sz w:val="22"/>
          <w:szCs w:val="22"/>
        </w:rPr>
        <w:t>odjeljcima 3.3. i 3.4. Privremenog okvira</w:t>
      </w:r>
      <w:r w:rsidRPr="00AA0A1C">
        <w:rPr>
          <w:rFonts w:asciiTheme="minorHAnsi" w:hAnsiTheme="minorHAnsi" w:cstheme="minorHAnsi"/>
          <w:sz w:val="22"/>
          <w:szCs w:val="22"/>
        </w:rPr>
        <w:t xml:space="preserve"> je povoljniji zajam (</w:t>
      </w:r>
      <w:proofErr w:type="spellStart"/>
      <w:r w:rsidRPr="00AA0A1C">
        <w:rPr>
          <w:rFonts w:asciiTheme="minorHAnsi" w:hAnsiTheme="minorHAnsi" w:cstheme="minorHAnsi"/>
          <w:sz w:val="22"/>
          <w:szCs w:val="22"/>
        </w:rPr>
        <w:t>soft</w:t>
      </w:r>
      <w:proofErr w:type="spellEnd"/>
      <w:r w:rsidRPr="00AA0A1C">
        <w:rPr>
          <w:rFonts w:asciiTheme="minorHAnsi" w:hAnsiTheme="minorHAnsi" w:cstheme="minorHAnsi"/>
          <w:sz w:val="22"/>
          <w:szCs w:val="22"/>
        </w:rPr>
        <w:t xml:space="preserve"> </w:t>
      </w:r>
      <w:proofErr w:type="spellStart"/>
      <w:r w:rsidRPr="00AA0A1C">
        <w:rPr>
          <w:rFonts w:asciiTheme="minorHAnsi" w:hAnsiTheme="minorHAnsi" w:cstheme="minorHAnsi"/>
          <w:sz w:val="22"/>
          <w:szCs w:val="22"/>
        </w:rPr>
        <w:t>loan</w:t>
      </w:r>
      <w:proofErr w:type="spellEnd"/>
      <w:r w:rsidRPr="00AA0A1C">
        <w:rPr>
          <w:rFonts w:asciiTheme="minorHAnsi" w:hAnsiTheme="minorHAnsi" w:cstheme="minorHAnsi"/>
          <w:sz w:val="22"/>
          <w:szCs w:val="22"/>
        </w:rPr>
        <w:t>)</w:t>
      </w:r>
      <w:r w:rsidR="005D202A" w:rsidRPr="00AA0A1C">
        <w:rPr>
          <w:rFonts w:asciiTheme="minorHAnsi" w:hAnsiTheme="minorHAnsi" w:cstheme="minorHAnsi"/>
          <w:sz w:val="22"/>
          <w:szCs w:val="22"/>
        </w:rPr>
        <w:t xml:space="preserve"> uz subvencioniranu kamatnu stopu. </w:t>
      </w:r>
    </w:p>
    <w:p w14:paraId="18622B6A" w14:textId="092841F3" w:rsidR="001577BF" w:rsidRPr="00AA0A1C" w:rsidRDefault="001577BF" w:rsidP="001577BF">
      <w:pPr>
        <w:pStyle w:val="Standard"/>
        <w:jc w:val="both"/>
        <w:rPr>
          <w:rFonts w:asciiTheme="minorHAnsi" w:hAnsiTheme="minorHAnsi" w:cstheme="minorHAnsi"/>
          <w:sz w:val="22"/>
          <w:szCs w:val="22"/>
        </w:rPr>
      </w:pPr>
    </w:p>
    <w:p w14:paraId="1DFD7086" w14:textId="2A07AE32" w:rsidR="001577BF" w:rsidRPr="00AA0A1C" w:rsidRDefault="001577BF" w:rsidP="004961C8">
      <w:pPr>
        <w:pStyle w:val="Standard"/>
        <w:numPr>
          <w:ilvl w:val="0"/>
          <w:numId w:val="2"/>
        </w:numPr>
        <w:jc w:val="both"/>
        <w:rPr>
          <w:rFonts w:asciiTheme="minorHAnsi" w:hAnsiTheme="minorHAnsi" w:cstheme="minorHAnsi"/>
          <w:sz w:val="22"/>
          <w:szCs w:val="22"/>
        </w:rPr>
      </w:pPr>
      <w:r w:rsidRPr="00AA0A1C">
        <w:rPr>
          <w:rFonts w:asciiTheme="minorHAnsi" w:hAnsiTheme="minorHAnsi" w:cstheme="minorHAnsi"/>
          <w:sz w:val="22"/>
          <w:szCs w:val="22"/>
        </w:rPr>
        <w:t xml:space="preserve">Sukladno </w:t>
      </w:r>
      <w:r w:rsidR="00ED33FA" w:rsidRPr="00AA0A1C">
        <w:rPr>
          <w:rFonts w:asciiTheme="minorHAnsi" w:hAnsiTheme="minorHAnsi" w:cstheme="minorHAnsi"/>
          <w:sz w:val="22"/>
          <w:szCs w:val="22"/>
        </w:rPr>
        <w:t xml:space="preserve">odjeljcima  </w:t>
      </w:r>
      <w:r w:rsidR="00751970" w:rsidRPr="00AA0A1C">
        <w:rPr>
          <w:rFonts w:asciiTheme="minorHAnsi" w:hAnsiTheme="minorHAnsi" w:cstheme="minorHAnsi"/>
          <w:sz w:val="22"/>
          <w:szCs w:val="22"/>
        </w:rPr>
        <w:t xml:space="preserve">3.1., </w:t>
      </w:r>
      <w:r w:rsidRPr="00AA0A1C">
        <w:rPr>
          <w:rFonts w:asciiTheme="minorHAnsi" w:hAnsiTheme="minorHAnsi" w:cstheme="minorHAnsi"/>
          <w:sz w:val="22"/>
          <w:szCs w:val="22"/>
        </w:rPr>
        <w:t xml:space="preserve">3.3. i 3.4. Privremenog okvira, kredite je </w:t>
      </w:r>
      <w:r w:rsidR="42A911BA" w:rsidRPr="00AA0A1C">
        <w:rPr>
          <w:rFonts w:asciiTheme="minorHAnsi" w:hAnsiTheme="minorHAnsi" w:cstheme="minorHAnsi"/>
          <w:sz w:val="22"/>
          <w:szCs w:val="22"/>
        </w:rPr>
        <w:t>moguće odobravati krajnjim korisnicima primjenom sljedećih modela</w:t>
      </w:r>
      <w:r w:rsidR="00114D67" w:rsidRPr="00AA0A1C">
        <w:rPr>
          <w:rFonts w:asciiTheme="minorHAnsi" w:hAnsiTheme="minorHAnsi" w:cstheme="minorHAnsi"/>
          <w:sz w:val="22"/>
          <w:szCs w:val="22"/>
        </w:rPr>
        <w:t xml:space="preserve"> kreditiranja</w:t>
      </w:r>
      <w:r w:rsidR="42A911BA" w:rsidRPr="00AA0A1C">
        <w:rPr>
          <w:rFonts w:asciiTheme="minorHAnsi" w:hAnsiTheme="minorHAnsi" w:cstheme="minorHAnsi"/>
          <w:sz w:val="22"/>
          <w:szCs w:val="22"/>
        </w:rPr>
        <w:t>:</w:t>
      </w:r>
    </w:p>
    <w:p w14:paraId="43787147" w14:textId="1F1A5393" w:rsidR="52404668" w:rsidRPr="00AA0A1C" w:rsidRDefault="52404668" w:rsidP="00CC6B2F">
      <w:pPr>
        <w:pStyle w:val="Standard"/>
        <w:ind w:left="360"/>
        <w:jc w:val="both"/>
        <w:rPr>
          <w:rFonts w:asciiTheme="minorHAnsi" w:hAnsiTheme="minorHAnsi" w:cstheme="minorHAnsi"/>
          <w:sz w:val="22"/>
          <w:szCs w:val="22"/>
        </w:rPr>
      </w:pPr>
    </w:p>
    <w:p w14:paraId="4683E16F" w14:textId="21872E57" w:rsidR="001577BF" w:rsidRPr="00AA0A1C" w:rsidRDefault="001577BF" w:rsidP="004961C8">
      <w:pPr>
        <w:pStyle w:val="Standard"/>
        <w:numPr>
          <w:ilvl w:val="1"/>
          <w:numId w:val="5"/>
        </w:numPr>
        <w:rPr>
          <w:rFonts w:asciiTheme="minorHAnsi" w:hAnsiTheme="minorHAnsi" w:cstheme="minorHAnsi"/>
          <w:sz w:val="22"/>
          <w:szCs w:val="22"/>
        </w:rPr>
      </w:pPr>
      <w:r w:rsidRPr="00AA0A1C">
        <w:rPr>
          <w:rFonts w:asciiTheme="minorHAnsi" w:hAnsiTheme="minorHAnsi" w:cstheme="minorHAnsi"/>
          <w:sz w:val="22"/>
          <w:szCs w:val="22"/>
        </w:rPr>
        <w:t>Putem poslovnih banaka, ili</w:t>
      </w:r>
    </w:p>
    <w:p w14:paraId="4C6C453A" w14:textId="0137A6DE" w:rsidR="001577BF" w:rsidRPr="00AA0A1C" w:rsidRDefault="398FE8A8" w:rsidP="004961C8">
      <w:pPr>
        <w:pStyle w:val="Standard"/>
        <w:numPr>
          <w:ilvl w:val="1"/>
          <w:numId w:val="5"/>
        </w:numPr>
        <w:rPr>
          <w:rFonts w:asciiTheme="minorHAnsi" w:hAnsiTheme="minorHAnsi" w:cstheme="minorHAnsi"/>
          <w:sz w:val="22"/>
          <w:szCs w:val="22"/>
        </w:rPr>
      </w:pPr>
      <w:r w:rsidRPr="00AA0A1C">
        <w:rPr>
          <w:rFonts w:asciiTheme="minorHAnsi" w:hAnsiTheme="minorHAnsi" w:cstheme="minorHAnsi"/>
          <w:sz w:val="22"/>
          <w:szCs w:val="22"/>
        </w:rPr>
        <w:t xml:space="preserve">Po modelu podjele rizika s poslovnim bankama  uključujući </w:t>
      </w:r>
      <w:proofErr w:type="spellStart"/>
      <w:r w:rsidRPr="00AA0A1C">
        <w:rPr>
          <w:rFonts w:asciiTheme="minorHAnsi" w:hAnsiTheme="minorHAnsi" w:cstheme="minorHAnsi"/>
          <w:sz w:val="22"/>
          <w:szCs w:val="22"/>
        </w:rPr>
        <w:t>sindicirane</w:t>
      </w:r>
      <w:proofErr w:type="spellEnd"/>
      <w:r w:rsidRPr="00AA0A1C">
        <w:rPr>
          <w:rFonts w:asciiTheme="minorHAnsi" w:hAnsiTheme="minorHAnsi" w:cstheme="minorHAnsi"/>
          <w:sz w:val="22"/>
          <w:szCs w:val="22"/>
        </w:rPr>
        <w:t xml:space="preserve"> kredite </w:t>
      </w:r>
      <w:r w:rsidR="001577BF" w:rsidRPr="00AA0A1C">
        <w:rPr>
          <w:rFonts w:asciiTheme="minorHAnsi" w:hAnsiTheme="minorHAnsi" w:cstheme="minorHAnsi"/>
          <w:sz w:val="22"/>
          <w:szCs w:val="22"/>
        </w:rPr>
        <w:t>ili</w:t>
      </w:r>
    </w:p>
    <w:p w14:paraId="70A89D1B" w14:textId="67771678" w:rsidR="001577BF" w:rsidRPr="00AA0A1C" w:rsidRDefault="1242DAAF" w:rsidP="004961C8">
      <w:pPr>
        <w:pStyle w:val="Standard"/>
        <w:numPr>
          <w:ilvl w:val="1"/>
          <w:numId w:val="5"/>
        </w:numPr>
        <w:rPr>
          <w:rFonts w:asciiTheme="minorHAnsi" w:hAnsiTheme="minorHAnsi" w:cstheme="minorHAnsi"/>
          <w:sz w:val="22"/>
          <w:szCs w:val="22"/>
        </w:rPr>
      </w:pPr>
      <w:r w:rsidRPr="00AA0A1C">
        <w:rPr>
          <w:rFonts w:asciiTheme="minorHAnsi" w:hAnsiTheme="minorHAnsi" w:cstheme="minorHAnsi"/>
          <w:sz w:val="22"/>
          <w:szCs w:val="22"/>
        </w:rPr>
        <w:t>Izravni</w:t>
      </w:r>
      <w:r w:rsidR="00114D67" w:rsidRPr="00AA0A1C">
        <w:rPr>
          <w:rFonts w:asciiTheme="minorHAnsi" w:hAnsiTheme="minorHAnsi" w:cstheme="minorHAnsi"/>
          <w:sz w:val="22"/>
          <w:szCs w:val="22"/>
        </w:rPr>
        <w:t>m</w:t>
      </w:r>
      <w:r w:rsidRPr="00AA0A1C">
        <w:rPr>
          <w:rFonts w:asciiTheme="minorHAnsi" w:hAnsiTheme="minorHAnsi" w:cstheme="minorHAnsi"/>
          <w:sz w:val="22"/>
          <w:szCs w:val="22"/>
        </w:rPr>
        <w:t xml:space="preserve"> krediti</w:t>
      </w:r>
      <w:r w:rsidR="00114D67" w:rsidRPr="00AA0A1C">
        <w:rPr>
          <w:rFonts w:asciiTheme="minorHAnsi" w:hAnsiTheme="minorHAnsi" w:cstheme="minorHAnsi"/>
          <w:sz w:val="22"/>
          <w:szCs w:val="22"/>
        </w:rPr>
        <w:t>ma</w:t>
      </w:r>
      <w:r w:rsidRPr="00AA0A1C">
        <w:rPr>
          <w:rFonts w:asciiTheme="minorHAnsi" w:hAnsiTheme="minorHAnsi" w:cstheme="minorHAnsi"/>
          <w:sz w:val="22"/>
          <w:szCs w:val="22"/>
        </w:rPr>
        <w:t xml:space="preserve"> HBOR-a</w:t>
      </w:r>
      <w:r w:rsidR="001577BF" w:rsidRPr="00AA0A1C">
        <w:rPr>
          <w:rFonts w:asciiTheme="minorHAnsi" w:hAnsiTheme="minorHAnsi" w:cstheme="minorHAnsi"/>
          <w:sz w:val="22"/>
          <w:szCs w:val="22"/>
        </w:rPr>
        <w:t>.</w:t>
      </w:r>
    </w:p>
    <w:p w14:paraId="1B7CF6D3" w14:textId="77777777" w:rsidR="001577BF" w:rsidRPr="00AA0A1C" w:rsidRDefault="001577BF" w:rsidP="001577BF">
      <w:pPr>
        <w:pStyle w:val="Standard"/>
        <w:jc w:val="both"/>
        <w:rPr>
          <w:rFonts w:asciiTheme="minorHAnsi" w:hAnsiTheme="minorHAnsi" w:cstheme="minorHAnsi"/>
          <w:sz w:val="22"/>
          <w:szCs w:val="22"/>
        </w:rPr>
      </w:pPr>
    </w:p>
    <w:p w14:paraId="58FAC111" w14:textId="6F83A1A2" w:rsidR="000178CB" w:rsidRPr="00AA0A1C" w:rsidRDefault="001577BF" w:rsidP="004961C8">
      <w:pPr>
        <w:pStyle w:val="Standard"/>
        <w:numPr>
          <w:ilvl w:val="0"/>
          <w:numId w:val="2"/>
        </w:numPr>
        <w:jc w:val="both"/>
        <w:rPr>
          <w:rFonts w:asciiTheme="minorHAnsi" w:hAnsiTheme="minorHAnsi" w:cstheme="minorHAnsi"/>
          <w:sz w:val="22"/>
          <w:szCs w:val="22"/>
        </w:rPr>
      </w:pPr>
      <w:r w:rsidRPr="00AA0A1C">
        <w:rPr>
          <w:rFonts w:asciiTheme="minorHAnsi" w:hAnsiTheme="minorHAnsi" w:cstheme="minorHAnsi"/>
          <w:sz w:val="22"/>
          <w:szCs w:val="22"/>
        </w:rPr>
        <w:t xml:space="preserve">Sukladno </w:t>
      </w:r>
      <w:r w:rsidR="00ED33FA" w:rsidRPr="00AA0A1C">
        <w:rPr>
          <w:rFonts w:asciiTheme="minorHAnsi" w:hAnsiTheme="minorHAnsi" w:cstheme="minorHAnsi"/>
          <w:sz w:val="22"/>
          <w:szCs w:val="22"/>
        </w:rPr>
        <w:t xml:space="preserve">odjeljku </w:t>
      </w:r>
      <w:r w:rsidRPr="00AA0A1C">
        <w:rPr>
          <w:rFonts w:asciiTheme="minorHAnsi" w:hAnsiTheme="minorHAnsi" w:cstheme="minorHAnsi"/>
          <w:sz w:val="22"/>
          <w:szCs w:val="22"/>
        </w:rPr>
        <w:t>3.4. Privremenog okvira, prilikom odobrenja kredita putem poslovnih banaka, kako bi se izbjegla potpora istima, banke moraju prednost snižene kamatne stope prenijeti na krajnje korisnike</w:t>
      </w:r>
      <w:r w:rsidR="004A5E7C" w:rsidRPr="00AA0A1C">
        <w:rPr>
          <w:rFonts w:asciiTheme="minorHAnsi" w:hAnsiTheme="minorHAnsi" w:cstheme="minorHAnsi"/>
          <w:sz w:val="22"/>
          <w:szCs w:val="22"/>
        </w:rPr>
        <w:t>.</w:t>
      </w:r>
    </w:p>
    <w:p w14:paraId="61C8051A" w14:textId="77777777" w:rsidR="000178CB" w:rsidRPr="00AA0A1C" w:rsidRDefault="000178CB" w:rsidP="00346149">
      <w:pPr>
        <w:pStyle w:val="Standard"/>
        <w:jc w:val="both"/>
        <w:rPr>
          <w:rFonts w:asciiTheme="minorHAnsi" w:hAnsiTheme="minorHAnsi" w:cstheme="minorHAnsi"/>
          <w:sz w:val="22"/>
          <w:szCs w:val="22"/>
        </w:rPr>
      </w:pPr>
    </w:p>
    <w:p w14:paraId="71DB9396" w14:textId="50A4717A" w:rsidR="001577BF" w:rsidRPr="00AA0A1C" w:rsidRDefault="000178CB" w:rsidP="00346149">
      <w:pPr>
        <w:pStyle w:val="Standard"/>
        <w:jc w:val="both"/>
        <w:rPr>
          <w:rFonts w:asciiTheme="minorHAnsi" w:hAnsiTheme="minorHAnsi" w:cstheme="minorHAnsi"/>
          <w:sz w:val="22"/>
          <w:szCs w:val="22"/>
        </w:rPr>
      </w:pPr>
      <w:r w:rsidRPr="00AA0A1C">
        <w:rPr>
          <w:rFonts w:asciiTheme="minorHAnsi" w:hAnsiTheme="minorHAnsi" w:cstheme="minorHAnsi"/>
          <w:sz w:val="22"/>
          <w:szCs w:val="22"/>
        </w:rPr>
        <w:t>U slučaju kreditiranja po modelu podjele rizika s poslovnim bankama, navedeni kriterij se osigurava na način da je kamatna stopa za krajnjeg korisnika, izračunata kao prosjek između kamatne stope na sredstva HBOR-a i redovne kamatne stope poslovne banke, ali najmanje u visini kamatnih stopa kako su propisane točkom 27.a Privremenog okvira.</w:t>
      </w:r>
    </w:p>
    <w:p w14:paraId="4FA23FCB" w14:textId="1E762CDC" w:rsidR="006372B3" w:rsidRPr="00AA0A1C" w:rsidRDefault="006372B3" w:rsidP="00346149">
      <w:pPr>
        <w:pStyle w:val="Standard"/>
        <w:jc w:val="both"/>
        <w:rPr>
          <w:rFonts w:asciiTheme="minorHAnsi" w:hAnsiTheme="minorHAnsi" w:cstheme="minorHAnsi"/>
          <w:sz w:val="22"/>
          <w:szCs w:val="22"/>
        </w:rPr>
      </w:pPr>
    </w:p>
    <w:p w14:paraId="37704C65" w14:textId="17BFFB15" w:rsidR="000178CB" w:rsidRPr="00AA0A1C" w:rsidRDefault="000178CB" w:rsidP="004961C8">
      <w:pPr>
        <w:pStyle w:val="Standard"/>
        <w:numPr>
          <w:ilvl w:val="0"/>
          <w:numId w:val="1"/>
        </w:numPr>
        <w:jc w:val="both"/>
        <w:rPr>
          <w:rFonts w:asciiTheme="minorHAnsi" w:hAnsiTheme="minorHAnsi" w:cstheme="minorHAnsi"/>
          <w:sz w:val="22"/>
          <w:szCs w:val="22"/>
        </w:rPr>
      </w:pPr>
      <w:r w:rsidRPr="00AA0A1C">
        <w:rPr>
          <w:rFonts w:asciiTheme="minorHAnsi" w:hAnsiTheme="minorHAnsi" w:cstheme="minorHAnsi"/>
          <w:sz w:val="22"/>
          <w:szCs w:val="22"/>
        </w:rPr>
        <w:t xml:space="preserve">Krediti krajnjim korisnicima se odobravaju po kamatnoj stopi koja je najmanje jednaka osnovnoj stopi (jednogodišnji IBOR ili osnovna stopa za izračun referentne kamatne stope objavljena na stranici Europske komisije važeća za Republiku Hrvatsku) važećoj na dan 01. siječnja 2020. godine uvećanoj za sljedeće kreditne marže: </w:t>
      </w:r>
    </w:p>
    <w:p w14:paraId="6A2F7FBA" w14:textId="77777777" w:rsidR="000178CB" w:rsidRPr="00AA0A1C" w:rsidRDefault="000178CB" w:rsidP="000178CB">
      <w:pPr>
        <w:pStyle w:val="Standard"/>
        <w:rPr>
          <w:rFonts w:asciiTheme="minorHAnsi" w:hAnsiTheme="minorHAnsi" w:cstheme="minorHAnsi"/>
          <w:sz w:val="22"/>
          <w:szCs w:val="22"/>
        </w:rPr>
      </w:pPr>
    </w:p>
    <w:tbl>
      <w:tblPr>
        <w:tblW w:w="8640" w:type="dxa"/>
        <w:tblInd w:w="421" w:type="dxa"/>
        <w:shd w:val="clear" w:color="auto" w:fill="CED7E7"/>
        <w:tblCellMar>
          <w:left w:w="0" w:type="dxa"/>
          <w:right w:w="0" w:type="dxa"/>
        </w:tblCellMar>
        <w:tblLook w:val="04A0" w:firstRow="1" w:lastRow="0" w:firstColumn="1" w:lastColumn="0" w:noHBand="0" w:noVBand="1"/>
      </w:tblPr>
      <w:tblGrid>
        <w:gridCol w:w="2408"/>
        <w:gridCol w:w="2077"/>
        <w:gridCol w:w="2077"/>
        <w:gridCol w:w="2078"/>
      </w:tblGrid>
      <w:tr w:rsidR="00452C72" w:rsidRPr="00452C72" w14:paraId="75F3A48A" w14:textId="77777777" w:rsidTr="00452C72">
        <w:trPr>
          <w:trHeight w:val="730"/>
        </w:trPr>
        <w:tc>
          <w:tcPr>
            <w:tcW w:w="2409" w:type="dxa"/>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hideMark/>
          </w:tcPr>
          <w:p w14:paraId="00B3CE87" w14:textId="532B983D"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Veličina poduzetnika</w:t>
            </w:r>
          </w:p>
        </w:tc>
        <w:tc>
          <w:tcPr>
            <w:tcW w:w="2079"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0D06BDEE"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Marže rizika u prvoj godini otplate</w:t>
            </w:r>
          </w:p>
        </w:tc>
        <w:tc>
          <w:tcPr>
            <w:tcW w:w="2079"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56B0FF5E"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 xml:space="preserve">Marže rizika u drugoj i trećoj godini otplate </w:t>
            </w:r>
          </w:p>
        </w:tc>
        <w:tc>
          <w:tcPr>
            <w:tcW w:w="2079"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5F41AF6C"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Marže rizika u četvrtoj, petoj i šestoj godini otplate</w:t>
            </w:r>
          </w:p>
        </w:tc>
      </w:tr>
      <w:tr w:rsidR="00452C72" w:rsidRPr="00452C72" w14:paraId="56DB3F4D" w14:textId="77777777" w:rsidTr="00452C72">
        <w:trPr>
          <w:trHeight w:val="250"/>
        </w:trPr>
        <w:tc>
          <w:tcPr>
            <w:tcW w:w="2409" w:type="dxa"/>
            <w:tcBorders>
              <w:top w:val="nil"/>
              <w:left w:val="single" w:sz="8" w:space="0" w:color="auto"/>
              <w:bottom w:val="single" w:sz="8" w:space="0" w:color="auto"/>
              <w:right w:val="single" w:sz="8" w:space="0" w:color="auto"/>
            </w:tcBorders>
            <w:shd w:val="clear" w:color="auto" w:fill="auto"/>
            <w:tcMar>
              <w:top w:w="80" w:type="dxa"/>
              <w:left w:w="80" w:type="dxa"/>
              <w:bottom w:w="80" w:type="dxa"/>
              <w:right w:w="80" w:type="dxa"/>
            </w:tcMar>
            <w:hideMark/>
          </w:tcPr>
          <w:p w14:paraId="1EFC27F6"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MSP</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4A95DC83"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25bps</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723966C0"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50bps</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1F27D9CD"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100bps</w:t>
            </w:r>
          </w:p>
        </w:tc>
      </w:tr>
      <w:tr w:rsidR="00452C72" w:rsidRPr="00452C72" w14:paraId="6969CA1A" w14:textId="77777777" w:rsidTr="00452C72">
        <w:trPr>
          <w:trHeight w:val="250"/>
        </w:trPr>
        <w:tc>
          <w:tcPr>
            <w:tcW w:w="2409" w:type="dxa"/>
            <w:tcBorders>
              <w:top w:val="nil"/>
              <w:left w:val="single" w:sz="8" w:space="0" w:color="auto"/>
              <w:bottom w:val="single" w:sz="8" w:space="0" w:color="auto"/>
              <w:right w:val="single" w:sz="8" w:space="0" w:color="auto"/>
            </w:tcBorders>
            <w:shd w:val="clear" w:color="auto" w:fill="auto"/>
            <w:tcMar>
              <w:top w:w="80" w:type="dxa"/>
              <w:left w:w="80" w:type="dxa"/>
              <w:bottom w:w="80" w:type="dxa"/>
              <w:right w:w="80" w:type="dxa"/>
            </w:tcMar>
            <w:hideMark/>
          </w:tcPr>
          <w:p w14:paraId="34183ECC"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 xml:space="preserve">Veliki poduzetnici </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212DD913"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50bps</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76ED73E2"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100bps</w:t>
            </w:r>
          </w:p>
        </w:tc>
        <w:tc>
          <w:tcPr>
            <w:tcW w:w="2079" w:type="dxa"/>
            <w:tcBorders>
              <w:top w:val="nil"/>
              <w:left w:val="nil"/>
              <w:bottom w:val="single" w:sz="8" w:space="0" w:color="auto"/>
              <w:right w:val="single" w:sz="8" w:space="0" w:color="auto"/>
            </w:tcBorders>
            <w:shd w:val="clear" w:color="auto" w:fill="auto"/>
            <w:tcMar>
              <w:top w:w="80" w:type="dxa"/>
              <w:left w:w="80" w:type="dxa"/>
              <w:bottom w:w="80" w:type="dxa"/>
              <w:right w:w="80" w:type="dxa"/>
            </w:tcMar>
            <w:vAlign w:val="center"/>
            <w:hideMark/>
          </w:tcPr>
          <w:p w14:paraId="0E8397F8" w14:textId="77777777" w:rsidR="00452C72" w:rsidRPr="00452C72" w:rsidRDefault="00452C72" w:rsidP="00452C72">
            <w:pPr>
              <w:spacing w:after="0" w:line="240" w:lineRule="auto"/>
              <w:rPr>
                <w:rFonts w:ascii="Arial" w:hAnsi="Arial" w:cs="Arial"/>
                <w:sz w:val="20"/>
                <w:szCs w:val="20"/>
                <w:lang w:eastAsia="hr-HR"/>
              </w:rPr>
            </w:pPr>
            <w:r w:rsidRPr="00452C72">
              <w:rPr>
                <w:rFonts w:ascii="Arial" w:hAnsi="Arial" w:cs="Arial"/>
                <w:sz w:val="20"/>
                <w:szCs w:val="20"/>
                <w:lang w:eastAsia="hr-HR"/>
              </w:rPr>
              <w:t>200bps</w:t>
            </w:r>
          </w:p>
        </w:tc>
      </w:tr>
    </w:tbl>
    <w:p w14:paraId="72128D64" w14:textId="77777777" w:rsidR="006372B3" w:rsidRPr="00AA0A1C" w:rsidRDefault="006372B3">
      <w:pPr>
        <w:pStyle w:val="Standard"/>
        <w:rPr>
          <w:rFonts w:asciiTheme="minorHAnsi" w:hAnsiTheme="minorHAnsi" w:cstheme="minorHAnsi"/>
          <w:sz w:val="22"/>
          <w:szCs w:val="22"/>
        </w:rPr>
      </w:pPr>
    </w:p>
    <w:p w14:paraId="1E9BA5C6" w14:textId="7A0C76CA" w:rsidR="000178CB" w:rsidRPr="00AA0A1C" w:rsidRDefault="000178CB" w:rsidP="004961C8">
      <w:pPr>
        <w:pStyle w:val="Standard"/>
        <w:numPr>
          <w:ilvl w:val="0"/>
          <w:numId w:val="1"/>
        </w:numPr>
        <w:jc w:val="both"/>
        <w:rPr>
          <w:rFonts w:asciiTheme="minorHAnsi" w:hAnsiTheme="minorHAnsi" w:cstheme="minorHAnsi"/>
          <w:sz w:val="22"/>
          <w:szCs w:val="22"/>
        </w:rPr>
      </w:pPr>
      <w:bookmarkStart w:id="5" w:name="_Hlk51766231"/>
      <w:r w:rsidRPr="00AA0A1C">
        <w:rPr>
          <w:rFonts w:asciiTheme="minorHAnsi" w:hAnsiTheme="minorHAnsi" w:cstheme="minorHAnsi"/>
          <w:sz w:val="22"/>
          <w:szCs w:val="22"/>
        </w:rPr>
        <w:lastRenderedPageBreak/>
        <w:t>Minimalna kamatna stopa (osnovna stopa uvećana za kreditnu maržu) za MSP za razdoblje 1-3 godine mora iznositi najmanje 10 baznih bodova godišnje.</w:t>
      </w:r>
    </w:p>
    <w:bookmarkEnd w:id="4"/>
    <w:bookmarkEnd w:id="5"/>
    <w:p w14:paraId="6B428E39" w14:textId="735721A8" w:rsidR="00AF7103" w:rsidRPr="00AA0A1C" w:rsidRDefault="00AF7103">
      <w:pPr>
        <w:pStyle w:val="Standard"/>
        <w:rPr>
          <w:rFonts w:asciiTheme="minorHAnsi" w:hAnsiTheme="minorHAnsi" w:cstheme="minorHAnsi"/>
          <w:sz w:val="22"/>
          <w:szCs w:val="22"/>
        </w:rPr>
      </w:pPr>
    </w:p>
    <w:p w14:paraId="7696409F" w14:textId="1AAB920F" w:rsidR="000178CB" w:rsidRPr="00AA0A1C" w:rsidRDefault="000178CB" w:rsidP="00FB7EB0">
      <w:pPr>
        <w:pStyle w:val="Standard"/>
        <w:rPr>
          <w:rFonts w:asciiTheme="minorHAnsi" w:hAnsiTheme="minorHAnsi" w:cstheme="minorHAnsi"/>
          <w:b/>
          <w:bCs/>
          <w:i/>
          <w:iCs/>
          <w:sz w:val="22"/>
          <w:szCs w:val="22"/>
        </w:rPr>
      </w:pPr>
    </w:p>
    <w:p w14:paraId="430F0E4F" w14:textId="77777777" w:rsidR="00FB7EB0" w:rsidRPr="00AA0A1C" w:rsidRDefault="00FB7EB0" w:rsidP="00FB7EB0">
      <w:pPr>
        <w:pStyle w:val="Standard"/>
        <w:rPr>
          <w:rFonts w:asciiTheme="minorHAnsi" w:hAnsiTheme="minorHAnsi" w:cstheme="minorHAnsi"/>
          <w:b/>
          <w:bCs/>
          <w:i/>
          <w:iCs/>
          <w:sz w:val="22"/>
          <w:szCs w:val="22"/>
        </w:rPr>
      </w:pPr>
    </w:p>
    <w:p w14:paraId="1DC62DE3" w14:textId="24EB6BE0" w:rsidR="001577BF" w:rsidRPr="00AA0A1C" w:rsidRDefault="001577BF" w:rsidP="001577BF">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Članak 5.</w:t>
      </w:r>
    </w:p>
    <w:p w14:paraId="55819E07" w14:textId="35A18EC9" w:rsidR="004B38A6" w:rsidRPr="00AA0A1C" w:rsidRDefault="004B38A6">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 xml:space="preserve">Izravni beskamatni krediti </w:t>
      </w:r>
    </w:p>
    <w:p w14:paraId="655C9145" w14:textId="2B3DE4CD" w:rsidR="004B38A6" w:rsidRPr="00AA0A1C" w:rsidRDefault="004B38A6" w:rsidP="00346149">
      <w:pPr>
        <w:pStyle w:val="Standard"/>
        <w:jc w:val="both"/>
        <w:rPr>
          <w:rFonts w:asciiTheme="minorHAnsi" w:hAnsiTheme="minorHAnsi" w:cstheme="minorHAnsi"/>
          <w:sz w:val="22"/>
          <w:szCs w:val="22"/>
        </w:rPr>
      </w:pPr>
    </w:p>
    <w:p w14:paraId="57A0BC72" w14:textId="4A07C814" w:rsidR="004B38A6" w:rsidRDefault="004B38A6" w:rsidP="004961C8">
      <w:pPr>
        <w:pStyle w:val="Standard"/>
        <w:numPr>
          <w:ilvl w:val="0"/>
          <w:numId w:val="9"/>
        </w:numPr>
        <w:jc w:val="both"/>
        <w:rPr>
          <w:rFonts w:asciiTheme="minorHAnsi" w:hAnsiTheme="minorHAnsi" w:cstheme="minorHAnsi"/>
          <w:sz w:val="22"/>
          <w:szCs w:val="22"/>
        </w:rPr>
      </w:pPr>
      <w:bookmarkStart w:id="6" w:name="_Hlk51002647"/>
      <w:r w:rsidRPr="00AA0A1C">
        <w:rPr>
          <w:rFonts w:asciiTheme="minorHAnsi" w:hAnsiTheme="minorHAnsi" w:cstheme="minorHAnsi"/>
          <w:sz w:val="22"/>
          <w:szCs w:val="22"/>
        </w:rPr>
        <w:t xml:space="preserve">U slučaju izravnih kredita, sukladno točki 22. Privremenog okvira, HBOR može odobriti beskamatne kredite do iznosa od 800.000 EUR po poduzetniku. </w:t>
      </w:r>
    </w:p>
    <w:p w14:paraId="4A44D7F6" w14:textId="77777777" w:rsidR="00AA0A1C" w:rsidRPr="00AA0A1C" w:rsidRDefault="00AA0A1C" w:rsidP="00CA2119">
      <w:pPr>
        <w:pStyle w:val="Standard"/>
        <w:ind w:left="360"/>
        <w:jc w:val="both"/>
        <w:rPr>
          <w:rFonts w:asciiTheme="minorHAnsi" w:hAnsiTheme="minorHAnsi" w:cstheme="minorHAnsi"/>
          <w:sz w:val="22"/>
          <w:szCs w:val="22"/>
        </w:rPr>
      </w:pPr>
    </w:p>
    <w:p w14:paraId="26D9AB76" w14:textId="0F6F2D53" w:rsidR="004B38A6"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 xml:space="preserve">U slučaju da je jedan poduzetnik primio potpore iz odjeljka 3.1. Privremenog okvira temeljem više mjera dodjele potpore, ukupna nominalna vrijednost svih mjera potpore ne smije prelaziti gornju granicu od 800 000 EUR po poduzetniku; svi iznosi moraju biti bruto iznosi, tj. prije odbitka poreza ili drugih troškova. </w:t>
      </w:r>
    </w:p>
    <w:p w14:paraId="69B145F1" w14:textId="77777777" w:rsidR="00AA0A1C" w:rsidRPr="00AA0A1C" w:rsidRDefault="00AA0A1C" w:rsidP="00CA2119">
      <w:pPr>
        <w:pStyle w:val="Standard"/>
        <w:ind w:left="360"/>
        <w:jc w:val="both"/>
        <w:rPr>
          <w:rFonts w:asciiTheme="minorHAnsi" w:hAnsiTheme="minorHAnsi" w:cstheme="minorHAnsi"/>
          <w:sz w:val="22"/>
          <w:szCs w:val="22"/>
        </w:rPr>
      </w:pPr>
    </w:p>
    <w:p w14:paraId="45454B8F" w14:textId="6BE9AB96" w:rsidR="004B38A6"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Potpora poduzetnicima koji djeluju u sektoru prerade i stavljanja na tržište poljoprivrednih proizvoda</w:t>
      </w:r>
      <w:r w:rsidRPr="00AA0A1C">
        <w:rPr>
          <w:rStyle w:val="FootnoteReference"/>
          <w:rFonts w:asciiTheme="minorHAnsi" w:hAnsiTheme="minorHAnsi" w:cstheme="minorHAnsi"/>
          <w:sz w:val="22"/>
          <w:szCs w:val="22"/>
        </w:rPr>
        <w:footnoteReference w:id="6"/>
      </w:r>
      <w:r w:rsidRPr="00AA0A1C">
        <w:rPr>
          <w:rFonts w:asciiTheme="minorHAnsi" w:hAnsiTheme="minorHAnsi" w:cstheme="minorHAnsi"/>
          <w:sz w:val="22"/>
          <w:szCs w:val="22"/>
        </w:rPr>
        <w:t xml:space="preserve"> ne uvjetuje se djelomičnom ili ukupnom isplatom primarnim proizvođačima i ne utvrđuje se na temelju cijene ili količine proizvoda kupljenih od primarnih proizvođača ili proizvoda koje su predmetni poduzetnici stavili u promet.</w:t>
      </w:r>
    </w:p>
    <w:p w14:paraId="18C3A996" w14:textId="77777777" w:rsidR="00AA0A1C" w:rsidRPr="00AA0A1C" w:rsidRDefault="00AA0A1C" w:rsidP="00CA2119">
      <w:pPr>
        <w:pStyle w:val="Standard"/>
        <w:ind w:left="360"/>
        <w:jc w:val="both"/>
        <w:rPr>
          <w:rFonts w:asciiTheme="minorHAnsi" w:hAnsiTheme="minorHAnsi" w:cstheme="minorHAnsi"/>
          <w:sz w:val="22"/>
          <w:szCs w:val="22"/>
        </w:rPr>
      </w:pPr>
    </w:p>
    <w:p w14:paraId="0B63426A" w14:textId="2F42D635" w:rsidR="004B38A6"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Sukladno točki 23. Privremenog okvira, beskamatni krediti mogu iznositi do 120.000 EUR po poduzetniku koji djeluje u sektoru ribarstva i akvakulture</w:t>
      </w:r>
      <w:r w:rsidRPr="00AA0A1C">
        <w:rPr>
          <w:rStyle w:val="FootnoteReference"/>
          <w:rFonts w:asciiTheme="minorHAnsi" w:hAnsiTheme="minorHAnsi" w:cstheme="minorHAnsi"/>
          <w:sz w:val="22"/>
          <w:szCs w:val="22"/>
        </w:rPr>
        <w:footnoteReference w:id="7"/>
      </w:r>
      <w:r w:rsidRPr="00AA0A1C">
        <w:rPr>
          <w:rFonts w:asciiTheme="minorHAnsi" w:hAnsiTheme="minorHAnsi" w:cstheme="minorHAnsi"/>
          <w:sz w:val="22"/>
          <w:szCs w:val="22"/>
        </w:rPr>
        <w:t xml:space="preserve">  ili 100.000 EUR po poduzetniku koji djeluje u sektoru primarne poljoprivredne proizvodnje</w:t>
      </w:r>
      <w:r w:rsidR="009646ED" w:rsidRPr="00AA0A1C">
        <w:rPr>
          <w:rStyle w:val="FootnoteReference"/>
          <w:rFonts w:asciiTheme="minorHAnsi" w:hAnsiTheme="minorHAnsi" w:cstheme="minorHAnsi"/>
          <w:sz w:val="22"/>
          <w:szCs w:val="22"/>
        </w:rPr>
        <w:footnoteReference w:id="8"/>
      </w:r>
      <w:r w:rsidRPr="00AA0A1C">
        <w:rPr>
          <w:rFonts w:asciiTheme="minorHAnsi" w:hAnsiTheme="minorHAnsi" w:cstheme="minorHAnsi"/>
          <w:sz w:val="22"/>
          <w:szCs w:val="22"/>
        </w:rPr>
        <w:t>, pod uvjetom da ukupna nominalna vrijednost takvih mjera ne prelazi ukupnu gornju granicu od 120 000 EUR ili 100 000 EUR po poduzetniku; svi iznosi moraju biti bruto iznosi, tj. prije odbitka poreza ili drugih troškova.</w:t>
      </w:r>
    </w:p>
    <w:p w14:paraId="2FEE9905" w14:textId="77777777" w:rsidR="00AA0A1C" w:rsidRPr="00AA0A1C" w:rsidRDefault="00AA0A1C" w:rsidP="00CA2119">
      <w:pPr>
        <w:pStyle w:val="Standard"/>
        <w:ind w:left="360"/>
        <w:jc w:val="both"/>
        <w:rPr>
          <w:rFonts w:asciiTheme="minorHAnsi" w:hAnsiTheme="minorHAnsi" w:cstheme="minorHAnsi"/>
          <w:sz w:val="22"/>
          <w:szCs w:val="22"/>
        </w:rPr>
      </w:pPr>
    </w:p>
    <w:p w14:paraId="2B808F85" w14:textId="7052BA0C" w:rsidR="004B38A6"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Iznos potpore poduzetnicima koji djeluju u sektoru primarne poljoprivredne proizvodnje ne smije se utvrđivati na temelju cijene ili količine proizvoda stavljenih na tržište.</w:t>
      </w:r>
    </w:p>
    <w:p w14:paraId="630F4099" w14:textId="77777777" w:rsidR="00AA0A1C" w:rsidRPr="00AA0A1C" w:rsidRDefault="00AA0A1C" w:rsidP="00CA2119">
      <w:pPr>
        <w:pStyle w:val="Standard"/>
        <w:ind w:left="360"/>
        <w:jc w:val="both"/>
        <w:rPr>
          <w:rFonts w:asciiTheme="minorHAnsi" w:hAnsiTheme="minorHAnsi" w:cstheme="minorHAnsi"/>
          <w:sz w:val="22"/>
          <w:szCs w:val="22"/>
        </w:rPr>
      </w:pPr>
    </w:p>
    <w:p w14:paraId="1326A220" w14:textId="1352E529" w:rsidR="004B38A6"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 xml:space="preserve">Potpora poduzetnicima koji djeluju u sektoru ribarstva i akvakulture ne odnosi se ni na jednu od kategorija potpora iz čl.1. st.1. </w:t>
      </w:r>
      <w:proofErr w:type="spellStart"/>
      <w:r w:rsidRPr="00AA0A1C">
        <w:rPr>
          <w:rFonts w:asciiTheme="minorHAnsi" w:hAnsiTheme="minorHAnsi" w:cstheme="minorHAnsi"/>
          <w:sz w:val="22"/>
          <w:szCs w:val="22"/>
        </w:rPr>
        <w:t>toč</w:t>
      </w:r>
      <w:proofErr w:type="spellEnd"/>
      <w:r w:rsidRPr="00AA0A1C">
        <w:rPr>
          <w:rFonts w:asciiTheme="minorHAnsi" w:hAnsiTheme="minorHAnsi" w:cstheme="minorHAnsi"/>
          <w:sz w:val="22"/>
          <w:szCs w:val="22"/>
        </w:rPr>
        <w:t>. od (a) do (k) Uredbe Komisije (EU) br. 717/2014</w:t>
      </w:r>
      <w:r w:rsidR="009646ED" w:rsidRPr="00AA0A1C">
        <w:rPr>
          <w:rStyle w:val="FootnoteReference"/>
          <w:rFonts w:asciiTheme="minorHAnsi" w:hAnsiTheme="minorHAnsi" w:cstheme="minorHAnsi"/>
          <w:sz w:val="22"/>
          <w:szCs w:val="22"/>
        </w:rPr>
        <w:footnoteReference w:id="9"/>
      </w:r>
      <w:r w:rsidRPr="00AA0A1C">
        <w:rPr>
          <w:rFonts w:asciiTheme="minorHAnsi" w:hAnsiTheme="minorHAnsi" w:cstheme="minorHAnsi"/>
          <w:sz w:val="22"/>
          <w:szCs w:val="22"/>
        </w:rPr>
        <w:t>.</w:t>
      </w:r>
    </w:p>
    <w:p w14:paraId="14E751F9" w14:textId="77777777" w:rsidR="00AA0A1C" w:rsidRPr="00AA0A1C" w:rsidRDefault="00AA0A1C" w:rsidP="00CA2119">
      <w:pPr>
        <w:pStyle w:val="Standard"/>
        <w:ind w:left="360"/>
        <w:jc w:val="both"/>
        <w:rPr>
          <w:rFonts w:asciiTheme="minorHAnsi" w:hAnsiTheme="minorHAnsi" w:cstheme="minorHAnsi"/>
          <w:sz w:val="22"/>
          <w:szCs w:val="22"/>
        </w:rPr>
      </w:pPr>
    </w:p>
    <w:p w14:paraId="3EFEA968" w14:textId="3C22B5F7" w:rsidR="00FB7EB0" w:rsidRPr="00AA0A1C"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t xml:space="preserve">Ako poduzetnik djeluje u više sektora na koje se u skladu s toč.22. </w:t>
      </w:r>
      <w:proofErr w:type="spellStart"/>
      <w:r w:rsidRPr="00AA0A1C">
        <w:rPr>
          <w:rFonts w:asciiTheme="minorHAnsi" w:hAnsiTheme="minorHAnsi" w:cstheme="minorHAnsi"/>
          <w:sz w:val="22"/>
          <w:szCs w:val="22"/>
        </w:rPr>
        <w:t>podtočkom</w:t>
      </w:r>
      <w:proofErr w:type="spellEnd"/>
      <w:r w:rsidRPr="00AA0A1C">
        <w:rPr>
          <w:rFonts w:asciiTheme="minorHAnsi" w:hAnsiTheme="minorHAnsi" w:cstheme="minorHAnsi"/>
          <w:sz w:val="22"/>
          <w:szCs w:val="22"/>
        </w:rPr>
        <w:t xml:space="preserve"> (a) i toč.23. </w:t>
      </w:r>
      <w:proofErr w:type="spellStart"/>
      <w:r w:rsidRPr="00AA0A1C">
        <w:rPr>
          <w:rFonts w:asciiTheme="minorHAnsi" w:hAnsiTheme="minorHAnsi" w:cstheme="minorHAnsi"/>
          <w:sz w:val="22"/>
          <w:szCs w:val="22"/>
        </w:rPr>
        <w:t>podtočkom</w:t>
      </w:r>
      <w:proofErr w:type="spellEnd"/>
      <w:r w:rsidRPr="00AA0A1C">
        <w:rPr>
          <w:rFonts w:asciiTheme="minorHAnsi" w:hAnsiTheme="minorHAnsi" w:cstheme="minorHAnsi"/>
          <w:sz w:val="22"/>
          <w:szCs w:val="22"/>
        </w:rPr>
        <w:t xml:space="preserve"> (a) Privremenog okvira primjenjuju različiti maksimalni iznosi, potrebno je odgovarajućim sredstvima, na primjer razdvajanjem računa, osigurati da se za svaku od tih djelatnosti poštuje odgovarajuća gornja granica te da se ne premaši ukupni maksimalni iznos od 800 000 EUR po poduzetniku. Ako poduzetnik djeluje u sektorima iz toč.23. </w:t>
      </w:r>
      <w:proofErr w:type="spellStart"/>
      <w:r w:rsidRPr="00AA0A1C">
        <w:rPr>
          <w:rFonts w:asciiTheme="minorHAnsi" w:hAnsiTheme="minorHAnsi" w:cstheme="minorHAnsi"/>
          <w:sz w:val="22"/>
          <w:szCs w:val="22"/>
        </w:rPr>
        <w:t>podtočke</w:t>
      </w:r>
      <w:proofErr w:type="spellEnd"/>
      <w:r w:rsidRPr="00AA0A1C">
        <w:rPr>
          <w:rFonts w:asciiTheme="minorHAnsi" w:hAnsiTheme="minorHAnsi" w:cstheme="minorHAnsi"/>
          <w:sz w:val="22"/>
          <w:szCs w:val="22"/>
        </w:rPr>
        <w:t xml:space="preserve"> (a), odnosno u sektoru primarne poljoprivredne proizvodnje i sektoru ribarstva i akvakulture, ne bi se trebao premašiti ukupni maksimalni iznos od 120 000 EUR po poduzetniku. </w:t>
      </w:r>
    </w:p>
    <w:p w14:paraId="0C9A8E4D" w14:textId="61D55C05" w:rsidR="009303AB" w:rsidRDefault="004B38A6" w:rsidP="004961C8">
      <w:pPr>
        <w:pStyle w:val="Standard"/>
        <w:numPr>
          <w:ilvl w:val="0"/>
          <w:numId w:val="9"/>
        </w:numPr>
        <w:jc w:val="both"/>
        <w:rPr>
          <w:rFonts w:asciiTheme="minorHAnsi" w:hAnsiTheme="minorHAnsi" w:cstheme="minorHAnsi"/>
          <w:sz w:val="22"/>
          <w:szCs w:val="22"/>
        </w:rPr>
      </w:pPr>
      <w:r w:rsidRPr="00AA0A1C">
        <w:rPr>
          <w:rFonts w:asciiTheme="minorHAnsi" w:hAnsiTheme="minorHAnsi" w:cstheme="minorHAnsi"/>
          <w:sz w:val="22"/>
          <w:szCs w:val="22"/>
        </w:rPr>
        <w:lastRenderedPageBreak/>
        <w:t xml:space="preserve">U slučaju izravnih kredita HBOR-a iznad gore propisanih pragova, HBOR će krajnjim korisnicima </w:t>
      </w:r>
      <w:r w:rsidR="00FB7EB0" w:rsidRPr="00AA0A1C">
        <w:rPr>
          <w:rFonts w:asciiTheme="minorHAnsi" w:hAnsiTheme="minorHAnsi" w:cstheme="minorHAnsi"/>
          <w:sz w:val="22"/>
          <w:szCs w:val="22"/>
        </w:rPr>
        <w:t xml:space="preserve">na cijeli iznos kredita </w:t>
      </w:r>
      <w:r w:rsidRPr="00AA0A1C">
        <w:rPr>
          <w:rFonts w:asciiTheme="minorHAnsi" w:hAnsiTheme="minorHAnsi" w:cstheme="minorHAnsi"/>
          <w:sz w:val="22"/>
          <w:szCs w:val="22"/>
        </w:rPr>
        <w:t>obračunavati minimalne kamatne stope propisane točkom 27.a Privremenog okvira i čl.</w:t>
      </w:r>
      <w:r w:rsidR="00FB7EB0" w:rsidRPr="00AA0A1C">
        <w:rPr>
          <w:rFonts w:asciiTheme="minorHAnsi" w:hAnsiTheme="minorHAnsi" w:cstheme="minorHAnsi"/>
          <w:sz w:val="22"/>
          <w:szCs w:val="22"/>
        </w:rPr>
        <w:t>4</w:t>
      </w:r>
      <w:r w:rsidRPr="00AA0A1C">
        <w:rPr>
          <w:rFonts w:asciiTheme="minorHAnsi" w:hAnsiTheme="minorHAnsi" w:cstheme="minorHAnsi"/>
          <w:sz w:val="22"/>
          <w:szCs w:val="22"/>
        </w:rPr>
        <w:t>. Programa, dok iznos kredita ne smije prelaziti iznose navedene u čl.</w:t>
      </w:r>
      <w:r w:rsidR="00FB7EB0" w:rsidRPr="00AA0A1C">
        <w:rPr>
          <w:rFonts w:asciiTheme="minorHAnsi" w:hAnsiTheme="minorHAnsi" w:cstheme="minorHAnsi"/>
          <w:sz w:val="22"/>
          <w:szCs w:val="22"/>
        </w:rPr>
        <w:t>7</w:t>
      </w:r>
      <w:r w:rsidRPr="00AA0A1C">
        <w:rPr>
          <w:rFonts w:asciiTheme="minorHAnsi" w:hAnsiTheme="minorHAnsi" w:cstheme="minorHAnsi"/>
          <w:sz w:val="22"/>
          <w:szCs w:val="22"/>
        </w:rPr>
        <w:t>. Programa.</w:t>
      </w:r>
    </w:p>
    <w:p w14:paraId="3663725A" w14:textId="4EC9A7F5" w:rsidR="00AA0A1C" w:rsidRDefault="00AA0A1C" w:rsidP="00AA0A1C">
      <w:pPr>
        <w:pStyle w:val="Standard"/>
        <w:jc w:val="both"/>
        <w:rPr>
          <w:rFonts w:asciiTheme="minorHAnsi" w:hAnsiTheme="minorHAnsi" w:cstheme="minorHAnsi"/>
          <w:sz w:val="22"/>
          <w:szCs w:val="22"/>
        </w:rPr>
      </w:pPr>
    </w:p>
    <w:p w14:paraId="3C1869E6" w14:textId="77777777" w:rsidR="00AA0A1C" w:rsidRPr="00AA0A1C" w:rsidRDefault="00AA0A1C" w:rsidP="00AA0A1C">
      <w:pPr>
        <w:pStyle w:val="Standard"/>
        <w:jc w:val="both"/>
        <w:rPr>
          <w:rFonts w:asciiTheme="minorHAnsi" w:hAnsiTheme="minorHAnsi" w:cstheme="minorHAnsi"/>
          <w:sz w:val="22"/>
          <w:szCs w:val="22"/>
        </w:rPr>
      </w:pPr>
    </w:p>
    <w:p w14:paraId="7DA3563C" w14:textId="439C2BD4" w:rsidR="009C4A14" w:rsidRPr="00AA0A1C" w:rsidRDefault="009303AB" w:rsidP="009303AB">
      <w:pPr>
        <w:pStyle w:val="Standard"/>
        <w:jc w:val="center"/>
        <w:rPr>
          <w:rFonts w:asciiTheme="minorHAnsi" w:hAnsiTheme="minorHAnsi" w:cstheme="minorHAnsi"/>
          <w:b/>
          <w:bCs/>
          <w:sz w:val="22"/>
          <w:szCs w:val="22"/>
        </w:rPr>
      </w:pPr>
      <w:bookmarkStart w:id="7" w:name="_Hlk51002767"/>
      <w:bookmarkEnd w:id="6"/>
      <w:r w:rsidRPr="00AA0A1C">
        <w:rPr>
          <w:rFonts w:asciiTheme="minorHAnsi" w:hAnsiTheme="minorHAnsi" w:cstheme="minorHAnsi"/>
          <w:b/>
          <w:bCs/>
          <w:sz w:val="22"/>
          <w:szCs w:val="22"/>
        </w:rPr>
        <w:t xml:space="preserve">Članak </w:t>
      </w:r>
      <w:r w:rsidR="00437434" w:rsidRPr="00AA0A1C">
        <w:rPr>
          <w:rFonts w:asciiTheme="minorHAnsi" w:hAnsiTheme="minorHAnsi" w:cstheme="minorHAnsi"/>
          <w:b/>
          <w:bCs/>
          <w:sz w:val="22"/>
          <w:szCs w:val="22"/>
        </w:rPr>
        <w:t>6</w:t>
      </w:r>
      <w:r w:rsidRPr="00AA0A1C">
        <w:rPr>
          <w:rFonts w:asciiTheme="minorHAnsi" w:hAnsiTheme="minorHAnsi" w:cstheme="minorHAnsi"/>
          <w:b/>
          <w:bCs/>
          <w:sz w:val="22"/>
          <w:szCs w:val="22"/>
        </w:rPr>
        <w:t>.</w:t>
      </w:r>
    </w:p>
    <w:p w14:paraId="6EB35AFD" w14:textId="08EEF839" w:rsidR="00AA0A1C" w:rsidRPr="00AA0A1C" w:rsidRDefault="00427858" w:rsidP="00AA0A1C">
      <w:pPr>
        <w:suppressAutoHyphens/>
        <w:autoSpaceDN w:val="0"/>
        <w:spacing w:after="0" w:line="240" w:lineRule="auto"/>
        <w:ind w:left="360"/>
        <w:textAlignment w:val="baseline"/>
        <w:rPr>
          <w:rFonts w:asciiTheme="minorHAnsi" w:hAnsiTheme="minorHAnsi" w:cstheme="minorHAnsi"/>
          <w:kern w:val="3"/>
          <w:lang w:eastAsia="zh-CN"/>
        </w:rPr>
      </w:pPr>
      <w:r w:rsidRPr="00AA0A1C">
        <w:rPr>
          <w:rFonts w:asciiTheme="minorHAnsi" w:hAnsiTheme="minorHAnsi" w:cstheme="minorHAnsi"/>
          <w:b/>
          <w:bCs/>
          <w:i/>
          <w:iCs/>
          <w:kern w:val="3"/>
          <w:lang w:eastAsia="zh-CN"/>
        </w:rPr>
        <w:t xml:space="preserve">                                                </w:t>
      </w:r>
      <w:r w:rsidR="00AA0A1C">
        <w:rPr>
          <w:rFonts w:asciiTheme="minorHAnsi" w:hAnsiTheme="minorHAnsi" w:cstheme="minorHAnsi"/>
          <w:b/>
          <w:bCs/>
          <w:i/>
          <w:iCs/>
          <w:kern w:val="3"/>
          <w:lang w:eastAsia="zh-CN"/>
        </w:rPr>
        <w:t xml:space="preserve">             </w:t>
      </w:r>
      <w:r w:rsidR="009C4A14" w:rsidRPr="00AA0A1C">
        <w:rPr>
          <w:rFonts w:asciiTheme="minorHAnsi" w:hAnsiTheme="minorHAnsi" w:cstheme="minorHAnsi"/>
          <w:b/>
          <w:bCs/>
          <w:i/>
          <w:iCs/>
          <w:kern w:val="3"/>
          <w:lang w:eastAsia="zh-CN"/>
        </w:rPr>
        <w:t>Subvencija kamatne stope</w:t>
      </w:r>
    </w:p>
    <w:p w14:paraId="00CA2D53" w14:textId="77777777" w:rsidR="00AA0A1C" w:rsidRPr="00AA0A1C" w:rsidRDefault="00AA0A1C" w:rsidP="00AA0A1C">
      <w:pPr>
        <w:suppressAutoHyphens/>
        <w:autoSpaceDN w:val="0"/>
        <w:spacing w:after="0" w:line="240" w:lineRule="auto"/>
        <w:ind w:left="360"/>
        <w:textAlignment w:val="baseline"/>
        <w:rPr>
          <w:rFonts w:asciiTheme="minorHAnsi" w:hAnsiTheme="minorHAnsi" w:cstheme="minorHAnsi"/>
        </w:rPr>
      </w:pPr>
    </w:p>
    <w:p w14:paraId="66325BFE" w14:textId="383DD470" w:rsidR="00AA0A1C" w:rsidRDefault="00AA0A1C"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Kod kredita</w:t>
      </w:r>
      <w:r w:rsidR="00EA5A72" w:rsidRPr="0038237D">
        <w:rPr>
          <w:rFonts w:asciiTheme="minorHAnsi" w:hAnsiTheme="minorHAnsi" w:cstheme="minorHAnsi"/>
        </w:rPr>
        <w:t xml:space="preserve"> </w:t>
      </w:r>
      <w:r w:rsidRPr="0038237D">
        <w:rPr>
          <w:rFonts w:asciiTheme="minorHAnsi" w:hAnsiTheme="minorHAnsi" w:cstheme="minorHAnsi"/>
        </w:rPr>
        <w:t xml:space="preserve">koji se temeljem čl.4. ovog Programa odobravaju krajnjim korisnicima putem poslovnih banaka, po modelu podjele rizika, uključujući </w:t>
      </w:r>
      <w:proofErr w:type="spellStart"/>
      <w:r w:rsidRPr="0038237D">
        <w:rPr>
          <w:rFonts w:asciiTheme="minorHAnsi" w:hAnsiTheme="minorHAnsi" w:cstheme="minorHAnsi"/>
        </w:rPr>
        <w:t>sindicirane</w:t>
      </w:r>
      <w:proofErr w:type="spellEnd"/>
      <w:r w:rsidRPr="0038237D">
        <w:rPr>
          <w:rFonts w:asciiTheme="minorHAnsi" w:hAnsiTheme="minorHAnsi" w:cstheme="minorHAnsi"/>
        </w:rPr>
        <w:t xml:space="preserve"> kredite, kao i izravnih kredita dodijeljenih sukladno odjeljku 3.3. Privremenog okvira, dopušteno je dodijeliti i potporu u obliku subvencije kamatne stope u skladu s odjeljkom 3.1. Privremenog okvira.</w:t>
      </w:r>
    </w:p>
    <w:p w14:paraId="370BA8C6" w14:textId="77777777" w:rsidR="0038237D" w:rsidRDefault="0038237D" w:rsidP="0038237D">
      <w:pPr>
        <w:pStyle w:val="ListParagraph"/>
        <w:spacing w:after="160" w:line="259" w:lineRule="auto"/>
        <w:ind w:left="360"/>
        <w:jc w:val="both"/>
        <w:rPr>
          <w:rFonts w:asciiTheme="minorHAnsi" w:hAnsiTheme="minorHAnsi" w:cstheme="minorHAnsi"/>
        </w:rPr>
      </w:pPr>
    </w:p>
    <w:p w14:paraId="34EAA766" w14:textId="555696D6" w:rsidR="00144B7F" w:rsidRDefault="00144B7F"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HBOR zadržava pravo definirati posebne uvjete pod kojima će biti moguće dodijeliti potporu u obliku subvencije kamatne stope u skladu s odjeljkom 3.1. Privremenog okvira, u skladu s potrebama upravljanja preuzetim rizicima, potrebom prenošenja koristi od subvencije na krajnje korisnike, poticanjem posebnih skupina poduzetnika te ostalim ciljevima definiranim</w:t>
      </w:r>
      <w:r w:rsidR="00EA5A72" w:rsidRPr="0038237D">
        <w:rPr>
          <w:rFonts w:asciiTheme="minorHAnsi" w:hAnsiTheme="minorHAnsi" w:cstheme="minorHAnsi"/>
        </w:rPr>
        <w:t>a</w:t>
      </w:r>
      <w:r w:rsidRPr="0038237D">
        <w:rPr>
          <w:rFonts w:asciiTheme="minorHAnsi" w:hAnsiTheme="minorHAnsi" w:cstheme="minorHAnsi"/>
        </w:rPr>
        <w:t xml:space="preserve"> od strane HBOR-a ili Vlade Republike Hrvatske. Navedeni uvjeti ni u kojem slučaju neće prelaziti uvjete iz ovog Programa.</w:t>
      </w:r>
    </w:p>
    <w:p w14:paraId="75E56096" w14:textId="77777777" w:rsidR="0038237D" w:rsidRDefault="0038237D" w:rsidP="0038237D">
      <w:pPr>
        <w:pStyle w:val="ListParagraph"/>
        <w:spacing w:after="160" w:line="259" w:lineRule="auto"/>
        <w:ind w:left="360"/>
        <w:jc w:val="both"/>
        <w:rPr>
          <w:rFonts w:asciiTheme="minorHAnsi" w:hAnsiTheme="minorHAnsi" w:cstheme="minorHAnsi"/>
        </w:rPr>
      </w:pPr>
    </w:p>
    <w:p w14:paraId="0CEF3FE0" w14:textId="7BB75A51" w:rsidR="00116F61" w:rsidRDefault="00116F61"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Kod kredita koji se odobravaju krajnjim korisnicima putem poslovnih banaka subvencija kamatne stope iznosi razliku između redovne kamatne stope HBOR-a i snižene kamatne stope za poslovnu banku, a koju razliku je poslovna banka sukladno Poglavlju 3.4. Privremenog okvira obvezna prenijeti u potpunosti na krajnjeg korisnika.</w:t>
      </w:r>
    </w:p>
    <w:p w14:paraId="4410D122" w14:textId="77777777" w:rsidR="0038237D" w:rsidRDefault="0038237D" w:rsidP="0038237D">
      <w:pPr>
        <w:pStyle w:val="ListParagraph"/>
        <w:spacing w:after="160" w:line="259" w:lineRule="auto"/>
        <w:ind w:left="360"/>
        <w:jc w:val="both"/>
        <w:rPr>
          <w:rFonts w:asciiTheme="minorHAnsi" w:hAnsiTheme="minorHAnsi" w:cstheme="minorHAnsi"/>
        </w:rPr>
      </w:pPr>
    </w:p>
    <w:p w14:paraId="539658E9" w14:textId="5433DAFE" w:rsidR="00AA0A1C" w:rsidRDefault="00AA0A1C"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 xml:space="preserve">Kod kredita koji se odobravaju po modela podjele rizika, uključujući </w:t>
      </w:r>
      <w:proofErr w:type="spellStart"/>
      <w:r w:rsidRPr="0038237D">
        <w:rPr>
          <w:rFonts w:asciiTheme="minorHAnsi" w:hAnsiTheme="minorHAnsi" w:cstheme="minorHAnsi"/>
        </w:rPr>
        <w:t>sindicirane</w:t>
      </w:r>
      <w:proofErr w:type="spellEnd"/>
      <w:r w:rsidRPr="0038237D">
        <w:rPr>
          <w:rFonts w:asciiTheme="minorHAnsi" w:hAnsiTheme="minorHAnsi" w:cstheme="minorHAnsi"/>
        </w:rPr>
        <w:t xml:space="preserve"> kredite, subvencija kamatne stope iznosi razliku između kamatne stope naplaćene krajnjem korisniku kredita (prosjek između kamatne stope na sredstva HBOR-a i redovne kamatne stope poslovne banke) i kamatne stope primjenjive za krajnjeg korisnika kredita s obzirom na ročnost i veličinu poduzetnika prema čl.4. st.4. ovog Programa.</w:t>
      </w:r>
    </w:p>
    <w:p w14:paraId="646533B7" w14:textId="77777777" w:rsidR="0038237D" w:rsidRDefault="0038237D" w:rsidP="0038237D">
      <w:pPr>
        <w:pStyle w:val="ListParagraph"/>
        <w:spacing w:after="160" w:line="259" w:lineRule="auto"/>
        <w:ind w:left="360"/>
        <w:jc w:val="both"/>
        <w:rPr>
          <w:rFonts w:asciiTheme="minorHAnsi" w:hAnsiTheme="minorHAnsi" w:cstheme="minorHAnsi"/>
        </w:rPr>
      </w:pPr>
    </w:p>
    <w:p w14:paraId="2D32F750" w14:textId="197DCD79" w:rsidR="00AA0A1C" w:rsidRDefault="00AA0A1C"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Kod izravnih kredita subvencija kamatne stope iznosi razliku između kamatne stope naplaćene krajnjem korisniku kredita i kamatne stope primjenjive za krajnjeg korisnika kredita s obzirom na ročnost i veličinu poduzetnika prema čl.4. st.4. ovog Programa.</w:t>
      </w:r>
    </w:p>
    <w:p w14:paraId="0A405435" w14:textId="77777777" w:rsidR="0038237D" w:rsidRDefault="0038237D" w:rsidP="0038237D">
      <w:pPr>
        <w:pStyle w:val="ListParagraph"/>
        <w:spacing w:after="160" w:line="259" w:lineRule="auto"/>
        <w:ind w:left="360"/>
        <w:jc w:val="both"/>
        <w:rPr>
          <w:rFonts w:asciiTheme="minorHAnsi" w:hAnsiTheme="minorHAnsi" w:cstheme="minorHAnsi"/>
        </w:rPr>
      </w:pPr>
    </w:p>
    <w:p w14:paraId="55BD8CB4" w14:textId="60EB2009" w:rsidR="00AA0A1C" w:rsidRDefault="00AA0A1C"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 xml:space="preserve">Maksimalan dopušteni iznos potpore u obliku subvencije kamatne stope po poduzetniku iznosi 800 000 EUR, uz iznimku potpore poduzetnicima u sektoru primarne poljoprivredne proizvodnje i sektoru ribarstva i akvakulture, kod kojih se primjenjuju iznosi navedeni u čl.5. st.4. ovog Programa. </w:t>
      </w:r>
    </w:p>
    <w:p w14:paraId="3738EE9C" w14:textId="77777777" w:rsidR="0038237D" w:rsidRDefault="0038237D" w:rsidP="0038237D">
      <w:pPr>
        <w:pStyle w:val="ListParagraph"/>
        <w:spacing w:after="160" w:line="259" w:lineRule="auto"/>
        <w:ind w:left="360"/>
        <w:jc w:val="both"/>
        <w:rPr>
          <w:rFonts w:asciiTheme="minorHAnsi" w:hAnsiTheme="minorHAnsi" w:cstheme="minorHAnsi"/>
        </w:rPr>
      </w:pPr>
    </w:p>
    <w:p w14:paraId="267FAE71" w14:textId="480BCCE8" w:rsidR="00F41F08" w:rsidRPr="0038237D" w:rsidRDefault="00AA0A1C" w:rsidP="004961C8">
      <w:pPr>
        <w:pStyle w:val="ListParagraph"/>
        <w:numPr>
          <w:ilvl w:val="0"/>
          <w:numId w:val="11"/>
        </w:numPr>
        <w:spacing w:after="160" w:line="259" w:lineRule="auto"/>
        <w:jc w:val="both"/>
        <w:rPr>
          <w:rFonts w:asciiTheme="minorHAnsi" w:hAnsiTheme="minorHAnsi" w:cstheme="minorHAnsi"/>
        </w:rPr>
      </w:pPr>
      <w:r w:rsidRPr="0038237D">
        <w:rPr>
          <w:rFonts w:asciiTheme="minorHAnsi" w:hAnsiTheme="minorHAnsi" w:cstheme="minorHAnsi"/>
        </w:rPr>
        <w:t xml:space="preserve">Kod potpora dodijeljenih u skladu s ovim člankom supsidijarno se primjenjuju odredbe čl.5. ovog Programa. </w:t>
      </w:r>
      <w:bookmarkEnd w:id="7"/>
    </w:p>
    <w:p w14:paraId="2BDCF6C0" w14:textId="07C0C237" w:rsidR="00F41F08" w:rsidRDefault="00F41F08" w:rsidP="00AA0A1C">
      <w:pPr>
        <w:pStyle w:val="Standard"/>
        <w:rPr>
          <w:rFonts w:asciiTheme="minorHAnsi" w:hAnsiTheme="minorHAnsi" w:cstheme="minorHAnsi"/>
          <w:b/>
          <w:bCs/>
          <w:sz w:val="22"/>
          <w:szCs w:val="22"/>
        </w:rPr>
      </w:pPr>
    </w:p>
    <w:p w14:paraId="08E77AF8" w14:textId="1E269B62" w:rsidR="0038237D" w:rsidRDefault="0038237D" w:rsidP="00AA0A1C">
      <w:pPr>
        <w:pStyle w:val="Standard"/>
        <w:rPr>
          <w:rFonts w:asciiTheme="minorHAnsi" w:hAnsiTheme="minorHAnsi" w:cstheme="minorHAnsi"/>
          <w:b/>
          <w:bCs/>
          <w:sz w:val="22"/>
          <w:szCs w:val="22"/>
        </w:rPr>
      </w:pPr>
    </w:p>
    <w:p w14:paraId="4A23C7BB" w14:textId="59B23590" w:rsidR="0038237D" w:rsidRDefault="0038237D" w:rsidP="00AA0A1C">
      <w:pPr>
        <w:pStyle w:val="Standard"/>
        <w:rPr>
          <w:rFonts w:asciiTheme="minorHAnsi" w:hAnsiTheme="minorHAnsi" w:cstheme="minorHAnsi"/>
          <w:b/>
          <w:bCs/>
          <w:sz w:val="22"/>
          <w:szCs w:val="22"/>
        </w:rPr>
      </w:pPr>
    </w:p>
    <w:p w14:paraId="24BDACFB" w14:textId="1BA1E098" w:rsidR="0038237D" w:rsidRDefault="0038237D" w:rsidP="00AA0A1C">
      <w:pPr>
        <w:pStyle w:val="Standard"/>
        <w:rPr>
          <w:rFonts w:asciiTheme="minorHAnsi" w:hAnsiTheme="minorHAnsi" w:cstheme="minorHAnsi"/>
          <w:b/>
          <w:bCs/>
          <w:sz w:val="22"/>
          <w:szCs w:val="22"/>
        </w:rPr>
      </w:pPr>
    </w:p>
    <w:p w14:paraId="2C31DEAB" w14:textId="1038097C" w:rsidR="0038237D" w:rsidRDefault="0038237D" w:rsidP="00AA0A1C">
      <w:pPr>
        <w:pStyle w:val="Standard"/>
        <w:rPr>
          <w:rFonts w:asciiTheme="minorHAnsi" w:hAnsiTheme="minorHAnsi" w:cstheme="minorHAnsi"/>
          <w:b/>
          <w:bCs/>
          <w:sz w:val="22"/>
          <w:szCs w:val="22"/>
        </w:rPr>
      </w:pPr>
    </w:p>
    <w:p w14:paraId="50D098D6" w14:textId="77777777" w:rsidR="0038237D" w:rsidRPr="00AA0A1C" w:rsidRDefault="0038237D" w:rsidP="00AA0A1C">
      <w:pPr>
        <w:pStyle w:val="Standard"/>
        <w:rPr>
          <w:rFonts w:asciiTheme="minorHAnsi" w:hAnsiTheme="minorHAnsi" w:cstheme="minorHAnsi"/>
          <w:b/>
          <w:bCs/>
          <w:sz w:val="22"/>
          <w:szCs w:val="22"/>
        </w:rPr>
      </w:pPr>
    </w:p>
    <w:p w14:paraId="69767CB9" w14:textId="50C70ED4" w:rsidR="009303AB" w:rsidRPr="00AA0A1C" w:rsidRDefault="009C4A14"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lastRenderedPageBreak/>
        <w:t>Članak 7.</w:t>
      </w:r>
      <w:r w:rsidR="009303AB" w:rsidRPr="00AA0A1C">
        <w:rPr>
          <w:rFonts w:asciiTheme="minorHAnsi" w:hAnsiTheme="minorHAnsi" w:cstheme="minorHAnsi"/>
          <w:b/>
          <w:bCs/>
          <w:sz w:val="22"/>
          <w:szCs w:val="22"/>
        </w:rPr>
        <w:t xml:space="preserve"> </w:t>
      </w:r>
    </w:p>
    <w:p w14:paraId="019BC770" w14:textId="77777777" w:rsidR="009303AB" w:rsidRPr="00AA0A1C" w:rsidRDefault="009303AB" w:rsidP="009303AB">
      <w:pPr>
        <w:pStyle w:val="Standard"/>
        <w:jc w:val="center"/>
        <w:rPr>
          <w:rFonts w:asciiTheme="minorHAnsi" w:hAnsiTheme="minorHAnsi" w:cstheme="minorHAnsi"/>
          <w:sz w:val="22"/>
          <w:szCs w:val="22"/>
        </w:rPr>
      </w:pPr>
      <w:r w:rsidRPr="00AA0A1C">
        <w:rPr>
          <w:rFonts w:asciiTheme="minorHAnsi" w:hAnsiTheme="minorHAnsi" w:cstheme="minorHAnsi"/>
          <w:b/>
          <w:bCs/>
          <w:i/>
          <w:iCs/>
          <w:sz w:val="22"/>
          <w:szCs w:val="22"/>
        </w:rPr>
        <w:t>Iznos kredita</w:t>
      </w:r>
    </w:p>
    <w:p w14:paraId="347A3263" w14:textId="4EEBC952" w:rsidR="00FB7EB0" w:rsidRPr="00AA0A1C" w:rsidRDefault="00FB7EB0" w:rsidP="00FB7EB0">
      <w:pPr>
        <w:pStyle w:val="Standard"/>
        <w:jc w:val="both"/>
        <w:rPr>
          <w:rFonts w:asciiTheme="minorHAnsi" w:hAnsiTheme="minorHAnsi" w:cstheme="minorHAnsi"/>
          <w:b/>
          <w:bCs/>
          <w:sz w:val="22"/>
          <w:szCs w:val="22"/>
        </w:rPr>
      </w:pPr>
    </w:p>
    <w:p w14:paraId="0B099F98" w14:textId="692F9DAB" w:rsidR="009303AB" w:rsidRPr="00AA0A1C" w:rsidRDefault="009303AB" w:rsidP="004961C8">
      <w:pPr>
        <w:pStyle w:val="Standard"/>
        <w:numPr>
          <w:ilvl w:val="0"/>
          <w:numId w:val="12"/>
        </w:numPr>
        <w:jc w:val="both"/>
        <w:rPr>
          <w:rFonts w:asciiTheme="minorHAnsi" w:hAnsiTheme="minorHAnsi" w:cstheme="minorHAnsi"/>
          <w:b/>
          <w:bCs/>
          <w:sz w:val="22"/>
          <w:szCs w:val="22"/>
        </w:rPr>
      </w:pPr>
      <w:r w:rsidRPr="00AA0A1C">
        <w:rPr>
          <w:rFonts w:asciiTheme="minorHAnsi" w:hAnsiTheme="minorHAnsi" w:cstheme="minorHAnsi"/>
          <w:sz w:val="22"/>
          <w:szCs w:val="22"/>
        </w:rPr>
        <w:t>Maksimalni iznos kredita koji sadrži potporu iz ovog Programa ne prelazi slijedeće iznose:</w:t>
      </w:r>
    </w:p>
    <w:p w14:paraId="5D48C011" w14:textId="343BD571" w:rsidR="00CA73F5" w:rsidRPr="00AA0A1C" w:rsidRDefault="00AA0A1C" w:rsidP="004961C8">
      <w:pPr>
        <w:pStyle w:val="Standard"/>
        <w:numPr>
          <w:ilvl w:val="0"/>
          <w:numId w:val="10"/>
        </w:numPr>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CA73F5" w:rsidRPr="00AA0A1C">
        <w:rPr>
          <w:rFonts w:asciiTheme="minorHAnsi" w:hAnsiTheme="minorHAnsi" w:cstheme="minorHAnsi"/>
          <w:sz w:val="22"/>
          <w:szCs w:val="22"/>
        </w:rPr>
        <w:t xml:space="preserve">dvostruke godišnje rashode za plaće korisnika (uključujući doprinose za socijalno osiguranje i trošak osoblja zaposlenog na lokaciji poduzeća, ali formalno na platnoj listi </w:t>
      </w:r>
      <w:proofErr w:type="spellStart"/>
      <w:r w:rsidR="00CA73F5" w:rsidRPr="00AA0A1C">
        <w:rPr>
          <w:rFonts w:asciiTheme="minorHAnsi" w:hAnsiTheme="minorHAnsi" w:cstheme="minorHAnsi"/>
          <w:sz w:val="22"/>
          <w:szCs w:val="22"/>
        </w:rPr>
        <w:t>podugovaratelja</w:t>
      </w:r>
      <w:proofErr w:type="spellEnd"/>
      <w:r w:rsidR="00CA73F5" w:rsidRPr="00AA0A1C">
        <w:rPr>
          <w:rFonts w:asciiTheme="minorHAnsi" w:hAnsiTheme="minorHAnsi" w:cstheme="minorHAnsi"/>
          <w:sz w:val="22"/>
          <w:szCs w:val="22"/>
        </w:rPr>
        <w:t>) za 2019. ili za zadnju dostupnu godinu. U slučaju poduzeća osnovanih 1. siječnja 2019. ili nakon tog datuma, maksimalni iznos zajma ne smije biti veći od procijenjenih godišnjih rashoda za plaće za prve dvije godine poslovanja</w:t>
      </w:r>
      <w:r w:rsidR="009303AB" w:rsidRPr="00AA0A1C">
        <w:rPr>
          <w:rFonts w:asciiTheme="minorHAnsi" w:hAnsiTheme="minorHAnsi" w:cstheme="minorHAnsi"/>
          <w:sz w:val="22"/>
          <w:szCs w:val="22"/>
        </w:rPr>
        <w:t xml:space="preserve">; ili </w:t>
      </w:r>
    </w:p>
    <w:p w14:paraId="7CD3946A" w14:textId="79CE0E0A" w:rsidR="00CA73F5" w:rsidRDefault="00CA73F5" w:rsidP="004961C8">
      <w:pPr>
        <w:pStyle w:val="Standard"/>
        <w:numPr>
          <w:ilvl w:val="0"/>
          <w:numId w:val="10"/>
        </w:numPr>
        <w:jc w:val="both"/>
        <w:rPr>
          <w:rFonts w:asciiTheme="minorHAnsi" w:hAnsiTheme="minorHAnsi" w:cstheme="minorHAnsi"/>
          <w:sz w:val="22"/>
          <w:szCs w:val="22"/>
        </w:rPr>
      </w:pPr>
      <w:r w:rsidRPr="00AA0A1C">
        <w:rPr>
          <w:rFonts w:asciiTheme="minorHAnsi" w:hAnsiTheme="minorHAnsi" w:cstheme="minorHAnsi"/>
          <w:sz w:val="22"/>
          <w:szCs w:val="22"/>
        </w:rPr>
        <w:t xml:space="preserve">25% ukupnog prihoda u 2019. godini; ili </w:t>
      </w:r>
    </w:p>
    <w:p w14:paraId="1F714293" w14:textId="1D3ACBF9" w:rsidR="00CA73F5" w:rsidRPr="00AA0A1C" w:rsidRDefault="00F830D1" w:rsidP="004961C8">
      <w:pPr>
        <w:pStyle w:val="Standard"/>
        <w:numPr>
          <w:ilvl w:val="0"/>
          <w:numId w:val="10"/>
        </w:numPr>
        <w:jc w:val="both"/>
        <w:rPr>
          <w:rFonts w:asciiTheme="minorHAnsi" w:hAnsiTheme="minorHAnsi" w:cstheme="minorHAnsi"/>
          <w:color w:val="000000"/>
          <w:sz w:val="22"/>
          <w:szCs w:val="22"/>
        </w:rPr>
      </w:pPr>
      <w:r w:rsidRPr="00AA0A1C">
        <w:rPr>
          <w:rFonts w:asciiTheme="minorHAnsi" w:hAnsiTheme="minorHAnsi" w:cstheme="minorHAnsi"/>
          <w:sz w:val="22"/>
          <w:szCs w:val="22"/>
        </w:rPr>
        <w:t>iznos zajma može se povećati da pokrije potrebe za likvidnošću od trenutka dodjele u sljedećih 18 mjeseci za MSP-ove  i u sljedećih 12 mjeseci za velika poduzeća. Potrebe za likvidnošću trebale bi se utvrditi na temelju izjave korisnika</w:t>
      </w:r>
      <w:r w:rsidRPr="00AA0A1C">
        <w:rPr>
          <w:rStyle w:val="FootnoteReference"/>
          <w:rFonts w:asciiTheme="minorHAnsi" w:hAnsiTheme="minorHAnsi" w:cstheme="minorHAnsi"/>
          <w:sz w:val="22"/>
          <w:szCs w:val="22"/>
        </w:rPr>
        <w:footnoteReference w:id="10"/>
      </w:r>
      <w:r w:rsidRPr="00AA0A1C">
        <w:rPr>
          <w:rFonts w:asciiTheme="minorHAnsi" w:hAnsiTheme="minorHAnsi" w:cstheme="minorHAnsi"/>
          <w:sz w:val="22"/>
          <w:szCs w:val="22"/>
        </w:rPr>
        <w:t>.</w:t>
      </w:r>
    </w:p>
    <w:p w14:paraId="53D61E7E" w14:textId="77777777" w:rsidR="00AA0A1C" w:rsidRPr="00AA0A1C" w:rsidRDefault="00AA0A1C" w:rsidP="00AA0A1C">
      <w:pPr>
        <w:pStyle w:val="Standard"/>
        <w:ind w:left="720"/>
        <w:jc w:val="both"/>
        <w:rPr>
          <w:rFonts w:asciiTheme="minorHAnsi" w:hAnsiTheme="minorHAnsi" w:cstheme="minorHAnsi"/>
          <w:color w:val="000000"/>
          <w:sz w:val="22"/>
          <w:szCs w:val="22"/>
        </w:rPr>
      </w:pPr>
    </w:p>
    <w:p w14:paraId="34652D8D" w14:textId="32557343" w:rsidR="006335ED" w:rsidRPr="00AA0A1C" w:rsidRDefault="00ED1FD3" w:rsidP="004961C8">
      <w:pPr>
        <w:pStyle w:val="Standard"/>
        <w:numPr>
          <w:ilvl w:val="0"/>
          <w:numId w:val="12"/>
        </w:numPr>
        <w:jc w:val="both"/>
        <w:rPr>
          <w:rFonts w:asciiTheme="minorHAnsi" w:hAnsiTheme="minorHAnsi" w:cstheme="minorHAnsi"/>
          <w:color w:val="000000"/>
          <w:sz w:val="22"/>
          <w:szCs w:val="22"/>
        </w:rPr>
      </w:pPr>
      <w:r w:rsidRPr="00AA0A1C">
        <w:rPr>
          <w:rFonts w:asciiTheme="minorHAnsi" w:hAnsiTheme="minorHAnsi" w:cstheme="minorHAnsi"/>
          <w:sz w:val="22"/>
          <w:szCs w:val="22"/>
        </w:rPr>
        <w:t>Maksimal</w:t>
      </w:r>
      <w:r w:rsidR="001D448F" w:rsidRPr="00AA0A1C">
        <w:rPr>
          <w:rFonts w:asciiTheme="minorHAnsi" w:hAnsiTheme="minorHAnsi" w:cstheme="minorHAnsi"/>
          <w:sz w:val="22"/>
          <w:szCs w:val="22"/>
        </w:rPr>
        <w:t>a</w:t>
      </w:r>
      <w:r w:rsidRPr="00AA0A1C">
        <w:rPr>
          <w:rFonts w:asciiTheme="minorHAnsi" w:hAnsiTheme="minorHAnsi" w:cstheme="minorHAnsi"/>
          <w:sz w:val="22"/>
          <w:szCs w:val="22"/>
        </w:rPr>
        <w:t>n iznos kredita iz toč</w:t>
      </w:r>
      <w:r w:rsidR="00FB7EB0" w:rsidRPr="00AA0A1C">
        <w:rPr>
          <w:rFonts w:asciiTheme="minorHAnsi" w:hAnsiTheme="minorHAnsi" w:cstheme="minorHAnsi"/>
          <w:sz w:val="22"/>
          <w:szCs w:val="22"/>
        </w:rPr>
        <w:t>.</w:t>
      </w:r>
      <w:r w:rsidRPr="00AA0A1C">
        <w:rPr>
          <w:rFonts w:asciiTheme="minorHAnsi" w:hAnsiTheme="minorHAnsi" w:cstheme="minorHAnsi"/>
          <w:sz w:val="22"/>
          <w:szCs w:val="22"/>
        </w:rPr>
        <w:t>1</w:t>
      </w:r>
      <w:r w:rsidR="006335ED" w:rsidRPr="00AA0A1C">
        <w:rPr>
          <w:rFonts w:asciiTheme="minorHAnsi" w:hAnsiTheme="minorHAnsi" w:cstheme="minorHAnsi"/>
          <w:sz w:val="22"/>
          <w:szCs w:val="22"/>
        </w:rPr>
        <w:t>.</w:t>
      </w:r>
      <w:r w:rsidRPr="00AA0A1C">
        <w:rPr>
          <w:rFonts w:asciiTheme="minorHAnsi" w:hAnsiTheme="minorHAnsi" w:cstheme="minorHAnsi"/>
          <w:sz w:val="22"/>
          <w:szCs w:val="22"/>
        </w:rPr>
        <w:t xml:space="preserve"> ovog članka ni u kojem slučaju ne može iznositi više od</w:t>
      </w:r>
      <w:r w:rsidR="00CF7D48" w:rsidRPr="00AA0A1C">
        <w:rPr>
          <w:rFonts w:asciiTheme="minorHAnsi" w:hAnsiTheme="minorHAnsi" w:cstheme="minorHAnsi"/>
          <w:sz w:val="22"/>
          <w:szCs w:val="22"/>
        </w:rPr>
        <w:t xml:space="preserve"> </w:t>
      </w:r>
      <w:r w:rsidR="28F016C7" w:rsidRPr="00AA0A1C">
        <w:rPr>
          <w:rFonts w:asciiTheme="minorHAnsi" w:hAnsiTheme="minorHAnsi" w:cstheme="minorHAnsi"/>
          <w:sz w:val="22"/>
          <w:szCs w:val="22"/>
        </w:rPr>
        <w:t xml:space="preserve">375 </w:t>
      </w:r>
      <w:r w:rsidR="00191436" w:rsidRPr="00AA0A1C">
        <w:rPr>
          <w:rFonts w:asciiTheme="minorHAnsi" w:hAnsiTheme="minorHAnsi" w:cstheme="minorHAnsi"/>
          <w:sz w:val="22"/>
          <w:szCs w:val="22"/>
        </w:rPr>
        <w:t xml:space="preserve">milijuna  </w:t>
      </w:r>
      <w:r w:rsidR="00C47D13" w:rsidRPr="00AA0A1C">
        <w:rPr>
          <w:rFonts w:asciiTheme="minorHAnsi" w:hAnsiTheme="minorHAnsi" w:cstheme="minorHAnsi"/>
          <w:sz w:val="22"/>
          <w:szCs w:val="22"/>
        </w:rPr>
        <w:t xml:space="preserve">HRK.  </w:t>
      </w:r>
    </w:p>
    <w:p w14:paraId="687590F3" w14:textId="77777777" w:rsidR="006335ED" w:rsidRPr="00AA0A1C" w:rsidRDefault="006335ED" w:rsidP="006335ED">
      <w:pPr>
        <w:pStyle w:val="Standard"/>
        <w:ind w:left="360"/>
        <w:jc w:val="both"/>
        <w:rPr>
          <w:rFonts w:asciiTheme="minorHAnsi" w:hAnsiTheme="minorHAnsi" w:cstheme="minorHAnsi"/>
          <w:color w:val="FF0000"/>
          <w:sz w:val="22"/>
          <w:szCs w:val="22"/>
        </w:rPr>
      </w:pPr>
    </w:p>
    <w:p w14:paraId="25DEF577" w14:textId="77777777" w:rsidR="00F830D1" w:rsidRPr="00AA0A1C" w:rsidRDefault="00F830D1" w:rsidP="006372B3">
      <w:pPr>
        <w:pStyle w:val="Standard"/>
        <w:jc w:val="both"/>
        <w:rPr>
          <w:rFonts w:asciiTheme="minorHAnsi" w:hAnsiTheme="minorHAnsi" w:cstheme="minorHAnsi"/>
          <w:sz w:val="22"/>
          <w:szCs w:val="22"/>
        </w:rPr>
      </w:pPr>
    </w:p>
    <w:p w14:paraId="2D00EF3C" w14:textId="70F2FDD8" w:rsidR="009303AB" w:rsidRPr="00AA0A1C" w:rsidRDefault="009303AB"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 xml:space="preserve">Članak </w:t>
      </w:r>
      <w:r w:rsidR="00F830D1" w:rsidRPr="00AA0A1C">
        <w:rPr>
          <w:rFonts w:asciiTheme="minorHAnsi" w:hAnsiTheme="minorHAnsi" w:cstheme="minorHAnsi"/>
          <w:b/>
          <w:bCs/>
          <w:sz w:val="22"/>
          <w:szCs w:val="22"/>
        </w:rPr>
        <w:t>8</w:t>
      </w:r>
      <w:r w:rsidRPr="00AA0A1C">
        <w:rPr>
          <w:rFonts w:asciiTheme="minorHAnsi" w:hAnsiTheme="minorHAnsi" w:cstheme="minorHAnsi"/>
          <w:b/>
          <w:bCs/>
          <w:sz w:val="22"/>
          <w:szCs w:val="22"/>
        </w:rPr>
        <w:t>.</w:t>
      </w:r>
    </w:p>
    <w:p w14:paraId="3892261E" w14:textId="166CD101" w:rsidR="00F830D1" w:rsidRPr="00AA0A1C" w:rsidRDefault="00CA73F5" w:rsidP="006372B3">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Zbrajanje potpora</w:t>
      </w:r>
    </w:p>
    <w:p w14:paraId="0862C96F" w14:textId="77777777" w:rsidR="00FB7EB0" w:rsidRPr="00AA0A1C" w:rsidRDefault="00FB7EB0" w:rsidP="00FB7EB0">
      <w:pPr>
        <w:pStyle w:val="Standard"/>
        <w:jc w:val="both"/>
        <w:rPr>
          <w:rFonts w:asciiTheme="minorHAnsi" w:hAnsiTheme="minorHAnsi" w:cstheme="minorHAnsi"/>
          <w:sz w:val="22"/>
          <w:szCs w:val="22"/>
        </w:rPr>
      </w:pPr>
    </w:p>
    <w:p w14:paraId="4F1A2181" w14:textId="6D842BD2" w:rsidR="00F830D1" w:rsidRDefault="00F830D1" w:rsidP="004961C8">
      <w:pPr>
        <w:pStyle w:val="Standard"/>
        <w:numPr>
          <w:ilvl w:val="0"/>
          <w:numId w:val="13"/>
        </w:numPr>
        <w:jc w:val="both"/>
        <w:rPr>
          <w:rFonts w:asciiTheme="minorHAnsi" w:hAnsiTheme="minorHAnsi" w:cstheme="minorHAnsi"/>
          <w:sz w:val="22"/>
          <w:szCs w:val="22"/>
        </w:rPr>
      </w:pPr>
      <w:r w:rsidRPr="00AA0A1C">
        <w:rPr>
          <w:rFonts w:asciiTheme="minorHAnsi" w:hAnsiTheme="minorHAnsi" w:cstheme="minorHAnsi"/>
          <w:sz w:val="22"/>
          <w:szCs w:val="22"/>
        </w:rPr>
        <w:t>Sve mjere potpore koje se mogu dodijeliti temeljem ovog Programa</w:t>
      </w:r>
      <w:r w:rsidR="008756C9" w:rsidRPr="00AA0A1C">
        <w:rPr>
          <w:rFonts w:asciiTheme="minorHAnsi" w:hAnsiTheme="minorHAnsi" w:cstheme="minorHAnsi"/>
          <w:sz w:val="22"/>
          <w:szCs w:val="22"/>
        </w:rPr>
        <w:t xml:space="preserve"> </w:t>
      </w:r>
      <w:r w:rsidRPr="00AA0A1C">
        <w:rPr>
          <w:rFonts w:asciiTheme="minorHAnsi" w:hAnsiTheme="minorHAnsi" w:cstheme="minorHAnsi"/>
          <w:sz w:val="22"/>
          <w:szCs w:val="22"/>
        </w:rPr>
        <w:t xml:space="preserve">mogu  se zbrajati s potporom na temelju uredbi o de </w:t>
      </w:r>
      <w:proofErr w:type="spellStart"/>
      <w:r w:rsidRPr="00AA0A1C">
        <w:rPr>
          <w:rFonts w:asciiTheme="minorHAnsi" w:hAnsiTheme="minorHAnsi" w:cstheme="minorHAnsi"/>
          <w:sz w:val="22"/>
          <w:szCs w:val="22"/>
        </w:rPr>
        <w:t>minimis</w:t>
      </w:r>
      <w:proofErr w:type="spellEnd"/>
      <w:r w:rsidRPr="00AA0A1C">
        <w:rPr>
          <w:rFonts w:asciiTheme="minorHAnsi" w:hAnsiTheme="minorHAnsi" w:cstheme="minorHAnsi"/>
          <w:sz w:val="22"/>
          <w:szCs w:val="22"/>
        </w:rPr>
        <w:t xml:space="preserve"> potporama</w:t>
      </w:r>
      <w:r w:rsidR="00D66C5B">
        <w:rPr>
          <w:rStyle w:val="FootnoteReference"/>
          <w:rFonts w:asciiTheme="minorHAnsi" w:hAnsiTheme="minorHAnsi" w:cstheme="minorHAnsi"/>
          <w:sz w:val="22"/>
          <w:szCs w:val="22"/>
        </w:rPr>
        <w:footnoteReference w:id="11"/>
      </w:r>
      <w:r w:rsidRPr="00AA0A1C">
        <w:rPr>
          <w:rFonts w:asciiTheme="minorHAnsi" w:hAnsiTheme="minorHAnsi" w:cstheme="minorHAnsi"/>
          <w:sz w:val="22"/>
          <w:szCs w:val="22"/>
        </w:rPr>
        <w:t xml:space="preserve"> ili s potporom na temelju uredbi o skupnom izuzeću</w:t>
      </w:r>
      <w:r w:rsidR="00D66C5B">
        <w:rPr>
          <w:rStyle w:val="FootnoteReference"/>
          <w:rFonts w:asciiTheme="minorHAnsi" w:hAnsiTheme="minorHAnsi" w:cstheme="minorHAnsi"/>
          <w:sz w:val="22"/>
          <w:szCs w:val="22"/>
        </w:rPr>
        <w:footnoteReference w:id="12"/>
      </w:r>
      <w:r w:rsidRPr="00AA0A1C">
        <w:rPr>
          <w:rFonts w:asciiTheme="minorHAnsi" w:hAnsiTheme="minorHAnsi" w:cstheme="minorHAnsi"/>
          <w:sz w:val="22"/>
          <w:szCs w:val="22"/>
        </w:rPr>
        <w:t>,  ako se poštuju odredbe i pravila o zbrajanju iz tih uredbi.</w:t>
      </w:r>
    </w:p>
    <w:p w14:paraId="02920E94" w14:textId="77777777" w:rsidR="0038237D" w:rsidRDefault="0038237D" w:rsidP="0038237D">
      <w:pPr>
        <w:pStyle w:val="Standard"/>
        <w:ind w:left="360"/>
        <w:jc w:val="both"/>
        <w:rPr>
          <w:rFonts w:asciiTheme="minorHAnsi" w:hAnsiTheme="minorHAnsi" w:cstheme="minorHAnsi"/>
          <w:sz w:val="22"/>
          <w:szCs w:val="22"/>
        </w:rPr>
      </w:pPr>
    </w:p>
    <w:p w14:paraId="7869993B" w14:textId="3845FDD6" w:rsidR="00F830D1" w:rsidRDefault="00F830D1" w:rsidP="004961C8">
      <w:pPr>
        <w:pStyle w:val="Standard"/>
        <w:numPr>
          <w:ilvl w:val="0"/>
          <w:numId w:val="13"/>
        </w:numPr>
        <w:jc w:val="both"/>
        <w:rPr>
          <w:rFonts w:asciiTheme="minorHAnsi" w:hAnsiTheme="minorHAnsi" w:cstheme="minorHAnsi"/>
          <w:sz w:val="22"/>
          <w:szCs w:val="22"/>
        </w:rPr>
      </w:pPr>
      <w:r w:rsidRPr="0038237D">
        <w:rPr>
          <w:rFonts w:asciiTheme="minorHAnsi" w:hAnsiTheme="minorHAnsi" w:cstheme="minorHAnsi"/>
          <w:sz w:val="22"/>
          <w:szCs w:val="22"/>
        </w:rPr>
        <w:t>Potpora dodijeljena u skladu s odjeljkom 3.2. Privremenog okvira ne zbraja se s potporom dodijeljenom za glavnicu istog temeljnog zajma u skladu s odjeljkom 3.3. Privremenog okvira, odnosno u skladu s čl.6. ovog Programa i obrnuto.</w:t>
      </w:r>
    </w:p>
    <w:p w14:paraId="7027CBD0" w14:textId="77777777" w:rsidR="0038237D" w:rsidRDefault="0038237D" w:rsidP="0038237D">
      <w:pPr>
        <w:pStyle w:val="Standard"/>
        <w:ind w:left="360"/>
        <w:jc w:val="both"/>
        <w:rPr>
          <w:rFonts w:asciiTheme="minorHAnsi" w:hAnsiTheme="minorHAnsi" w:cstheme="minorHAnsi"/>
          <w:sz w:val="22"/>
          <w:szCs w:val="22"/>
        </w:rPr>
      </w:pPr>
    </w:p>
    <w:p w14:paraId="14AC3294" w14:textId="41C2EFEF" w:rsidR="00044F09" w:rsidRDefault="00F830D1" w:rsidP="004961C8">
      <w:pPr>
        <w:pStyle w:val="Standard"/>
        <w:numPr>
          <w:ilvl w:val="0"/>
          <w:numId w:val="13"/>
        </w:numPr>
        <w:jc w:val="both"/>
        <w:rPr>
          <w:rFonts w:asciiTheme="minorHAnsi" w:hAnsiTheme="minorHAnsi" w:cstheme="minorHAnsi"/>
          <w:sz w:val="22"/>
          <w:szCs w:val="22"/>
        </w:rPr>
      </w:pPr>
      <w:r w:rsidRPr="0038237D">
        <w:rPr>
          <w:rFonts w:asciiTheme="minorHAnsi" w:hAnsiTheme="minorHAnsi" w:cstheme="minorHAnsi"/>
          <w:sz w:val="22"/>
          <w:szCs w:val="22"/>
        </w:rPr>
        <w:t>Potpore dodijeljene u skladu s odjeljcima 3.2. i 3.3. Privremenog okvira mogu se zbrajati za različite zajmove, ako ukupni iznos zajmova po korisniku ne prelazi maksimalne iznose kredita navedene u čl.</w:t>
      </w:r>
      <w:r w:rsidR="00044F09" w:rsidRPr="0038237D">
        <w:rPr>
          <w:rFonts w:asciiTheme="minorHAnsi" w:hAnsiTheme="minorHAnsi" w:cstheme="minorHAnsi"/>
          <w:sz w:val="22"/>
          <w:szCs w:val="22"/>
        </w:rPr>
        <w:t>7</w:t>
      </w:r>
      <w:r w:rsidRPr="0038237D">
        <w:rPr>
          <w:rFonts w:asciiTheme="minorHAnsi" w:hAnsiTheme="minorHAnsi" w:cstheme="minorHAnsi"/>
          <w:sz w:val="22"/>
          <w:szCs w:val="22"/>
        </w:rPr>
        <w:t xml:space="preserve">. ovog Programa, odnosno u </w:t>
      </w:r>
      <w:proofErr w:type="spellStart"/>
      <w:r w:rsidRPr="0038237D">
        <w:rPr>
          <w:rFonts w:asciiTheme="minorHAnsi" w:hAnsiTheme="minorHAnsi" w:cstheme="minorHAnsi"/>
          <w:sz w:val="22"/>
          <w:szCs w:val="22"/>
        </w:rPr>
        <w:t>toč</w:t>
      </w:r>
      <w:proofErr w:type="spellEnd"/>
      <w:r w:rsidRPr="0038237D">
        <w:rPr>
          <w:rFonts w:asciiTheme="minorHAnsi" w:hAnsiTheme="minorHAnsi" w:cstheme="minorHAnsi"/>
          <w:sz w:val="22"/>
          <w:szCs w:val="22"/>
        </w:rPr>
        <w:t xml:space="preserve">. 25.(d) ili u </w:t>
      </w:r>
      <w:proofErr w:type="spellStart"/>
      <w:r w:rsidRPr="0038237D">
        <w:rPr>
          <w:rFonts w:asciiTheme="minorHAnsi" w:hAnsiTheme="minorHAnsi" w:cstheme="minorHAnsi"/>
          <w:sz w:val="22"/>
          <w:szCs w:val="22"/>
        </w:rPr>
        <w:t>toč</w:t>
      </w:r>
      <w:proofErr w:type="spellEnd"/>
      <w:r w:rsidRPr="0038237D">
        <w:rPr>
          <w:rFonts w:asciiTheme="minorHAnsi" w:hAnsiTheme="minorHAnsi" w:cstheme="minorHAnsi"/>
          <w:sz w:val="22"/>
          <w:szCs w:val="22"/>
        </w:rPr>
        <w:t>. 27</w:t>
      </w:r>
      <w:r w:rsidR="006372B3" w:rsidRPr="0038237D">
        <w:rPr>
          <w:rFonts w:asciiTheme="minorHAnsi" w:hAnsiTheme="minorHAnsi" w:cstheme="minorHAnsi"/>
          <w:sz w:val="22"/>
          <w:szCs w:val="22"/>
        </w:rPr>
        <w:t xml:space="preserve">. </w:t>
      </w:r>
      <w:r w:rsidRPr="0038237D">
        <w:rPr>
          <w:rFonts w:asciiTheme="minorHAnsi" w:hAnsiTheme="minorHAnsi" w:cstheme="minorHAnsi"/>
          <w:sz w:val="22"/>
          <w:szCs w:val="22"/>
        </w:rPr>
        <w:t xml:space="preserve">(d) Privremenog okvira. </w:t>
      </w:r>
    </w:p>
    <w:p w14:paraId="6E7B89F3" w14:textId="77777777" w:rsidR="0038237D" w:rsidRDefault="0038237D" w:rsidP="0038237D">
      <w:pPr>
        <w:pStyle w:val="Standard"/>
        <w:ind w:left="360"/>
        <w:jc w:val="both"/>
        <w:rPr>
          <w:rFonts w:asciiTheme="minorHAnsi" w:hAnsiTheme="minorHAnsi" w:cstheme="minorHAnsi"/>
          <w:sz w:val="22"/>
          <w:szCs w:val="22"/>
        </w:rPr>
      </w:pPr>
    </w:p>
    <w:p w14:paraId="56E92C3E" w14:textId="14681F39" w:rsidR="00BF7FD7" w:rsidRPr="0038237D" w:rsidRDefault="00F830D1" w:rsidP="004961C8">
      <w:pPr>
        <w:pStyle w:val="Standard"/>
        <w:numPr>
          <w:ilvl w:val="0"/>
          <w:numId w:val="13"/>
        </w:numPr>
        <w:jc w:val="both"/>
        <w:rPr>
          <w:rFonts w:asciiTheme="minorHAnsi" w:hAnsiTheme="minorHAnsi" w:cstheme="minorHAnsi"/>
          <w:sz w:val="22"/>
          <w:szCs w:val="22"/>
        </w:rPr>
      </w:pPr>
      <w:r w:rsidRPr="0038237D">
        <w:rPr>
          <w:rFonts w:asciiTheme="minorHAnsi" w:hAnsiTheme="minorHAnsi" w:cstheme="minorHAnsi"/>
          <w:sz w:val="22"/>
          <w:szCs w:val="22"/>
        </w:rPr>
        <w:lastRenderedPageBreak/>
        <w:t>Maksimalni iznosi potpore (kredita) iz čl.</w:t>
      </w:r>
      <w:r w:rsidR="00044F09" w:rsidRPr="0038237D">
        <w:rPr>
          <w:rFonts w:asciiTheme="minorHAnsi" w:hAnsiTheme="minorHAnsi" w:cstheme="minorHAnsi"/>
          <w:sz w:val="22"/>
          <w:szCs w:val="22"/>
        </w:rPr>
        <w:t>7</w:t>
      </w:r>
      <w:r w:rsidRPr="0038237D">
        <w:rPr>
          <w:rFonts w:asciiTheme="minorHAnsi" w:hAnsiTheme="minorHAnsi" w:cstheme="minorHAnsi"/>
          <w:sz w:val="22"/>
          <w:szCs w:val="22"/>
        </w:rPr>
        <w:t>. ovog Programa, odnosno toč.25.(d) ili 27.d) Privremenog okvira, primjenjuju se i u slučajevima kada korisnici potpore temeljem čl.</w:t>
      </w:r>
      <w:r w:rsidR="00044F09" w:rsidRPr="0038237D">
        <w:rPr>
          <w:rFonts w:asciiTheme="minorHAnsi" w:hAnsiTheme="minorHAnsi" w:cstheme="minorHAnsi"/>
          <w:sz w:val="22"/>
          <w:szCs w:val="22"/>
        </w:rPr>
        <w:t>4</w:t>
      </w:r>
      <w:r w:rsidRPr="0038237D">
        <w:rPr>
          <w:rFonts w:asciiTheme="minorHAnsi" w:hAnsiTheme="minorHAnsi" w:cstheme="minorHAnsi"/>
          <w:sz w:val="22"/>
          <w:szCs w:val="22"/>
        </w:rPr>
        <w:t>. ovog Programa, odnosno odjeljka 3.3. Privremenog okvira  koriste i potporu iz čl.</w:t>
      </w:r>
      <w:r w:rsidR="00044F09" w:rsidRPr="0038237D">
        <w:rPr>
          <w:rFonts w:asciiTheme="minorHAnsi" w:hAnsiTheme="minorHAnsi" w:cstheme="minorHAnsi"/>
          <w:sz w:val="22"/>
          <w:szCs w:val="22"/>
        </w:rPr>
        <w:t>6</w:t>
      </w:r>
      <w:r w:rsidRPr="0038237D">
        <w:rPr>
          <w:rFonts w:asciiTheme="minorHAnsi" w:hAnsiTheme="minorHAnsi" w:cstheme="minorHAnsi"/>
          <w:sz w:val="22"/>
          <w:szCs w:val="22"/>
        </w:rPr>
        <w:t>. ovog Programa u obliku subvencije kamatne stope iz odjeljka 3.1. Privremenog okvira, kao i potpore temeljem Privremenog okvira iz drugih izvora</w:t>
      </w:r>
      <w:r w:rsidR="0038237D">
        <w:rPr>
          <w:rFonts w:asciiTheme="minorHAnsi" w:hAnsiTheme="minorHAnsi" w:cstheme="minorHAnsi"/>
          <w:sz w:val="22"/>
          <w:szCs w:val="22"/>
        </w:rPr>
        <w:t>.</w:t>
      </w:r>
    </w:p>
    <w:p w14:paraId="062F3267" w14:textId="5BAD5895" w:rsidR="0038237D" w:rsidRDefault="0038237D" w:rsidP="0038237D">
      <w:pPr>
        <w:pStyle w:val="Standard"/>
        <w:jc w:val="both"/>
        <w:rPr>
          <w:rFonts w:asciiTheme="minorHAnsi" w:hAnsiTheme="minorHAnsi" w:cstheme="minorHAnsi"/>
          <w:sz w:val="22"/>
          <w:szCs w:val="22"/>
        </w:rPr>
      </w:pPr>
    </w:p>
    <w:p w14:paraId="13AC2CF2" w14:textId="77777777" w:rsidR="0038237D" w:rsidRPr="00A9283D" w:rsidRDefault="0038237D" w:rsidP="0038237D">
      <w:pPr>
        <w:pStyle w:val="Standard"/>
        <w:jc w:val="both"/>
        <w:rPr>
          <w:rFonts w:asciiTheme="minorHAnsi" w:hAnsiTheme="minorHAnsi" w:cstheme="minorHAnsi"/>
          <w:sz w:val="22"/>
          <w:szCs w:val="22"/>
        </w:rPr>
      </w:pPr>
    </w:p>
    <w:p w14:paraId="4EBB3442" w14:textId="6D36549D" w:rsidR="007D5F83" w:rsidRPr="00AA0A1C" w:rsidRDefault="007D5F83"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 xml:space="preserve">Članak </w:t>
      </w:r>
      <w:r w:rsidR="008756C9" w:rsidRPr="00AA0A1C">
        <w:rPr>
          <w:rFonts w:asciiTheme="minorHAnsi" w:hAnsiTheme="minorHAnsi" w:cstheme="minorHAnsi"/>
          <w:b/>
          <w:bCs/>
          <w:sz w:val="22"/>
          <w:szCs w:val="22"/>
        </w:rPr>
        <w:t>9</w:t>
      </w:r>
      <w:r w:rsidR="00CA2119">
        <w:rPr>
          <w:rFonts w:asciiTheme="minorHAnsi" w:hAnsiTheme="minorHAnsi" w:cstheme="minorHAnsi"/>
          <w:b/>
          <w:bCs/>
          <w:sz w:val="22"/>
          <w:szCs w:val="22"/>
        </w:rPr>
        <w:t>.</w:t>
      </w:r>
    </w:p>
    <w:p w14:paraId="05611595" w14:textId="6496ED85" w:rsidR="009303AB" w:rsidRPr="00AA0A1C" w:rsidRDefault="00150F36" w:rsidP="00346149">
      <w:pPr>
        <w:pStyle w:val="Standard"/>
        <w:jc w:val="center"/>
        <w:rPr>
          <w:rFonts w:asciiTheme="minorHAnsi" w:hAnsiTheme="minorHAnsi" w:cstheme="minorHAnsi"/>
          <w:color w:val="6666FF"/>
          <w:sz w:val="22"/>
          <w:szCs w:val="22"/>
        </w:rPr>
      </w:pPr>
      <w:r w:rsidRPr="00AA0A1C">
        <w:rPr>
          <w:rFonts w:asciiTheme="minorHAnsi" w:hAnsiTheme="minorHAnsi" w:cstheme="minorHAnsi"/>
          <w:b/>
          <w:bCs/>
          <w:i/>
          <w:iCs/>
          <w:sz w:val="22"/>
          <w:szCs w:val="22"/>
        </w:rPr>
        <w:t xml:space="preserve">Čuvanje podataka </w:t>
      </w:r>
      <w:r w:rsidR="007D5F83" w:rsidRPr="00AA0A1C">
        <w:rPr>
          <w:rFonts w:asciiTheme="minorHAnsi" w:hAnsiTheme="minorHAnsi" w:cstheme="minorHAnsi"/>
          <w:b/>
          <w:bCs/>
          <w:i/>
          <w:iCs/>
          <w:sz w:val="22"/>
          <w:szCs w:val="22"/>
        </w:rPr>
        <w:t>i izvještavanje</w:t>
      </w:r>
    </w:p>
    <w:p w14:paraId="4B4F77C4" w14:textId="77777777" w:rsidR="007D5F83" w:rsidRPr="00AA0A1C" w:rsidRDefault="007D5F83" w:rsidP="009303AB">
      <w:pPr>
        <w:pStyle w:val="Standard"/>
        <w:jc w:val="both"/>
        <w:rPr>
          <w:rFonts w:asciiTheme="minorHAnsi" w:hAnsiTheme="minorHAnsi" w:cstheme="minorHAnsi"/>
          <w:color w:val="FF3333"/>
          <w:sz w:val="22"/>
          <w:szCs w:val="22"/>
        </w:rPr>
      </w:pPr>
    </w:p>
    <w:p w14:paraId="4836FCC5" w14:textId="2E66E341" w:rsidR="007D5F83" w:rsidRPr="00AA0A1C" w:rsidRDefault="00150F36" w:rsidP="004961C8">
      <w:pPr>
        <w:pStyle w:val="Standard"/>
        <w:numPr>
          <w:ilvl w:val="0"/>
          <w:numId w:val="4"/>
        </w:numPr>
        <w:jc w:val="both"/>
        <w:rPr>
          <w:rFonts w:asciiTheme="minorHAnsi" w:hAnsiTheme="minorHAnsi" w:cstheme="minorHAnsi"/>
          <w:sz w:val="22"/>
          <w:szCs w:val="22"/>
        </w:rPr>
      </w:pPr>
      <w:r w:rsidRPr="00AA0A1C">
        <w:rPr>
          <w:rFonts w:asciiTheme="minorHAnsi" w:hAnsiTheme="minorHAnsi" w:cstheme="minorHAnsi"/>
          <w:sz w:val="22"/>
          <w:szCs w:val="22"/>
        </w:rPr>
        <w:t>HBOR će</w:t>
      </w:r>
      <w:r w:rsidR="007D5F83" w:rsidRPr="00AA0A1C">
        <w:rPr>
          <w:rFonts w:asciiTheme="minorHAnsi" w:hAnsiTheme="minorHAnsi" w:cstheme="minorHAnsi"/>
          <w:sz w:val="22"/>
          <w:szCs w:val="22"/>
        </w:rPr>
        <w:t xml:space="preserve"> objaviti relevantne informacije o svakoj pojedinačnoj potpori odobrenoj u skladu s ov</w:t>
      </w:r>
      <w:r w:rsidRPr="00AA0A1C">
        <w:rPr>
          <w:rFonts w:asciiTheme="minorHAnsi" w:hAnsiTheme="minorHAnsi" w:cstheme="minorHAnsi"/>
          <w:sz w:val="22"/>
          <w:szCs w:val="22"/>
        </w:rPr>
        <w:t>im Programom</w:t>
      </w:r>
      <w:r w:rsidR="007D5F83" w:rsidRPr="00AA0A1C">
        <w:rPr>
          <w:rFonts w:asciiTheme="minorHAnsi" w:hAnsiTheme="minorHAnsi" w:cstheme="minorHAnsi"/>
          <w:sz w:val="22"/>
          <w:szCs w:val="22"/>
        </w:rPr>
        <w:t xml:space="preserve"> na internetskim stranicama o državnim potporama u roku od 12 mjeseci od trenutka dodjele. </w:t>
      </w:r>
    </w:p>
    <w:p w14:paraId="1065E264" w14:textId="77777777" w:rsidR="007D5F83" w:rsidRPr="00AA0A1C" w:rsidRDefault="007D5F83" w:rsidP="00150F36">
      <w:pPr>
        <w:pStyle w:val="Standard"/>
        <w:ind w:left="360"/>
        <w:jc w:val="both"/>
        <w:rPr>
          <w:rFonts w:asciiTheme="minorHAnsi" w:hAnsiTheme="minorHAnsi" w:cstheme="minorHAnsi"/>
          <w:sz w:val="22"/>
          <w:szCs w:val="22"/>
        </w:rPr>
      </w:pPr>
    </w:p>
    <w:p w14:paraId="504B4D1B" w14:textId="2F192BF0" w:rsidR="007D5F83" w:rsidRPr="00AA0A1C" w:rsidRDefault="00150F36" w:rsidP="004961C8">
      <w:pPr>
        <w:pStyle w:val="Standard"/>
        <w:numPr>
          <w:ilvl w:val="0"/>
          <w:numId w:val="4"/>
        </w:numPr>
        <w:jc w:val="both"/>
        <w:rPr>
          <w:rFonts w:asciiTheme="minorHAnsi" w:hAnsiTheme="minorHAnsi" w:cstheme="minorHAnsi"/>
          <w:sz w:val="22"/>
          <w:szCs w:val="22"/>
        </w:rPr>
      </w:pPr>
      <w:r w:rsidRPr="00AA0A1C">
        <w:rPr>
          <w:rFonts w:asciiTheme="minorHAnsi" w:hAnsiTheme="minorHAnsi" w:cstheme="minorHAnsi"/>
          <w:sz w:val="22"/>
          <w:szCs w:val="22"/>
        </w:rPr>
        <w:t>HBOR je</w:t>
      </w:r>
      <w:r w:rsidR="007D5F83" w:rsidRPr="00AA0A1C">
        <w:rPr>
          <w:rFonts w:asciiTheme="minorHAnsi" w:hAnsiTheme="minorHAnsi" w:cstheme="minorHAnsi"/>
          <w:sz w:val="22"/>
          <w:szCs w:val="22"/>
        </w:rPr>
        <w:t xml:space="preserve"> duž</w:t>
      </w:r>
      <w:r w:rsidRPr="00AA0A1C">
        <w:rPr>
          <w:rFonts w:asciiTheme="minorHAnsi" w:hAnsiTheme="minorHAnsi" w:cstheme="minorHAnsi"/>
          <w:sz w:val="22"/>
          <w:szCs w:val="22"/>
        </w:rPr>
        <w:t>a</w:t>
      </w:r>
      <w:r w:rsidR="007D5F83" w:rsidRPr="00AA0A1C">
        <w:rPr>
          <w:rFonts w:asciiTheme="minorHAnsi" w:hAnsiTheme="minorHAnsi" w:cstheme="minorHAnsi"/>
          <w:sz w:val="22"/>
          <w:szCs w:val="22"/>
        </w:rPr>
        <w:t>n Komisiji dostavljati godišnja izvješća</w:t>
      </w:r>
      <w:r w:rsidRPr="00AA0A1C">
        <w:rPr>
          <w:rFonts w:asciiTheme="minorHAnsi" w:hAnsiTheme="minorHAnsi" w:cstheme="minorHAnsi"/>
          <w:sz w:val="22"/>
          <w:szCs w:val="22"/>
        </w:rPr>
        <w:t xml:space="preserve"> o provedbi mjere.</w:t>
      </w:r>
    </w:p>
    <w:p w14:paraId="08817501" w14:textId="77777777" w:rsidR="007D5F83" w:rsidRPr="00AA0A1C" w:rsidRDefault="007D5F83" w:rsidP="00150F36">
      <w:pPr>
        <w:pStyle w:val="Standard"/>
        <w:ind w:left="360"/>
        <w:jc w:val="both"/>
        <w:rPr>
          <w:rFonts w:asciiTheme="minorHAnsi" w:hAnsiTheme="minorHAnsi" w:cstheme="minorHAnsi"/>
          <w:sz w:val="22"/>
          <w:szCs w:val="22"/>
        </w:rPr>
      </w:pPr>
    </w:p>
    <w:p w14:paraId="0653772A" w14:textId="1692CA03" w:rsidR="007D5F83" w:rsidRPr="00AA0A1C" w:rsidRDefault="00150F36" w:rsidP="004961C8">
      <w:pPr>
        <w:pStyle w:val="Standard"/>
        <w:numPr>
          <w:ilvl w:val="0"/>
          <w:numId w:val="4"/>
        </w:numPr>
        <w:jc w:val="both"/>
        <w:rPr>
          <w:rFonts w:asciiTheme="minorHAnsi" w:hAnsiTheme="minorHAnsi" w:cstheme="minorHAnsi"/>
          <w:sz w:val="22"/>
          <w:szCs w:val="22"/>
        </w:rPr>
      </w:pPr>
      <w:r w:rsidRPr="00AA0A1C">
        <w:rPr>
          <w:rFonts w:asciiTheme="minorHAnsi" w:hAnsiTheme="minorHAnsi" w:cstheme="minorHAnsi"/>
          <w:sz w:val="22"/>
          <w:szCs w:val="22"/>
        </w:rPr>
        <w:t xml:space="preserve">Države članice </w:t>
      </w:r>
      <w:r w:rsidR="007D5F83" w:rsidRPr="00AA0A1C">
        <w:rPr>
          <w:rFonts w:asciiTheme="minorHAnsi" w:hAnsiTheme="minorHAnsi" w:cstheme="minorHAnsi"/>
          <w:sz w:val="22"/>
          <w:szCs w:val="22"/>
        </w:rPr>
        <w:t xml:space="preserve">dužne su do 31. prosinca 2020. Komisiji dostaviti popis mjera uvedenih na temelju programa odobrenih na temelju ove Komunikacije. </w:t>
      </w:r>
    </w:p>
    <w:p w14:paraId="2323A797" w14:textId="77777777" w:rsidR="007D5F83" w:rsidRPr="00AA0A1C" w:rsidRDefault="007D5F83" w:rsidP="00150F36">
      <w:pPr>
        <w:pStyle w:val="Standard"/>
        <w:ind w:left="360"/>
        <w:jc w:val="both"/>
        <w:rPr>
          <w:rFonts w:asciiTheme="minorHAnsi" w:hAnsiTheme="minorHAnsi" w:cstheme="minorHAnsi"/>
          <w:sz w:val="22"/>
          <w:szCs w:val="22"/>
        </w:rPr>
      </w:pPr>
    </w:p>
    <w:p w14:paraId="09B50974" w14:textId="0F8A8DE7" w:rsidR="009303AB" w:rsidRPr="00AA0A1C" w:rsidRDefault="00150F36" w:rsidP="004961C8">
      <w:pPr>
        <w:pStyle w:val="Standard"/>
        <w:numPr>
          <w:ilvl w:val="0"/>
          <w:numId w:val="4"/>
        </w:numPr>
        <w:jc w:val="both"/>
        <w:rPr>
          <w:rFonts w:asciiTheme="minorHAnsi" w:hAnsiTheme="minorHAnsi" w:cstheme="minorHAnsi"/>
          <w:sz w:val="22"/>
          <w:szCs w:val="22"/>
        </w:rPr>
      </w:pPr>
      <w:r w:rsidRPr="00AA0A1C">
        <w:rPr>
          <w:rFonts w:asciiTheme="minorHAnsi" w:hAnsiTheme="minorHAnsi" w:cstheme="minorHAnsi"/>
          <w:sz w:val="22"/>
          <w:szCs w:val="22"/>
        </w:rPr>
        <w:t>HBOR je dužan</w:t>
      </w:r>
      <w:r w:rsidR="007D5F83" w:rsidRPr="00AA0A1C">
        <w:rPr>
          <w:rFonts w:asciiTheme="minorHAnsi" w:hAnsiTheme="minorHAnsi" w:cstheme="minorHAnsi"/>
          <w:sz w:val="22"/>
          <w:szCs w:val="22"/>
        </w:rPr>
        <w:t xml:space="preserve"> osigurati vođenje detaljne evidencije o dodjeli potpora predviđenih ovom Komunikacijom. Takve se evidencije, koje moraju sadržavati sve informacije potrebne kako bi se utvrdilo da su ispunjeni potrebni uvjeti, </w:t>
      </w:r>
      <w:r w:rsidRPr="00AA0A1C">
        <w:rPr>
          <w:rFonts w:asciiTheme="minorHAnsi" w:hAnsiTheme="minorHAnsi" w:cstheme="minorHAnsi"/>
          <w:sz w:val="22"/>
          <w:szCs w:val="22"/>
        </w:rPr>
        <w:t>HBOR će</w:t>
      </w:r>
      <w:r w:rsidR="007D5F83" w:rsidRPr="00AA0A1C">
        <w:rPr>
          <w:rFonts w:asciiTheme="minorHAnsi" w:hAnsiTheme="minorHAnsi" w:cstheme="minorHAnsi"/>
          <w:sz w:val="22"/>
          <w:szCs w:val="22"/>
        </w:rPr>
        <w:t xml:space="preserve"> čuvati 10 godina nakon dodjele potpore i na zahtjev dostaviti Komisiji.</w:t>
      </w:r>
    </w:p>
    <w:p w14:paraId="4791AEBE" w14:textId="3AE98531" w:rsidR="007D5F83" w:rsidRPr="00AA0A1C" w:rsidRDefault="007D5F83" w:rsidP="00150F36">
      <w:pPr>
        <w:pStyle w:val="Standard"/>
        <w:ind w:left="360"/>
        <w:jc w:val="both"/>
        <w:rPr>
          <w:rFonts w:asciiTheme="minorHAnsi" w:hAnsiTheme="minorHAnsi" w:cstheme="minorHAnsi"/>
          <w:sz w:val="22"/>
          <w:szCs w:val="22"/>
        </w:rPr>
      </w:pPr>
    </w:p>
    <w:p w14:paraId="2BA77E4C" w14:textId="25E8E41E" w:rsidR="00AA0A1C" w:rsidRDefault="007D5F83" w:rsidP="004961C8">
      <w:pPr>
        <w:pStyle w:val="Standard"/>
        <w:numPr>
          <w:ilvl w:val="0"/>
          <w:numId w:val="4"/>
        </w:numPr>
        <w:jc w:val="both"/>
        <w:rPr>
          <w:rFonts w:asciiTheme="minorHAnsi" w:hAnsiTheme="minorHAnsi" w:cstheme="minorHAnsi"/>
          <w:sz w:val="22"/>
          <w:szCs w:val="22"/>
        </w:rPr>
      </w:pPr>
      <w:r w:rsidRPr="00AA0A1C">
        <w:rPr>
          <w:rFonts w:asciiTheme="minorHAnsi" w:hAnsiTheme="minorHAnsi" w:cstheme="minorHAnsi"/>
          <w:sz w:val="22"/>
          <w:szCs w:val="22"/>
        </w:rPr>
        <w:t>Komisija može zatražiti dodatne informacije o dodijeljenim potporama kako bi provjerila jesu li se poštovali uvjeti utvrđeni u odluci Komisije kojom je odobrila potporu.</w:t>
      </w:r>
    </w:p>
    <w:p w14:paraId="6D34AE48" w14:textId="190EECCE" w:rsidR="00452C72" w:rsidRDefault="00452C72" w:rsidP="0038237D">
      <w:pPr>
        <w:pStyle w:val="Standard"/>
        <w:jc w:val="both"/>
        <w:rPr>
          <w:rFonts w:asciiTheme="minorHAnsi" w:hAnsiTheme="minorHAnsi" w:cstheme="minorHAnsi"/>
          <w:sz w:val="22"/>
          <w:szCs w:val="22"/>
        </w:rPr>
      </w:pPr>
    </w:p>
    <w:p w14:paraId="6C9F5CFF" w14:textId="77777777" w:rsidR="00452C72" w:rsidRPr="00CA2119" w:rsidRDefault="00452C72" w:rsidP="00452C72">
      <w:pPr>
        <w:pStyle w:val="Standard"/>
        <w:ind w:left="360"/>
        <w:jc w:val="both"/>
        <w:rPr>
          <w:rFonts w:asciiTheme="minorHAnsi" w:hAnsiTheme="minorHAnsi" w:cstheme="minorHAnsi"/>
          <w:sz w:val="22"/>
          <w:szCs w:val="22"/>
        </w:rPr>
      </w:pPr>
    </w:p>
    <w:p w14:paraId="114C4115" w14:textId="0D22E521" w:rsidR="009303AB" w:rsidRPr="00AA0A1C" w:rsidRDefault="009303AB" w:rsidP="009303AB">
      <w:pPr>
        <w:pStyle w:val="Standard"/>
        <w:jc w:val="center"/>
        <w:rPr>
          <w:rFonts w:asciiTheme="minorHAnsi" w:hAnsiTheme="minorHAnsi" w:cstheme="minorHAnsi"/>
          <w:b/>
          <w:bCs/>
          <w:sz w:val="22"/>
          <w:szCs w:val="22"/>
        </w:rPr>
      </w:pPr>
      <w:r w:rsidRPr="00AA0A1C">
        <w:rPr>
          <w:rFonts w:asciiTheme="minorHAnsi" w:hAnsiTheme="minorHAnsi" w:cstheme="minorHAnsi"/>
          <w:b/>
          <w:bCs/>
          <w:sz w:val="22"/>
          <w:szCs w:val="22"/>
        </w:rPr>
        <w:t xml:space="preserve">Članak </w:t>
      </w:r>
      <w:r w:rsidR="008756C9" w:rsidRPr="00AA0A1C">
        <w:rPr>
          <w:rFonts w:asciiTheme="minorHAnsi" w:hAnsiTheme="minorHAnsi" w:cstheme="minorHAnsi"/>
          <w:b/>
          <w:bCs/>
          <w:sz w:val="22"/>
          <w:szCs w:val="22"/>
        </w:rPr>
        <w:t>10</w:t>
      </w:r>
      <w:r w:rsidRPr="00AA0A1C">
        <w:rPr>
          <w:rFonts w:asciiTheme="minorHAnsi" w:hAnsiTheme="minorHAnsi" w:cstheme="minorHAnsi"/>
          <w:b/>
          <w:bCs/>
          <w:sz w:val="22"/>
          <w:szCs w:val="22"/>
        </w:rPr>
        <w:t>.</w:t>
      </w:r>
    </w:p>
    <w:p w14:paraId="35698431" w14:textId="77777777" w:rsidR="009303AB" w:rsidRPr="00AA0A1C" w:rsidRDefault="009303AB" w:rsidP="009303AB">
      <w:pPr>
        <w:pStyle w:val="Standard"/>
        <w:jc w:val="center"/>
        <w:rPr>
          <w:rFonts w:asciiTheme="minorHAnsi" w:hAnsiTheme="minorHAnsi" w:cstheme="minorHAnsi"/>
          <w:b/>
          <w:bCs/>
          <w:i/>
          <w:iCs/>
          <w:sz w:val="22"/>
          <w:szCs w:val="22"/>
        </w:rPr>
      </w:pPr>
      <w:r w:rsidRPr="00AA0A1C">
        <w:rPr>
          <w:rFonts w:asciiTheme="minorHAnsi" w:hAnsiTheme="minorHAnsi" w:cstheme="minorHAnsi"/>
          <w:b/>
          <w:bCs/>
          <w:i/>
          <w:iCs/>
          <w:sz w:val="22"/>
          <w:szCs w:val="22"/>
        </w:rPr>
        <w:t>Stupanje na snagu</w:t>
      </w:r>
    </w:p>
    <w:p w14:paraId="2C01232B" w14:textId="77777777" w:rsidR="009303AB" w:rsidRPr="00AA0A1C" w:rsidRDefault="009303AB" w:rsidP="009303AB">
      <w:pPr>
        <w:pStyle w:val="Standard"/>
        <w:jc w:val="both"/>
        <w:rPr>
          <w:rFonts w:asciiTheme="minorHAnsi" w:hAnsiTheme="minorHAnsi" w:cstheme="minorHAnsi"/>
          <w:sz w:val="22"/>
          <w:szCs w:val="22"/>
        </w:rPr>
      </w:pPr>
    </w:p>
    <w:p w14:paraId="791F48BE" w14:textId="51A56031" w:rsidR="00CA73F5" w:rsidRPr="00AA0A1C" w:rsidRDefault="009303AB" w:rsidP="004961C8">
      <w:pPr>
        <w:pStyle w:val="Standard"/>
        <w:numPr>
          <w:ilvl w:val="0"/>
          <w:numId w:val="3"/>
        </w:numPr>
        <w:jc w:val="both"/>
        <w:rPr>
          <w:rFonts w:asciiTheme="minorHAnsi" w:hAnsiTheme="minorHAnsi" w:cstheme="minorHAnsi"/>
          <w:sz w:val="22"/>
          <w:szCs w:val="22"/>
        </w:rPr>
      </w:pPr>
      <w:r w:rsidRPr="00AA0A1C">
        <w:rPr>
          <w:rFonts w:asciiTheme="minorHAnsi" w:hAnsiTheme="minorHAnsi" w:cstheme="minorHAnsi"/>
          <w:sz w:val="22"/>
          <w:szCs w:val="22"/>
        </w:rPr>
        <w:t>Ovaj Program stupa na snagu i počinje se primjenjivati po ishođenju odobrenja, odnosno mišljenja o usklađenosti  Europske komisije</w:t>
      </w:r>
      <w:r w:rsidR="00CA73F5" w:rsidRPr="00AA0A1C">
        <w:rPr>
          <w:rFonts w:asciiTheme="minorHAnsi" w:hAnsiTheme="minorHAnsi" w:cstheme="minorHAnsi"/>
          <w:sz w:val="22"/>
          <w:szCs w:val="22"/>
        </w:rPr>
        <w:t>, te usvajanj</w:t>
      </w:r>
      <w:r w:rsidR="00A9283D">
        <w:rPr>
          <w:rFonts w:asciiTheme="minorHAnsi" w:hAnsiTheme="minorHAnsi" w:cstheme="minorHAnsi"/>
          <w:sz w:val="22"/>
          <w:szCs w:val="22"/>
        </w:rPr>
        <w:t>u</w:t>
      </w:r>
      <w:r w:rsidR="00CA73F5" w:rsidRPr="00AA0A1C">
        <w:rPr>
          <w:rFonts w:asciiTheme="minorHAnsi" w:hAnsiTheme="minorHAnsi" w:cstheme="minorHAnsi"/>
          <w:sz w:val="22"/>
          <w:szCs w:val="22"/>
        </w:rPr>
        <w:t xml:space="preserve"> od strane Uprave HBOR-a.</w:t>
      </w:r>
    </w:p>
    <w:p w14:paraId="097DEF23" w14:textId="77777777" w:rsidR="00CA73F5" w:rsidRPr="00AA0A1C" w:rsidRDefault="00CA73F5" w:rsidP="00CA73F5">
      <w:pPr>
        <w:pStyle w:val="Standard"/>
        <w:ind w:left="360"/>
        <w:jc w:val="both"/>
        <w:rPr>
          <w:rFonts w:asciiTheme="minorHAnsi" w:hAnsiTheme="minorHAnsi" w:cstheme="minorHAnsi"/>
          <w:sz w:val="22"/>
          <w:szCs w:val="22"/>
        </w:rPr>
      </w:pPr>
    </w:p>
    <w:p w14:paraId="4DCD883F" w14:textId="507FF62D" w:rsidR="009303AB" w:rsidRPr="00AA0A1C" w:rsidRDefault="00CA73F5" w:rsidP="004961C8">
      <w:pPr>
        <w:pStyle w:val="Standard"/>
        <w:numPr>
          <w:ilvl w:val="0"/>
          <w:numId w:val="3"/>
        </w:numPr>
        <w:jc w:val="both"/>
        <w:rPr>
          <w:rFonts w:asciiTheme="minorHAnsi" w:hAnsiTheme="minorHAnsi" w:cstheme="minorHAnsi"/>
          <w:sz w:val="22"/>
          <w:szCs w:val="22"/>
        </w:rPr>
      </w:pPr>
      <w:r w:rsidRPr="00AA0A1C">
        <w:rPr>
          <w:rFonts w:asciiTheme="minorHAnsi" w:hAnsiTheme="minorHAnsi" w:cstheme="minorHAnsi"/>
          <w:sz w:val="22"/>
          <w:szCs w:val="22"/>
        </w:rPr>
        <w:t>Ov</w:t>
      </w:r>
      <w:r w:rsidR="009303AB" w:rsidRPr="00AA0A1C">
        <w:rPr>
          <w:rFonts w:asciiTheme="minorHAnsi" w:hAnsiTheme="minorHAnsi" w:cstheme="minorHAnsi"/>
          <w:sz w:val="22"/>
          <w:szCs w:val="22"/>
        </w:rPr>
        <w:t>aj Program primjenjivati će se do 3</w:t>
      </w:r>
      <w:r w:rsidR="00BE4372">
        <w:rPr>
          <w:rFonts w:asciiTheme="minorHAnsi" w:hAnsiTheme="minorHAnsi" w:cstheme="minorHAnsi"/>
          <w:sz w:val="22"/>
          <w:szCs w:val="22"/>
        </w:rPr>
        <w:t>0</w:t>
      </w:r>
      <w:r w:rsidR="009303AB" w:rsidRPr="00AA0A1C">
        <w:rPr>
          <w:rFonts w:asciiTheme="minorHAnsi" w:hAnsiTheme="minorHAnsi" w:cstheme="minorHAnsi"/>
          <w:sz w:val="22"/>
          <w:szCs w:val="22"/>
        </w:rPr>
        <w:t xml:space="preserve">. </w:t>
      </w:r>
      <w:r w:rsidR="00BE4372">
        <w:rPr>
          <w:rFonts w:asciiTheme="minorHAnsi" w:hAnsiTheme="minorHAnsi" w:cstheme="minorHAnsi"/>
          <w:sz w:val="22"/>
          <w:szCs w:val="22"/>
        </w:rPr>
        <w:t>lipnja</w:t>
      </w:r>
      <w:r w:rsidR="009303AB" w:rsidRPr="00AA0A1C">
        <w:rPr>
          <w:rFonts w:asciiTheme="minorHAnsi" w:hAnsiTheme="minorHAnsi" w:cstheme="minorHAnsi"/>
          <w:sz w:val="22"/>
          <w:szCs w:val="22"/>
        </w:rPr>
        <w:t xml:space="preserve"> 202</w:t>
      </w:r>
      <w:r w:rsidR="00BE4372">
        <w:rPr>
          <w:rFonts w:asciiTheme="minorHAnsi" w:hAnsiTheme="minorHAnsi" w:cstheme="minorHAnsi"/>
          <w:sz w:val="22"/>
          <w:szCs w:val="22"/>
        </w:rPr>
        <w:t>1</w:t>
      </w:r>
      <w:r w:rsidR="009303AB" w:rsidRPr="00AA0A1C">
        <w:rPr>
          <w:rFonts w:asciiTheme="minorHAnsi" w:hAnsiTheme="minorHAnsi" w:cstheme="minorHAnsi"/>
          <w:sz w:val="22"/>
          <w:szCs w:val="22"/>
        </w:rPr>
        <w:t>. godine.</w:t>
      </w:r>
    </w:p>
    <w:p w14:paraId="72E7A82A" w14:textId="77777777" w:rsidR="00ED1FD3" w:rsidRPr="00AA0A1C" w:rsidRDefault="00ED1FD3" w:rsidP="00ED1FD3">
      <w:pPr>
        <w:pStyle w:val="Standard"/>
        <w:jc w:val="both"/>
        <w:rPr>
          <w:rFonts w:asciiTheme="minorHAnsi" w:hAnsiTheme="minorHAnsi" w:cstheme="minorHAnsi"/>
          <w:sz w:val="22"/>
          <w:szCs w:val="22"/>
        </w:rPr>
      </w:pPr>
    </w:p>
    <w:p w14:paraId="07712B20" w14:textId="108831C0" w:rsidR="00ED1FD3" w:rsidRPr="00AA0A1C" w:rsidRDefault="00ED1FD3" w:rsidP="004961C8">
      <w:pPr>
        <w:pStyle w:val="Standard"/>
        <w:numPr>
          <w:ilvl w:val="0"/>
          <w:numId w:val="3"/>
        </w:numPr>
        <w:jc w:val="both"/>
        <w:rPr>
          <w:rFonts w:asciiTheme="minorHAnsi" w:hAnsiTheme="minorHAnsi" w:cstheme="minorHAnsi"/>
          <w:sz w:val="22"/>
          <w:szCs w:val="22"/>
        </w:rPr>
      </w:pPr>
      <w:r w:rsidRPr="00AA0A1C">
        <w:rPr>
          <w:rFonts w:asciiTheme="minorHAnsi" w:hAnsiTheme="minorHAnsi" w:cstheme="minorHAnsi"/>
          <w:sz w:val="22"/>
          <w:szCs w:val="22"/>
        </w:rPr>
        <w:t xml:space="preserve">Korisnici mogu podnositi zahtjeve za potporom od trenutka stupanja na snagu Programa do </w:t>
      </w:r>
      <w:r w:rsidR="00F63AD3" w:rsidRPr="00AA0A1C">
        <w:rPr>
          <w:rFonts w:asciiTheme="minorHAnsi" w:hAnsiTheme="minorHAnsi" w:cstheme="minorHAnsi"/>
          <w:sz w:val="22"/>
          <w:szCs w:val="22"/>
        </w:rPr>
        <w:t>kraja važenja Programa, pod uvjetom da se ugovori o kreditu potpišu do 3</w:t>
      </w:r>
      <w:r w:rsidR="00BE4372">
        <w:rPr>
          <w:rFonts w:asciiTheme="minorHAnsi" w:hAnsiTheme="minorHAnsi" w:cstheme="minorHAnsi"/>
          <w:sz w:val="22"/>
          <w:szCs w:val="22"/>
        </w:rPr>
        <w:t>0</w:t>
      </w:r>
      <w:r w:rsidRPr="00AA0A1C">
        <w:rPr>
          <w:rFonts w:asciiTheme="minorHAnsi" w:hAnsiTheme="minorHAnsi" w:cstheme="minorHAnsi"/>
          <w:sz w:val="22"/>
          <w:szCs w:val="22"/>
        </w:rPr>
        <w:t xml:space="preserve">. </w:t>
      </w:r>
      <w:r w:rsidR="00BE4372">
        <w:rPr>
          <w:rFonts w:asciiTheme="minorHAnsi" w:hAnsiTheme="minorHAnsi" w:cstheme="minorHAnsi"/>
          <w:sz w:val="22"/>
          <w:szCs w:val="22"/>
        </w:rPr>
        <w:t>lipnja</w:t>
      </w:r>
      <w:r w:rsidRPr="00AA0A1C">
        <w:rPr>
          <w:rFonts w:asciiTheme="minorHAnsi" w:hAnsiTheme="minorHAnsi" w:cstheme="minorHAnsi"/>
          <w:sz w:val="22"/>
          <w:szCs w:val="22"/>
        </w:rPr>
        <w:t xml:space="preserve"> 202</w:t>
      </w:r>
      <w:r w:rsidR="00BE4372">
        <w:rPr>
          <w:rFonts w:asciiTheme="minorHAnsi" w:hAnsiTheme="minorHAnsi" w:cstheme="minorHAnsi"/>
          <w:sz w:val="22"/>
          <w:szCs w:val="22"/>
        </w:rPr>
        <w:t>1</w:t>
      </w:r>
      <w:r w:rsidRPr="00AA0A1C">
        <w:rPr>
          <w:rFonts w:asciiTheme="minorHAnsi" w:hAnsiTheme="minorHAnsi" w:cstheme="minorHAnsi"/>
          <w:sz w:val="22"/>
          <w:szCs w:val="22"/>
        </w:rPr>
        <w:t xml:space="preserve">. </w:t>
      </w:r>
      <w:r w:rsidR="00451830" w:rsidRPr="00AA0A1C">
        <w:rPr>
          <w:rFonts w:asciiTheme="minorHAnsi" w:hAnsiTheme="minorHAnsi" w:cstheme="minorHAnsi"/>
          <w:sz w:val="22"/>
          <w:szCs w:val="22"/>
        </w:rPr>
        <w:t>g</w:t>
      </w:r>
      <w:r w:rsidRPr="00AA0A1C">
        <w:rPr>
          <w:rFonts w:asciiTheme="minorHAnsi" w:hAnsiTheme="minorHAnsi" w:cstheme="minorHAnsi"/>
          <w:sz w:val="22"/>
          <w:szCs w:val="22"/>
        </w:rPr>
        <w:t>odine.</w:t>
      </w:r>
    </w:p>
    <w:p w14:paraId="4D6D702E" w14:textId="77777777" w:rsidR="00A44D18" w:rsidRPr="00AA0A1C" w:rsidRDefault="00A44D18" w:rsidP="004B7F1F">
      <w:pPr>
        <w:pStyle w:val="Standard"/>
        <w:jc w:val="both"/>
        <w:rPr>
          <w:rFonts w:asciiTheme="minorHAnsi" w:hAnsiTheme="minorHAnsi" w:cstheme="minorHAnsi"/>
          <w:sz w:val="22"/>
          <w:szCs w:val="22"/>
        </w:rPr>
      </w:pPr>
    </w:p>
    <w:p w14:paraId="1D6C63FD" w14:textId="35D5C90B" w:rsidR="2B8EF0ED" w:rsidRPr="00AA0A1C" w:rsidRDefault="2B8EF0ED" w:rsidP="004961C8">
      <w:pPr>
        <w:pStyle w:val="Standard"/>
        <w:numPr>
          <w:ilvl w:val="0"/>
          <w:numId w:val="3"/>
        </w:numPr>
        <w:jc w:val="both"/>
        <w:rPr>
          <w:rFonts w:asciiTheme="minorHAnsi" w:hAnsiTheme="minorHAnsi" w:cstheme="minorHAnsi"/>
          <w:sz w:val="22"/>
          <w:szCs w:val="22"/>
        </w:rPr>
      </w:pPr>
      <w:r w:rsidRPr="00AA0A1C">
        <w:rPr>
          <w:rFonts w:asciiTheme="minorHAnsi" w:hAnsiTheme="minorHAnsi" w:cstheme="minorHAnsi"/>
          <w:sz w:val="22"/>
          <w:szCs w:val="22"/>
        </w:rPr>
        <w:t>HBOR će poštovati tzv. “</w:t>
      </w:r>
      <w:proofErr w:type="spellStart"/>
      <w:r w:rsidRPr="00AA0A1C">
        <w:rPr>
          <w:rFonts w:asciiTheme="minorHAnsi" w:hAnsiTheme="minorHAnsi" w:cstheme="minorHAnsi"/>
          <w:sz w:val="22"/>
          <w:szCs w:val="22"/>
        </w:rPr>
        <w:t>stand</w:t>
      </w:r>
      <w:proofErr w:type="spellEnd"/>
      <w:r w:rsidRPr="00AA0A1C">
        <w:rPr>
          <w:rFonts w:asciiTheme="minorHAnsi" w:hAnsiTheme="minorHAnsi" w:cstheme="minorHAnsi"/>
          <w:sz w:val="22"/>
          <w:szCs w:val="22"/>
        </w:rPr>
        <w:t xml:space="preserve"> </w:t>
      </w:r>
      <w:proofErr w:type="spellStart"/>
      <w:r w:rsidRPr="00AA0A1C">
        <w:rPr>
          <w:rFonts w:asciiTheme="minorHAnsi" w:hAnsiTheme="minorHAnsi" w:cstheme="minorHAnsi"/>
          <w:sz w:val="22"/>
          <w:szCs w:val="22"/>
        </w:rPr>
        <w:t>still</w:t>
      </w:r>
      <w:proofErr w:type="spellEnd"/>
      <w:r w:rsidRPr="00AA0A1C">
        <w:rPr>
          <w:rFonts w:asciiTheme="minorHAnsi" w:hAnsiTheme="minorHAnsi" w:cstheme="minorHAnsi"/>
          <w:sz w:val="22"/>
          <w:szCs w:val="22"/>
        </w:rPr>
        <w:t xml:space="preserve"> </w:t>
      </w:r>
      <w:proofErr w:type="spellStart"/>
      <w:r w:rsidRPr="00AA0A1C">
        <w:rPr>
          <w:rFonts w:asciiTheme="minorHAnsi" w:hAnsiTheme="minorHAnsi" w:cstheme="minorHAnsi"/>
          <w:sz w:val="22"/>
          <w:szCs w:val="22"/>
        </w:rPr>
        <w:t>clause</w:t>
      </w:r>
      <w:proofErr w:type="spellEnd"/>
      <w:r w:rsidRPr="00AA0A1C">
        <w:rPr>
          <w:rFonts w:asciiTheme="minorHAnsi" w:hAnsiTheme="minorHAnsi" w:cstheme="minorHAnsi"/>
          <w:sz w:val="22"/>
          <w:szCs w:val="22"/>
        </w:rPr>
        <w:t>“, odnosno neće dodjeljivati potporu temeljem ovog Programa prije dobivanja suglasnosti, odnosno odobrenja Europske komisije.</w:t>
      </w:r>
    </w:p>
    <w:p w14:paraId="76AFB093" w14:textId="7EE98481" w:rsidR="179972C5" w:rsidRPr="00AA0A1C" w:rsidRDefault="179972C5" w:rsidP="179972C5">
      <w:pPr>
        <w:pStyle w:val="Standard"/>
        <w:jc w:val="both"/>
        <w:rPr>
          <w:rFonts w:asciiTheme="minorHAnsi" w:hAnsiTheme="minorHAnsi" w:cstheme="minorHAnsi"/>
          <w:sz w:val="22"/>
          <w:szCs w:val="22"/>
        </w:rPr>
      </w:pPr>
    </w:p>
    <w:p w14:paraId="60F0C11C" w14:textId="77777777" w:rsidR="009303AB" w:rsidRPr="00AA0A1C" w:rsidRDefault="009303AB" w:rsidP="009303AB">
      <w:pPr>
        <w:pStyle w:val="Standard"/>
        <w:jc w:val="both"/>
        <w:rPr>
          <w:rFonts w:asciiTheme="minorHAnsi" w:hAnsiTheme="minorHAnsi" w:cstheme="minorHAnsi"/>
          <w:sz w:val="22"/>
          <w:szCs w:val="22"/>
        </w:rPr>
      </w:pPr>
    </w:p>
    <w:p w14:paraId="0F2D426A" w14:textId="77777777" w:rsidR="009303AB" w:rsidRPr="00AA0A1C" w:rsidRDefault="009303AB" w:rsidP="009303AB">
      <w:pPr>
        <w:pStyle w:val="Standard"/>
        <w:jc w:val="both"/>
        <w:rPr>
          <w:rFonts w:asciiTheme="minorHAnsi" w:hAnsiTheme="minorHAnsi" w:cstheme="minorHAnsi"/>
          <w:sz w:val="22"/>
          <w:szCs w:val="22"/>
        </w:rPr>
      </w:pPr>
    </w:p>
    <w:p w14:paraId="56599DEB" w14:textId="77777777" w:rsidR="009303AB" w:rsidRPr="00AA0A1C" w:rsidRDefault="009303AB" w:rsidP="009303AB">
      <w:pPr>
        <w:pStyle w:val="Standard"/>
        <w:jc w:val="both"/>
        <w:rPr>
          <w:rFonts w:asciiTheme="minorHAnsi" w:hAnsiTheme="minorHAnsi" w:cstheme="minorHAnsi"/>
          <w:sz w:val="22"/>
          <w:szCs w:val="22"/>
        </w:rPr>
      </w:pPr>
    </w:p>
    <w:p w14:paraId="240733A3" w14:textId="4354B40E" w:rsidR="007C6508" w:rsidRPr="00AA0A1C" w:rsidRDefault="007C6508" w:rsidP="007C6508">
      <w:pPr>
        <w:rPr>
          <w:rFonts w:asciiTheme="minorHAnsi" w:hAnsiTheme="minorHAnsi" w:cstheme="minorHAnsi"/>
          <w:lang w:eastAsia="zh-CN"/>
        </w:rPr>
      </w:pPr>
    </w:p>
    <w:p w14:paraId="238C4DA3" w14:textId="588B23CE" w:rsidR="007C6508" w:rsidRPr="00AA0A1C" w:rsidRDefault="007C6508" w:rsidP="007C6508">
      <w:pPr>
        <w:rPr>
          <w:rFonts w:asciiTheme="minorHAnsi" w:hAnsiTheme="minorHAnsi" w:cstheme="minorHAnsi"/>
          <w:lang w:eastAsia="zh-CN"/>
        </w:rPr>
      </w:pPr>
    </w:p>
    <w:p w14:paraId="6CE97B83" w14:textId="77777777" w:rsidR="007C6508" w:rsidRPr="007C6508" w:rsidRDefault="007C6508" w:rsidP="007C6508">
      <w:pPr>
        <w:jc w:val="right"/>
        <w:rPr>
          <w:lang w:eastAsia="zh-CN"/>
        </w:rPr>
      </w:pPr>
    </w:p>
    <w:sectPr w:rsidR="007C6508" w:rsidRPr="007C6508" w:rsidSect="00346149">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A7B0" w14:textId="77777777" w:rsidR="00B96D92" w:rsidRDefault="00B96D92" w:rsidP="00777FEB">
      <w:pPr>
        <w:spacing w:after="0" w:line="240" w:lineRule="auto"/>
      </w:pPr>
      <w:r>
        <w:separator/>
      </w:r>
    </w:p>
  </w:endnote>
  <w:endnote w:type="continuationSeparator" w:id="0">
    <w:p w14:paraId="7157114F" w14:textId="77777777" w:rsidR="00B96D92" w:rsidRDefault="00B96D92" w:rsidP="00777FEB">
      <w:pPr>
        <w:spacing w:after="0" w:line="240" w:lineRule="auto"/>
      </w:pPr>
      <w:r>
        <w:continuationSeparator/>
      </w:r>
    </w:p>
  </w:endnote>
  <w:endnote w:type="continuationNotice" w:id="1">
    <w:p w14:paraId="1721C3D3" w14:textId="77777777" w:rsidR="00B96D92" w:rsidRDefault="00B96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837861"/>
      <w:docPartObj>
        <w:docPartGallery w:val="Page Numbers (Bottom of Page)"/>
        <w:docPartUnique/>
      </w:docPartObj>
    </w:sdtPr>
    <w:sdtEndPr>
      <w:rPr>
        <w:noProof/>
      </w:rPr>
    </w:sdtEndPr>
    <w:sdtContent>
      <w:p w14:paraId="49D7C2B8" w14:textId="7A3DA7BA" w:rsidR="00EB459B" w:rsidRDefault="00EB45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BC093" w14:textId="77777777" w:rsidR="00CA2119" w:rsidRDefault="00CA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5E787" w14:textId="2D76BA6B" w:rsidR="00CA2119" w:rsidRDefault="00CA2119">
    <w:pPr>
      <w:pStyle w:val="Footer"/>
      <w:jc w:val="right"/>
    </w:pPr>
  </w:p>
  <w:p w14:paraId="71D9BE5F" w14:textId="77777777" w:rsidR="00CA2119" w:rsidRDefault="00CA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E455" w14:textId="77777777" w:rsidR="00B96D92" w:rsidRDefault="00B96D92" w:rsidP="00777FEB">
      <w:pPr>
        <w:spacing w:after="0" w:line="240" w:lineRule="auto"/>
      </w:pPr>
      <w:r>
        <w:separator/>
      </w:r>
    </w:p>
  </w:footnote>
  <w:footnote w:type="continuationSeparator" w:id="0">
    <w:p w14:paraId="5BD17FDD" w14:textId="77777777" w:rsidR="00B96D92" w:rsidRDefault="00B96D92" w:rsidP="00777FEB">
      <w:pPr>
        <w:spacing w:after="0" w:line="240" w:lineRule="auto"/>
      </w:pPr>
      <w:r>
        <w:continuationSeparator/>
      </w:r>
    </w:p>
  </w:footnote>
  <w:footnote w:type="continuationNotice" w:id="1">
    <w:p w14:paraId="5113A973" w14:textId="77777777" w:rsidR="00B96D92" w:rsidRDefault="00B96D92">
      <w:pPr>
        <w:spacing w:after="0" w:line="240" w:lineRule="auto"/>
      </w:pPr>
    </w:p>
  </w:footnote>
  <w:footnote w:id="2">
    <w:p w14:paraId="6F81663D" w14:textId="55CA6D8A" w:rsidR="00CA2119" w:rsidRPr="00452C72" w:rsidRDefault="00CA2119" w:rsidP="00271A58">
      <w:pPr>
        <w:jc w:val="both"/>
        <w:rPr>
          <w:rFonts w:asciiTheme="minorHAnsi" w:eastAsia="SimSun" w:hAnsiTheme="minorHAnsi" w:cstheme="minorHAnsi"/>
          <w:kern w:val="3"/>
          <w:sz w:val="20"/>
          <w:szCs w:val="20"/>
          <w:lang w:eastAsia="zh-CN" w:bidi="hi-IN"/>
        </w:rPr>
      </w:pPr>
      <w:r w:rsidRPr="00452C72">
        <w:rPr>
          <w:rStyle w:val="FootnoteReference"/>
          <w:rFonts w:asciiTheme="minorHAnsi" w:hAnsiTheme="minorHAnsi" w:cstheme="minorHAnsi"/>
          <w:sz w:val="20"/>
          <w:szCs w:val="20"/>
        </w:rPr>
        <w:footnoteRef/>
      </w:r>
      <w:r w:rsidRPr="00452C72">
        <w:rPr>
          <w:rFonts w:asciiTheme="minorHAnsi" w:hAnsiTheme="minorHAnsi" w:cstheme="minorHAnsi"/>
          <w:sz w:val="20"/>
          <w:szCs w:val="20"/>
        </w:rPr>
        <w:t xml:space="preserve"> </w:t>
      </w:r>
      <w:r w:rsidR="00452C72" w:rsidRPr="00452C72">
        <w:rPr>
          <w:rFonts w:asciiTheme="minorHAnsi" w:eastAsia="SimSun" w:hAnsiTheme="minorHAnsi" w:cstheme="minorHAnsi"/>
          <w:kern w:val="3"/>
          <w:sz w:val="20"/>
          <w:szCs w:val="20"/>
          <w:lang w:eastAsia="zh-CN" w:bidi="hi-IN"/>
        </w:rPr>
        <w:t xml:space="preserve">Zaključno sa Četvrtom izmjenom privremenog okvira za mjere državne potpore u svrhu podrške gospodarstvu u aktualnoj pandemiji COVID-a 19 i izmjena Priloga Komunikaciji Komisije državama članicama o primjeni članaka 107. i 108. Ugovora o funkcioniranju Europske unije na kratkoročno osiguranje izvoznih kredita (SL C 340, 13.10.2020.). </w:t>
      </w:r>
    </w:p>
  </w:footnote>
  <w:footnote w:id="3">
    <w:p w14:paraId="43F75A82" w14:textId="0EBCE65A" w:rsidR="00CA2119" w:rsidRPr="00452C72" w:rsidRDefault="00CA2119" w:rsidP="00271A58">
      <w:pPr>
        <w:pStyle w:val="FootnoteText"/>
        <w:jc w:val="both"/>
        <w:rPr>
          <w:rFonts w:asciiTheme="minorHAnsi" w:hAnsiTheme="minorHAnsi" w:cstheme="minorHAnsi"/>
          <w:szCs w:val="20"/>
        </w:rPr>
      </w:pPr>
      <w:r w:rsidRPr="00452C72">
        <w:rPr>
          <w:rStyle w:val="FootnoteReference"/>
          <w:rFonts w:asciiTheme="minorHAnsi" w:hAnsiTheme="minorHAnsi" w:cstheme="minorHAnsi"/>
          <w:szCs w:val="20"/>
        </w:rPr>
        <w:footnoteRef/>
      </w:r>
      <w:r w:rsidRPr="00452C72">
        <w:rPr>
          <w:rFonts w:asciiTheme="minorHAnsi" w:hAnsiTheme="minorHAnsi" w:cstheme="minorHAnsi"/>
          <w:szCs w:val="20"/>
        </w:rPr>
        <w:t xml:space="preserve"> </w:t>
      </w:r>
      <w:bookmarkStart w:id="2" w:name="_Hlk54005537"/>
      <w:r w:rsidRPr="00452C72">
        <w:rPr>
          <w:rFonts w:asciiTheme="minorHAnsi" w:hAnsiTheme="minorHAnsi" w:cstheme="minorHAnsi"/>
          <w:szCs w:val="20"/>
        </w:rPr>
        <w:t xml:space="preserve">Uredba Komisije (EU) br. 651/2014 od 17. lipnja 2014. </w:t>
      </w:r>
      <w:bookmarkEnd w:id="2"/>
    </w:p>
  </w:footnote>
  <w:footnote w:id="4">
    <w:p w14:paraId="0CBED9D3" w14:textId="77777777" w:rsidR="00CA2119" w:rsidRPr="00452C72" w:rsidRDefault="00CA2119" w:rsidP="00271A58">
      <w:pPr>
        <w:pStyle w:val="FootnoteText"/>
        <w:jc w:val="both"/>
        <w:rPr>
          <w:rFonts w:asciiTheme="minorHAnsi" w:hAnsiTheme="minorHAnsi" w:cstheme="minorHAnsi"/>
          <w:szCs w:val="20"/>
        </w:rPr>
      </w:pPr>
      <w:r w:rsidRPr="00452C72">
        <w:rPr>
          <w:rStyle w:val="FootnoteReference"/>
          <w:rFonts w:asciiTheme="minorHAnsi" w:hAnsiTheme="minorHAnsi" w:cstheme="minorHAnsi"/>
          <w:szCs w:val="20"/>
        </w:rPr>
        <w:footnoteRef/>
      </w:r>
      <w:r w:rsidRPr="00452C72">
        <w:rPr>
          <w:rFonts w:asciiTheme="minorHAnsi" w:hAnsiTheme="minorHAnsi" w:cstheme="minorHAnsi"/>
          <w:szCs w:val="20"/>
        </w:rPr>
        <w:t xml:space="preserve"> Kao druga mogućnost, ako su primili potporu za sanaciju, nadoknadili zajam ili okončali jamstvo u trenutku dodjele potpore u skladu s ovom Komunikacijom.</w:t>
      </w:r>
    </w:p>
  </w:footnote>
  <w:footnote w:id="5">
    <w:p w14:paraId="10B736DE" w14:textId="77777777" w:rsidR="00CA2119" w:rsidRDefault="00CA2119" w:rsidP="00271A58">
      <w:pPr>
        <w:pStyle w:val="FootnoteText"/>
        <w:jc w:val="both"/>
      </w:pPr>
      <w:r w:rsidRPr="00452C72">
        <w:rPr>
          <w:rStyle w:val="FootnoteReference"/>
          <w:rFonts w:asciiTheme="minorHAnsi" w:hAnsiTheme="minorHAnsi" w:cstheme="minorHAnsi"/>
          <w:szCs w:val="20"/>
        </w:rPr>
        <w:footnoteRef/>
      </w:r>
      <w:r w:rsidRPr="00452C72">
        <w:rPr>
          <w:rFonts w:asciiTheme="minorHAnsi" w:hAnsiTheme="minorHAnsi" w:cstheme="minorHAnsi"/>
          <w:szCs w:val="20"/>
        </w:rPr>
        <w:t xml:space="preserve"> Kao druga mogućnost, ako su primili potporu za restrukturiranje, više nisu podložni planu restrukturiranja u trenutku dodjele potpore u skladu s ovom Komunikacijom.</w:t>
      </w:r>
    </w:p>
  </w:footnote>
  <w:footnote w:id="6">
    <w:p w14:paraId="32A65A79" w14:textId="6F591B26" w:rsidR="00CA2119" w:rsidRPr="00452C72" w:rsidRDefault="00CA2119" w:rsidP="00346149">
      <w:pPr>
        <w:pStyle w:val="FootnoteText"/>
        <w:jc w:val="both"/>
        <w:rPr>
          <w:rFonts w:asciiTheme="minorHAnsi" w:hAnsiTheme="minorHAnsi" w:cstheme="minorHAnsi"/>
        </w:rPr>
      </w:pPr>
      <w:r w:rsidRPr="00452C72">
        <w:rPr>
          <w:rStyle w:val="FootnoteReference"/>
          <w:rFonts w:asciiTheme="minorHAnsi" w:hAnsiTheme="minorHAnsi" w:cstheme="minorHAnsi"/>
        </w:rPr>
        <w:footnoteRef/>
      </w:r>
      <w:r w:rsidRPr="00452C72">
        <w:rPr>
          <w:rFonts w:asciiTheme="minorHAnsi" w:hAnsiTheme="minorHAnsi" w:cstheme="minorHAnsi"/>
        </w:rPr>
        <w:t xml:space="preserve"> Kako je definirano u članku 2. stavcima 6. i 7. Uredbe Komisije (EU) br. 702/2014 od 25. lipnja 2014. o proglašenju određenih kategorija potpora u sektoru poljoprivrede i šumarstva te u ruralnim područjima spojivima s unutarnjim tržištem u primjeni članaka 107. i 108. Ugovora o funkcioniranju Europske unije, SL L 193, 1.7.2014., str. 1.</w:t>
      </w:r>
    </w:p>
  </w:footnote>
  <w:footnote w:id="7">
    <w:p w14:paraId="41683742" w14:textId="587DDB76" w:rsidR="00CA2119" w:rsidRPr="00452C72" w:rsidRDefault="00CA2119" w:rsidP="00346149">
      <w:pPr>
        <w:pStyle w:val="FootnoteText"/>
        <w:jc w:val="both"/>
        <w:rPr>
          <w:rFonts w:asciiTheme="minorHAnsi" w:hAnsiTheme="minorHAnsi" w:cstheme="minorHAnsi"/>
        </w:rPr>
      </w:pPr>
      <w:r w:rsidRPr="00452C72">
        <w:rPr>
          <w:rStyle w:val="FootnoteReference"/>
          <w:rFonts w:asciiTheme="minorHAnsi" w:hAnsiTheme="minorHAnsi" w:cstheme="minorHAnsi"/>
        </w:rPr>
        <w:footnoteRef/>
      </w:r>
      <w:r w:rsidRPr="00452C72">
        <w:rPr>
          <w:rFonts w:asciiTheme="minorHAnsi" w:hAnsiTheme="minorHAnsi" w:cstheme="minorHAnsi"/>
        </w:rPr>
        <w:t xml:space="preserve"> Kako je definirano u članku 2. stavku 1. Uredbe Komisije (EU) br. 717/2014 оd 27. lipnja 2014. o primjeni članaka 107. i 108. Ugovora o funkcioniranju Europske unije na de minimis potpore u sektoru ribarstva i akvakulture, SL L 190, 28.6.2014., str. 45.</w:t>
      </w:r>
    </w:p>
  </w:footnote>
  <w:footnote w:id="8">
    <w:p w14:paraId="50C93B6A" w14:textId="6EEA21E7" w:rsidR="00CA2119" w:rsidRPr="00452C72" w:rsidRDefault="00CA2119">
      <w:pPr>
        <w:pStyle w:val="FootnoteText"/>
        <w:rPr>
          <w:rFonts w:asciiTheme="minorHAnsi" w:hAnsiTheme="minorHAnsi" w:cstheme="minorHAnsi"/>
        </w:rPr>
      </w:pPr>
      <w:r w:rsidRPr="00452C72">
        <w:rPr>
          <w:rStyle w:val="FootnoteReference"/>
          <w:rFonts w:asciiTheme="minorHAnsi" w:hAnsiTheme="minorHAnsi" w:cstheme="minorHAnsi"/>
        </w:rPr>
        <w:footnoteRef/>
      </w:r>
      <w:r w:rsidRPr="00452C72">
        <w:rPr>
          <w:rFonts w:asciiTheme="minorHAnsi" w:hAnsiTheme="minorHAnsi" w:cstheme="minorHAnsi"/>
        </w:rPr>
        <w:t xml:space="preserve"> Svi proizvodi navedeni u Prilogu I. UFEU-u uz iznimku proizvoda iz sektora ribarstva i akvakulture.</w:t>
      </w:r>
    </w:p>
  </w:footnote>
  <w:footnote w:id="9">
    <w:p w14:paraId="2685F48D" w14:textId="304C2036" w:rsidR="00CA2119" w:rsidRDefault="00CA2119" w:rsidP="00452C72">
      <w:pPr>
        <w:pStyle w:val="FootnoteText"/>
        <w:jc w:val="both"/>
      </w:pPr>
      <w:r w:rsidRPr="00452C72">
        <w:rPr>
          <w:rStyle w:val="FootnoteReference"/>
          <w:rFonts w:asciiTheme="minorHAnsi" w:hAnsiTheme="minorHAnsi" w:cstheme="minorHAnsi"/>
        </w:rPr>
        <w:footnoteRef/>
      </w:r>
      <w:r w:rsidRPr="00452C72">
        <w:rPr>
          <w:rFonts w:asciiTheme="minorHAnsi" w:hAnsiTheme="minorHAnsi" w:cstheme="minorHAnsi"/>
        </w:rPr>
        <w:t xml:space="preserve"> Uredba Komisije (EU) br. 717/2014 оd 27. lipnja 2014. o primjeni članaka 107. i 108. UFEU na de minimis</w:t>
      </w:r>
      <w:r w:rsidR="00452C72">
        <w:rPr>
          <w:rFonts w:asciiTheme="minorHAnsi" w:hAnsiTheme="minorHAnsi" w:cstheme="minorHAnsi"/>
        </w:rPr>
        <w:t xml:space="preserve">  </w:t>
      </w:r>
      <w:r w:rsidRPr="00452C72">
        <w:rPr>
          <w:rFonts w:asciiTheme="minorHAnsi" w:hAnsiTheme="minorHAnsi" w:cstheme="minorHAnsi"/>
        </w:rPr>
        <w:t>potpore u sektoru ribarstva i akvakulture, SL L 90, 28.6.2014., str. 45.</w:t>
      </w:r>
    </w:p>
  </w:footnote>
  <w:footnote w:id="10">
    <w:p w14:paraId="29D90007" w14:textId="75667785" w:rsidR="00CA2119" w:rsidRDefault="00CA2119">
      <w:pPr>
        <w:pStyle w:val="FootnoteText"/>
      </w:pPr>
      <w:r>
        <w:rPr>
          <w:rStyle w:val="FootnoteReference"/>
        </w:rPr>
        <w:footnoteRef/>
      </w:r>
      <w:r>
        <w:t xml:space="preserve"> </w:t>
      </w:r>
      <w:r w:rsidRPr="00452C72">
        <w:rPr>
          <w:rFonts w:asciiTheme="minorHAnsi" w:hAnsiTheme="minorHAnsi" w:cstheme="minorHAnsi"/>
        </w:rPr>
        <w:t>Plan likvidnosti može uključivati i obrtni kapital i troškove ulaganja</w:t>
      </w:r>
      <w:r w:rsidRPr="00F830D1">
        <w:t>.</w:t>
      </w:r>
    </w:p>
  </w:footnote>
  <w:footnote w:id="11">
    <w:p w14:paraId="30D78A5E" w14:textId="193F2DD7" w:rsidR="00D66C5B" w:rsidRPr="00D66C5B" w:rsidRDefault="00D66C5B" w:rsidP="00D66C5B">
      <w:pPr>
        <w:pStyle w:val="FootnoteText"/>
        <w:jc w:val="both"/>
        <w:rPr>
          <w:rFonts w:asciiTheme="minorHAnsi" w:hAnsiTheme="minorHAnsi" w:cstheme="minorHAnsi"/>
        </w:rPr>
      </w:pPr>
      <w:r w:rsidRPr="00D66C5B">
        <w:rPr>
          <w:rStyle w:val="FootnoteReference"/>
          <w:rFonts w:asciiTheme="minorHAnsi" w:hAnsiTheme="minorHAnsi" w:cstheme="minorHAnsi"/>
        </w:rPr>
        <w:footnoteRef/>
      </w:r>
      <w:r w:rsidRPr="00D66C5B">
        <w:rPr>
          <w:rFonts w:asciiTheme="minorHAnsi" w:hAnsiTheme="minorHAnsi" w:cstheme="minorHAnsi"/>
        </w:rPr>
        <w:t xml:space="preserve"> Uredba Komisije (EU) br. 1407/2013 od 18. prosinca 2013. o primjeni članaka 107. i 108. Ugovora o funkcioniranju Europske unije na de minimis potpore (SL L 352, 24.12.2013., str. 1.), Uredba Komisije (EU) br. 1408/2013 od 18. prosinca 2013. o primjeni članaka 107. i 108. Ugovora o funkcioniranju Europske unije na potpore de minimis u poljoprivrednom sektoru (SL L 352, 24.12.2013., str. 9.), Uredba Komisije (EU) br. 717/2014 od 27. lipnja 2014. o primjeni članaka 107. i 108. Ugovora o funkcioniranju Europske unije na de minimis potpore u sektoru ribarstva i akvakulture (SL L 190, 28.6.2014., str. 45.) i Uredba Komisije (EU) br. 360/2012 od 25. travnja 2012. o primjeni članaka 107. i 108. Ugovora o funkcioniranju Europske unije na potpore de minimis koje se dodjeljuju poduzetnicima koji pružaju usluge od općeg gospodarskog interesa (SL L 114 od 26.4.2012., str. 8.).  </w:t>
      </w:r>
    </w:p>
  </w:footnote>
  <w:footnote w:id="12">
    <w:p w14:paraId="2599020F" w14:textId="68C7D656" w:rsidR="00D66C5B" w:rsidRPr="00D66C5B" w:rsidRDefault="00D66C5B" w:rsidP="00D66C5B">
      <w:pPr>
        <w:pStyle w:val="FootnoteText"/>
        <w:jc w:val="both"/>
        <w:rPr>
          <w:rFonts w:asciiTheme="minorHAnsi" w:hAnsiTheme="minorHAnsi" w:cstheme="minorHAnsi"/>
        </w:rPr>
      </w:pPr>
      <w:r w:rsidRPr="00D66C5B">
        <w:rPr>
          <w:rStyle w:val="FootnoteReference"/>
          <w:rFonts w:asciiTheme="minorHAnsi" w:hAnsiTheme="minorHAnsi" w:cstheme="minorHAnsi"/>
        </w:rPr>
        <w:footnoteRef/>
      </w:r>
      <w:r w:rsidRPr="00D66C5B">
        <w:rPr>
          <w:rFonts w:asciiTheme="minorHAnsi" w:hAnsiTheme="minorHAnsi" w:cstheme="minorHAnsi"/>
        </w:rPr>
        <w:t xml:space="preserve">   Uredba Komisije (EU) br. 651/2014 od 17. lipnja 2014. o ocjenjivanju određenih kategorija potpora spojivima s unutarnjim tržištem u primjeni članaka 107. i 108. Ugovora (Opća uredba o skupnom izuzeću), Uredba Komisije (EZ) br. 702/2014 od 25. lipnja 2014. o proglašenju određenih kategorija potpora u sektoru poljoprivrede i šumarstva te u ruralnim područjima spojivima s unutarnjim tržištem u primjeni članaka 107. i 108. Ugovora o funkcioniranju Europske unije, SL L 193, 1.7.2014., str. 1. i Uredba Komisije (EU) br. 1388/2014 od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24.12.2014., str.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DC9F" w14:textId="77777777" w:rsidR="00CA2119" w:rsidRDefault="00CA2119">
    <w:pPr>
      <w:pStyle w:val="Header"/>
    </w:pPr>
  </w:p>
  <w:p w14:paraId="65C17774" w14:textId="77777777" w:rsidR="00CA2119" w:rsidRDefault="00CA2119">
    <w:pPr>
      <w:pStyle w:val="Header"/>
    </w:pPr>
  </w:p>
  <w:p w14:paraId="7A20908A" w14:textId="22A30A56" w:rsidR="00CA2119" w:rsidRDefault="00CA2119">
    <w:pPr>
      <w:pStyle w:val="Header"/>
    </w:pPr>
  </w:p>
  <w:p w14:paraId="72F45E0E" w14:textId="77777777" w:rsidR="00CA2119" w:rsidRDefault="00CA2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FE4"/>
    <w:multiLevelType w:val="hybridMultilevel"/>
    <w:tmpl w:val="C0D0697C"/>
    <w:lvl w:ilvl="0" w:tplc="29002EF8">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7D4F7C"/>
    <w:multiLevelType w:val="hybridMultilevel"/>
    <w:tmpl w:val="0FC8EEBA"/>
    <w:lvl w:ilvl="0" w:tplc="FFFFFFF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2B15611"/>
    <w:multiLevelType w:val="hybridMultilevel"/>
    <w:tmpl w:val="8AC63CE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6F3096"/>
    <w:multiLevelType w:val="hybridMultilevel"/>
    <w:tmpl w:val="1464ABB0"/>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B7B67DB"/>
    <w:multiLevelType w:val="hybridMultilevel"/>
    <w:tmpl w:val="0F64E8D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B931989"/>
    <w:multiLevelType w:val="hybridMultilevel"/>
    <w:tmpl w:val="59DCD594"/>
    <w:lvl w:ilvl="0" w:tplc="4D84564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96095F"/>
    <w:multiLevelType w:val="hybridMultilevel"/>
    <w:tmpl w:val="4268EDA2"/>
    <w:lvl w:ilvl="0" w:tplc="041A0011">
      <w:start w:val="1"/>
      <w:numFmt w:val="decimal"/>
      <w:lvlText w:val="%1)"/>
      <w:lvlJc w:val="left"/>
      <w:pPr>
        <w:ind w:left="360" w:hanging="360"/>
      </w:pPr>
    </w:lvl>
    <w:lvl w:ilvl="1" w:tplc="FFFFFFFF">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1A0513D"/>
    <w:multiLevelType w:val="hybridMultilevel"/>
    <w:tmpl w:val="0F72FE8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88609D3"/>
    <w:multiLevelType w:val="hybridMultilevel"/>
    <w:tmpl w:val="8AC63CE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B844F5F"/>
    <w:multiLevelType w:val="hybridMultilevel"/>
    <w:tmpl w:val="4796ACE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62A05B87"/>
    <w:multiLevelType w:val="hybridMultilevel"/>
    <w:tmpl w:val="3560EF3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710E78E4"/>
    <w:multiLevelType w:val="hybridMultilevel"/>
    <w:tmpl w:val="C0561AB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7CB57745"/>
    <w:multiLevelType w:val="hybridMultilevel"/>
    <w:tmpl w:val="22EE893C"/>
    <w:lvl w:ilvl="0" w:tplc="FFFFFFF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2"/>
  </w:num>
  <w:num w:numId="3">
    <w:abstractNumId w:val="1"/>
  </w:num>
  <w:num w:numId="4">
    <w:abstractNumId w:val="3"/>
  </w:num>
  <w:num w:numId="5">
    <w:abstractNumId w:val="6"/>
  </w:num>
  <w:num w:numId="6">
    <w:abstractNumId w:val="10"/>
  </w:num>
  <w:num w:numId="7">
    <w:abstractNumId w:val="5"/>
  </w:num>
  <w:num w:numId="8">
    <w:abstractNumId w:val="0"/>
  </w:num>
  <w:num w:numId="9">
    <w:abstractNumId w:val="7"/>
  </w:num>
  <w:num w:numId="10">
    <w:abstractNumId w:val="9"/>
  </w:num>
  <w:num w:numId="11">
    <w:abstractNumId w:val="1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44"/>
    <w:rsid w:val="00000B8C"/>
    <w:rsid w:val="0000646F"/>
    <w:rsid w:val="0000688F"/>
    <w:rsid w:val="000146B0"/>
    <w:rsid w:val="000178CB"/>
    <w:rsid w:val="00017CC3"/>
    <w:rsid w:val="00021144"/>
    <w:rsid w:val="000215BE"/>
    <w:rsid w:val="000244CF"/>
    <w:rsid w:val="00031024"/>
    <w:rsid w:val="00033168"/>
    <w:rsid w:val="000331D7"/>
    <w:rsid w:val="000410FA"/>
    <w:rsid w:val="00043B35"/>
    <w:rsid w:val="00044786"/>
    <w:rsid w:val="0004486F"/>
    <w:rsid w:val="00044F09"/>
    <w:rsid w:val="00046DBB"/>
    <w:rsid w:val="00047015"/>
    <w:rsid w:val="00047AB9"/>
    <w:rsid w:val="000527D7"/>
    <w:rsid w:val="000623FF"/>
    <w:rsid w:val="00073011"/>
    <w:rsid w:val="00073B7E"/>
    <w:rsid w:val="00076609"/>
    <w:rsid w:val="000913E4"/>
    <w:rsid w:val="00093AB5"/>
    <w:rsid w:val="00093BEA"/>
    <w:rsid w:val="000960BC"/>
    <w:rsid w:val="0009799C"/>
    <w:rsid w:val="00097CA5"/>
    <w:rsid w:val="000A24CF"/>
    <w:rsid w:val="000A6D12"/>
    <w:rsid w:val="000A7091"/>
    <w:rsid w:val="000B34F8"/>
    <w:rsid w:val="000C159F"/>
    <w:rsid w:val="000C5D38"/>
    <w:rsid w:val="000D0EB0"/>
    <w:rsid w:val="000D373B"/>
    <w:rsid w:val="000E2012"/>
    <w:rsid w:val="000E2024"/>
    <w:rsid w:val="000E30E9"/>
    <w:rsid w:val="000E3A50"/>
    <w:rsid w:val="000E3FE0"/>
    <w:rsid w:val="000E4A3A"/>
    <w:rsid w:val="000F2C78"/>
    <w:rsid w:val="000F2E70"/>
    <w:rsid w:val="00101540"/>
    <w:rsid w:val="00101833"/>
    <w:rsid w:val="001023A3"/>
    <w:rsid w:val="001035CA"/>
    <w:rsid w:val="00103B64"/>
    <w:rsid w:val="00114D67"/>
    <w:rsid w:val="0011560A"/>
    <w:rsid w:val="00116B1A"/>
    <w:rsid w:val="00116F61"/>
    <w:rsid w:val="0012441C"/>
    <w:rsid w:val="00125563"/>
    <w:rsid w:val="001276EF"/>
    <w:rsid w:val="00130348"/>
    <w:rsid w:val="00131785"/>
    <w:rsid w:val="00133D9D"/>
    <w:rsid w:val="00133E02"/>
    <w:rsid w:val="00135002"/>
    <w:rsid w:val="001361A9"/>
    <w:rsid w:val="001372BF"/>
    <w:rsid w:val="00141150"/>
    <w:rsid w:val="00141E19"/>
    <w:rsid w:val="00144240"/>
    <w:rsid w:val="00144B7F"/>
    <w:rsid w:val="001474C9"/>
    <w:rsid w:val="00150F36"/>
    <w:rsid w:val="00152E58"/>
    <w:rsid w:val="00153A14"/>
    <w:rsid w:val="001577BF"/>
    <w:rsid w:val="00157A3D"/>
    <w:rsid w:val="00157E83"/>
    <w:rsid w:val="0016046C"/>
    <w:rsid w:val="001613B4"/>
    <w:rsid w:val="0016226B"/>
    <w:rsid w:val="00163AD1"/>
    <w:rsid w:val="00164A92"/>
    <w:rsid w:val="00165E2B"/>
    <w:rsid w:val="001703DB"/>
    <w:rsid w:val="0017077F"/>
    <w:rsid w:val="001719BD"/>
    <w:rsid w:val="00177AA5"/>
    <w:rsid w:val="0018059E"/>
    <w:rsid w:val="00183B3A"/>
    <w:rsid w:val="00187F01"/>
    <w:rsid w:val="00190504"/>
    <w:rsid w:val="00191436"/>
    <w:rsid w:val="001A66B1"/>
    <w:rsid w:val="001B504D"/>
    <w:rsid w:val="001B5BD5"/>
    <w:rsid w:val="001C0F70"/>
    <w:rsid w:val="001C23DA"/>
    <w:rsid w:val="001C33E1"/>
    <w:rsid w:val="001D4234"/>
    <w:rsid w:val="001D448F"/>
    <w:rsid w:val="001E15A4"/>
    <w:rsid w:val="001E4DBB"/>
    <w:rsid w:val="001E702A"/>
    <w:rsid w:val="001F0415"/>
    <w:rsid w:val="001F3DE0"/>
    <w:rsid w:val="001F444E"/>
    <w:rsid w:val="001F6C2F"/>
    <w:rsid w:val="002025FF"/>
    <w:rsid w:val="002048F0"/>
    <w:rsid w:val="002103DB"/>
    <w:rsid w:val="00211CE8"/>
    <w:rsid w:val="00211DC2"/>
    <w:rsid w:val="002229A6"/>
    <w:rsid w:val="00223665"/>
    <w:rsid w:val="00224DD8"/>
    <w:rsid w:val="002274FA"/>
    <w:rsid w:val="00233940"/>
    <w:rsid w:val="0024262B"/>
    <w:rsid w:val="002438BF"/>
    <w:rsid w:val="002475A5"/>
    <w:rsid w:val="0025003D"/>
    <w:rsid w:val="002502FD"/>
    <w:rsid w:val="002524B3"/>
    <w:rsid w:val="0025313F"/>
    <w:rsid w:val="00254026"/>
    <w:rsid w:val="00255478"/>
    <w:rsid w:val="00255B8C"/>
    <w:rsid w:val="0026680D"/>
    <w:rsid w:val="00267311"/>
    <w:rsid w:val="0026796D"/>
    <w:rsid w:val="00271A58"/>
    <w:rsid w:val="002728C3"/>
    <w:rsid w:val="00272F0C"/>
    <w:rsid w:val="00276A4B"/>
    <w:rsid w:val="002820F7"/>
    <w:rsid w:val="00282C37"/>
    <w:rsid w:val="00285C3E"/>
    <w:rsid w:val="00285EA0"/>
    <w:rsid w:val="00286355"/>
    <w:rsid w:val="002913B1"/>
    <w:rsid w:val="00291BFA"/>
    <w:rsid w:val="00293E62"/>
    <w:rsid w:val="002A0305"/>
    <w:rsid w:val="002A4816"/>
    <w:rsid w:val="002A5F09"/>
    <w:rsid w:val="002B4E8F"/>
    <w:rsid w:val="002C2E97"/>
    <w:rsid w:val="002C31EE"/>
    <w:rsid w:val="002C3918"/>
    <w:rsid w:val="002C5497"/>
    <w:rsid w:val="002C61D6"/>
    <w:rsid w:val="002D1E35"/>
    <w:rsid w:val="002E36CC"/>
    <w:rsid w:val="002E536B"/>
    <w:rsid w:val="002E683D"/>
    <w:rsid w:val="002E69E3"/>
    <w:rsid w:val="002F0A25"/>
    <w:rsid w:val="002F46D5"/>
    <w:rsid w:val="002F5E3C"/>
    <w:rsid w:val="002F7355"/>
    <w:rsid w:val="002F790F"/>
    <w:rsid w:val="00302242"/>
    <w:rsid w:val="00303D32"/>
    <w:rsid w:val="00306279"/>
    <w:rsid w:val="003146DA"/>
    <w:rsid w:val="00314952"/>
    <w:rsid w:val="00317D30"/>
    <w:rsid w:val="0032198B"/>
    <w:rsid w:val="0033127C"/>
    <w:rsid w:val="00331E4B"/>
    <w:rsid w:val="00333DF2"/>
    <w:rsid w:val="00336FEB"/>
    <w:rsid w:val="003406E4"/>
    <w:rsid w:val="00341BE3"/>
    <w:rsid w:val="00342D96"/>
    <w:rsid w:val="003437FB"/>
    <w:rsid w:val="00343E14"/>
    <w:rsid w:val="00345804"/>
    <w:rsid w:val="00346149"/>
    <w:rsid w:val="00355660"/>
    <w:rsid w:val="00361759"/>
    <w:rsid w:val="003629B4"/>
    <w:rsid w:val="0036737C"/>
    <w:rsid w:val="00371F2D"/>
    <w:rsid w:val="003739CD"/>
    <w:rsid w:val="003760E4"/>
    <w:rsid w:val="00380CB3"/>
    <w:rsid w:val="0038237D"/>
    <w:rsid w:val="00382EEC"/>
    <w:rsid w:val="003855D7"/>
    <w:rsid w:val="00386659"/>
    <w:rsid w:val="00387803"/>
    <w:rsid w:val="003964AF"/>
    <w:rsid w:val="003A18C0"/>
    <w:rsid w:val="003A2B31"/>
    <w:rsid w:val="003A35BE"/>
    <w:rsid w:val="003B2177"/>
    <w:rsid w:val="003B3528"/>
    <w:rsid w:val="003B37EE"/>
    <w:rsid w:val="003B779C"/>
    <w:rsid w:val="003B7CC8"/>
    <w:rsid w:val="003C0E61"/>
    <w:rsid w:val="003C291A"/>
    <w:rsid w:val="003C2C8A"/>
    <w:rsid w:val="003C4886"/>
    <w:rsid w:val="003D15F5"/>
    <w:rsid w:val="003D3684"/>
    <w:rsid w:val="003D5187"/>
    <w:rsid w:val="003E0133"/>
    <w:rsid w:val="003E2F8B"/>
    <w:rsid w:val="003E4854"/>
    <w:rsid w:val="003E5789"/>
    <w:rsid w:val="003F0114"/>
    <w:rsid w:val="003F0C65"/>
    <w:rsid w:val="003F5277"/>
    <w:rsid w:val="004019B7"/>
    <w:rsid w:val="00406B9A"/>
    <w:rsid w:val="004072CD"/>
    <w:rsid w:val="0041255E"/>
    <w:rsid w:val="004141F3"/>
    <w:rsid w:val="00416BAC"/>
    <w:rsid w:val="00422030"/>
    <w:rsid w:val="00422234"/>
    <w:rsid w:val="00423D44"/>
    <w:rsid w:val="00424D25"/>
    <w:rsid w:val="00427858"/>
    <w:rsid w:val="00435927"/>
    <w:rsid w:val="00435D00"/>
    <w:rsid w:val="00437434"/>
    <w:rsid w:val="0044297A"/>
    <w:rsid w:val="00446216"/>
    <w:rsid w:val="00451830"/>
    <w:rsid w:val="00452700"/>
    <w:rsid w:val="00452C72"/>
    <w:rsid w:val="00456199"/>
    <w:rsid w:val="00460565"/>
    <w:rsid w:val="00461301"/>
    <w:rsid w:val="00463B7F"/>
    <w:rsid w:val="004640A4"/>
    <w:rsid w:val="00464F59"/>
    <w:rsid w:val="004672B7"/>
    <w:rsid w:val="004702BC"/>
    <w:rsid w:val="004710D4"/>
    <w:rsid w:val="00475806"/>
    <w:rsid w:val="00477C1E"/>
    <w:rsid w:val="00483872"/>
    <w:rsid w:val="004848DA"/>
    <w:rsid w:val="004870DA"/>
    <w:rsid w:val="00491251"/>
    <w:rsid w:val="004926E2"/>
    <w:rsid w:val="0049591B"/>
    <w:rsid w:val="004961C8"/>
    <w:rsid w:val="004A5464"/>
    <w:rsid w:val="004A5E7C"/>
    <w:rsid w:val="004A7B98"/>
    <w:rsid w:val="004B38A6"/>
    <w:rsid w:val="004B4EDA"/>
    <w:rsid w:val="004B6C98"/>
    <w:rsid w:val="004B785E"/>
    <w:rsid w:val="004B7F1F"/>
    <w:rsid w:val="004C0E19"/>
    <w:rsid w:val="004C2580"/>
    <w:rsid w:val="004C395D"/>
    <w:rsid w:val="004C4217"/>
    <w:rsid w:val="004C762A"/>
    <w:rsid w:val="004D0D09"/>
    <w:rsid w:val="004D22EA"/>
    <w:rsid w:val="004E14E4"/>
    <w:rsid w:val="004E2732"/>
    <w:rsid w:val="004E2B1F"/>
    <w:rsid w:val="004F6354"/>
    <w:rsid w:val="004F6ACE"/>
    <w:rsid w:val="0050118C"/>
    <w:rsid w:val="00503A8F"/>
    <w:rsid w:val="0051346E"/>
    <w:rsid w:val="00522FC7"/>
    <w:rsid w:val="0052627E"/>
    <w:rsid w:val="005336FB"/>
    <w:rsid w:val="00536687"/>
    <w:rsid w:val="00544413"/>
    <w:rsid w:val="00551187"/>
    <w:rsid w:val="005519FF"/>
    <w:rsid w:val="005534CE"/>
    <w:rsid w:val="00557D85"/>
    <w:rsid w:val="00560810"/>
    <w:rsid w:val="00564C27"/>
    <w:rsid w:val="00565918"/>
    <w:rsid w:val="00566966"/>
    <w:rsid w:val="00566D8D"/>
    <w:rsid w:val="00570A76"/>
    <w:rsid w:val="00574785"/>
    <w:rsid w:val="00577453"/>
    <w:rsid w:val="00580101"/>
    <w:rsid w:val="0058309D"/>
    <w:rsid w:val="00585519"/>
    <w:rsid w:val="00585FE5"/>
    <w:rsid w:val="00587569"/>
    <w:rsid w:val="005979C2"/>
    <w:rsid w:val="005A61C3"/>
    <w:rsid w:val="005A689D"/>
    <w:rsid w:val="005B0CA6"/>
    <w:rsid w:val="005B172F"/>
    <w:rsid w:val="005B43F4"/>
    <w:rsid w:val="005B4EF7"/>
    <w:rsid w:val="005B52C8"/>
    <w:rsid w:val="005B6B5F"/>
    <w:rsid w:val="005C0AE8"/>
    <w:rsid w:val="005C11D6"/>
    <w:rsid w:val="005C1B40"/>
    <w:rsid w:val="005C38FB"/>
    <w:rsid w:val="005C51B8"/>
    <w:rsid w:val="005D0456"/>
    <w:rsid w:val="005D202A"/>
    <w:rsid w:val="005D3294"/>
    <w:rsid w:val="005E08F4"/>
    <w:rsid w:val="005E3786"/>
    <w:rsid w:val="005F12CC"/>
    <w:rsid w:val="005F35FC"/>
    <w:rsid w:val="0062299C"/>
    <w:rsid w:val="00624DC4"/>
    <w:rsid w:val="00627850"/>
    <w:rsid w:val="00632742"/>
    <w:rsid w:val="006335ED"/>
    <w:rsid w:val="00634CDF"/>
    <w:rsid w:val="0063694C"/>
    <w:rsid w:val="006372B3"/>
    <w:rsid w:val="00641581"/>
    <w:rsid w:val="006460FE"/>
    <w:rsid w:val="006463F8"/>
    <w:rsid w:val="00650817"/>
    <w:rsid w:val="00651E8F"/>
    <w:rsid w:val="00651EED"/>
    <w:rsid w:val="00652E05"/>
    <w:rsid w:val="00654207"/>
    <w:rsid w:val="00655029"/>
    <w:rsid w:val="006575F0"/>
    <w:rsid w:val="00666E1A"/>
    <w:rsid w:val="00667C3E"/>
    <w:rsid w:val="006701F3"/>
    <w:rsid w:val="0067073B"/>
    <w:rsid w:val="00673784"/>
    <w:rsid w:val="00681565"/>
    <w:rsid w:val="006817AF"/>
    <w:rsid w:val="00685723"/>
    <w:rsid w:val="0069040E"/>
    <w:rsid w:val="006917B2"/>
    <w:rsid w:val="00692CF8"/>
    <w:rsid w:val="006A063D"/>
    <w:rsid w:val="006A0C9C"/>
    <w:rsid w:val="006A206A"/>
    <w:rsid w:val="006B3BBC"/>
    <w:rsid w:val="006B400F"/>
    <w:rsid w:val="006C1520"/>
    <w:rsid w:val="006C47F0"/>
    <w:rsid w:val="006C653C"/>
    <w:rsid w:val="006D12E9"/>
    <w:rsid w:val="006F3A58"/>
    <w:rsid w:val="006F6599"/>
    <w:rsid w:val="006F7402"/>
    <w:rsid w:val="00703BD1"/>
    <w:rsid w:val="00703CB3"/>
    <w:rsid w:val="0070478B"/>
    <w:rsid w:val="007056FB"/>
    <w:rsid w:val="007061F6"/>
    <w:rsid w:val="00706BBC"/>
    <w:rsid w:val="00707873"/>
    <w:rsid w:val="007161D9"/>
    <w:rsid w:val="00716775"/>
    <w:rsid w:val="00720404"/>
    <w:rsid w:val="007208E4"/>
    <w:rsid w:val="00720FFA"/>
    <w:rsid w:val="007215E2"/>
    <w:rsid w:val="007301D1"/>
    <w:rsid w:val="0073638C"/>
    <w:rsid w:val="00740441"/>
    <w:rsid w:val="00743A3C"/>
    <w:rsid w:val="0074465B"/>
    <w:rsid w:val="007463DD"/>
    <w:rsid w:val="00750394"/>
    <w:rsid w:val="00751970"/>
    <w:rsid w:val="00751C5F"/>
    <w:rsid w:val="0075600F"/>
    <w:rsid w:val="007569CB"/>
    <w:rsid w:val="0076089F"/>
    <w:rsid w:val="007614B4"/>
    <w:rsid w:val="00763BD5"/>
    <w:rsid w:val="00773A3B"/>
    <w:rsid w:val="00777FEB"/>
    <w:rsid w:val="007807F8"/>
    <w:rsid w:val="007821C2"/>
    <w:rsid w:val="00786108"/>
    <w:rsid w:val="00790772"/>
    <w:rsid w:val="00790A4A"/>
    <w:rsid w:val="007923F5"/>
    <w:rsid w:val="007934AE"/>
    <w:rsid w:val="00793DB6"/>
    <w:rsid w:val="00793E16"/>
    <w:rsid w:val="00796F0F"/>
    <w:rsid w:val="007977BF"/>
    <w:rsid w:val="007A210B"/>
    <w:rsid w:val="007A308C"/>
    <w:rsid w:val="007A3320"/>
    <w:rsid w:val="007A64B9"/>
    <w:rsid w:val="007A7BC3"/>
    <w:rsid w:val="007C0F29"/>
    <w:rsid w:val="007C3E79"/>
    <w:rsid w:val="007C4223"/>
    <w:rsid w:val="007C55D5"/>
    <w:rsid w:val="007C6508"/>
    <w:rsid w:val="007D45F2"/>
    <w:rsid w:val="007D4C1F"/>
    <w:rsid w:val="007D5820"/>
    <w:rsid w:val="007D5CCC"/>
    <w:rsid w:val="007D5F83"/>
    <w:rsid w:val="007D6CCA"/>
    <w:rsid w:val="007E357D"/>
    <w:rsid w:val="007E3A44"/>
    <w:rsid w:val="007E61FF"/>
    <w:rsid w:val="007F217F"/>
    <w:rsid w:val="007F4296"/>
    <w:rsid w:val="007F47D7"/>
    <w:rsid w:val="00804D56"/>
    <w:rsid w:val="008062FE"/>
    <w:rsid w:val="0081057A"/>
    <w:rsid w:val="00817CBE"/>
    <w:rsid w:val="0082325D"/>
    <w:rsid w:val="008310F4"/>
    <w:rsid w:val="008335E4"/>
    <w:rsid w:val="00833E2D"/>
    <w:rsid w:val="008355D7"/>
    <w:rsid w:val="00835FB4"/>
    <w:rsid w:val="00836361"/>
    <w:rsid w:val="008401A0"/>
    <w:rsid w:val="008419E8"/>
    <w:rsid w:val="0084267D"/>
    <w:rsid w:val="008426D1"/>
    <w:rsid w:val="00843697"/>
    <w:rsid w:val="00843B9C"/>
    <w:rsid w:val="00843D41"/>
    <w:rsid w:val="00844019"/>
    <w:rsid w:val="0084752C"/>
    <w:rsid w:val="00847B02"/>
    <w:rsid w:val="00852F25"/>
    <w:rsid w:val="00855E65"/>
    <w:rsid w:val="00856A79"/>
    <w:rsid w:val="00856C4F"/>
    <w:rsid w:val="00864A6F"/>
    <w:rsid w:val="008664EA"/>
    <w:rsid w:val="00866AEA"/>
    <w:rsid w:val="008756C9"/>
    <w:rsid w:val="00876F86"/>
    <w:rsid w:val="0087735D"/>
    <w:rsid w:val="008803BA"/>
    <w:rsid w:val="00880579"/>
    <w:rsid w:val="00886B57"/>
    <w:rsid w:val="00890744"/>
    <w:rsid w:val="00892166"/>
    <w:rsid w:val="00894973"/>
    <w:rsid w:val="008A29B4"/>
    <w:rsid w:val="008A2B50"/>
    <w:rsid w:val="008A392E"/>
    <w:rsid w:val="008B2289"/>
    <w:rsid w:val="008B46F9"/>
    <w:rsid w:val="008C5FDC"/>
    <w:rsid w:val="008C7F5E"/>
    <w:rsid w:val="008D21A1"/>
    <w:rsid w:val="008D52CA"/>
    <w:rsid w:val="008E4A60"/>
    <w:rsid w:val="008E4D7B"/>
    <w:rsid w:val="008E4F86"/>
    <w:rsid w:val="008F1406"/>
    <w:rsid w:val="008F662B"/>
    <w:rsid w:val="008F7EAD"/>
    <w:rsid w:val="00906167"/>
    <w:rsid w:val="009076DA"/>
    <w:rsid w:val="009079A4"/>
    <w:rsid w:val="009100D8"/>
    <w:rsid w:val="009123A1"/>
    <w:rsid w:val="00915C10"/>
    <w:rsid w:val="00916D31"/>
    <w:rsid w:val="00924738"/>
    <w:rsid w:val="009303AB"/>
    <w:rsid w:val="00933C7D"/>
    <w:rsid w:val="009409C8"/>
    <w:rsid w:val="009436F8"/>
    <w:rsid w:val="00944E3C"/>
    <w:rsid w:val="00953E1C"/>
    <w:rsid w:val="009566A4"/>
    <w:rsid w:val="00957AEA"/>
    <w:rsid w:val="00963964"/>
    <w:rsid w:val="009646ED"/>
    <w:rsid w:val="0096709D"/>
    <w:rsid w:val="00967DFA"/>
    <w:rsid w:val="009701EE"/>
    <w:rsid w:val="009705DE"/>
    <w:rsid w:val="00982039"/>
    <w:rsid w:val="009855FC"/>
    <w:rsid w:val="00986F28"/>
    <w:rsid w:val="009873C0"/>
    <w:rsid w:val="00987D47"/>
    <w:rsid w:val="00993F50"/>
    <w:rsid w:val="00995CE4"/>
    <w:rsid w:val="009A1868"/>
    <w:rsid w:val="009A5274"/>
    <w:rsid w:val="009B6BDB"/>
    <w:rsid w:val="009B7D7D"/>
    <w:rsid w:val="009B7F1C"/>
    <w:rsid w:val="009C2075"/>
    <w:rsid w:val="009C32C5"/>
    <w:rsid w:val="009C4A14"/>
    <w:rsid w:val="009C600E"/>
    <w:rsid w:val="009C7AFC"/>
    <w:rsid w:val="009D0BD1"/>
    <w:rsid w:val="009D1FEB"/>
    <w:rsid w:val="009D4885"/>
    <w:rsid w:val="009D6019"/>
    <w:rsid w:val="009E1EE5"/>
    <w:rsid w:val="009F16DD"/>
    <w:rsid w:val="009F197D"/>
    <w:rsid w:val="009F3E94"/>
    <w:rsid w:val="009F4B25"/>
    <w:rsid w:val="009F51CD"/>
    <w:rsid w:val="009F5CC6"/>
    <w:rsid w:val="00A12F4A"/>
    <w:rsid w:val="00A13809"/>
    <w:rsid w:val="00A14131"/>
    <w:rsid w:val="00A14E15"/>
    <w:rsid w:val="00A1555C"/>
    <w:rsid w:val="00A17C20"/>
    <w:rsid w:val="00A23591"/>
    <w:rsid w:val="00A23E89"/>
    <w:rsid w:val="00A26AC3"/>
    <w:rsid w:val="00A26C5F"/>
    <w:rsid w:val="00A27F66"/>
    <w:rsid w:val="00A37BC9"/>
    <w:rsid w:val="00A440B8"/>
    <w:rsid w:val="00A44D18"/>
    <w:rsid w:val="00A46AF4"/>
    <w:rsid w:val="00A477A0"/>
    <w:rsid w:val="00A47DE3"/>
    <w:rsid w:val="00A52DB3"/>
    <w:rsid w:val="00A54365"/>
    <w:rsid w:val="00A546E7"/>
    <w:rsid w:val="00A552E9"/>
    <w:rsid w:val="00A57ADB"/>
    <w:rsid w:val="00A602E0"/>
    <w:rsid w:val="00A64DEC"/>
    <w:rsid w:val="00A777C0"/>
    <w:rsid w:val="00A77B0E"/>
    <w:rsid w:val="00A77CD0"/>
    <w:rsid w:val="00A81F08"/>
    <w:rsid w:val="00A82DE2"/>
    <w:rsid w:val="00A866C2"/>
    <w:rsid w:val="00A878E8"/>
    <w:rsid w:val="00A9283D"/>
    <w:rsid w:val="00A9713D"/>
    <w:rsid w:val="00A971F1"/>
    <w:rsid w:val="00A97F64"/>
    <w:rsid w:val="00AA0A1C"/>
    <w:rsid w:val="00AA20E6"/>
    <w:rsid w:val="00AA479C"/>
    <w:rsid w:val="00AA6DA4"/>
    <w:rsid w:val="00AB292F"/>
    <w:rsid w:val="00AB30E5"/>
    <w:rsid w:val="00AB54C9"/>
    <w:rsid w:val="00AD04CB"/>
    <w:rsid w:val="00AD0A60"/>
    <w:rsid w:val="00AD20B4"/>
    <w:rsid w:val="00AD2610"/>
    <w:rsid w:val="00AE0BE9"/>
    <w:rsid w:val="00AE6123"/>
    <w:rsid w:val="00AF0B2D"/>
    <w:rsid w:val="00AF5A26"/>
    <w:rsid w:val="00AF7103"/>
    <w:rsid w:val="00B004F8"/>
    <w:rsid w:val="00B00F61"/>
    <w:rsid w:val="00B036A4"/>
    <w:rsid w:val="00B1795B"/>
    <w:rsid w:val="00B245AC"/>
    <w:rsid w:val="00B323D3"/>
    <w:rsid w:val="00B33BB5"/>
    <w:rsid w:val="00B34EEE"/>
    <w:rsid w:val="00B41B16"/>
    <w:rsid w:val="00B42932"/>
    <w:rsid w:val="00B439BF"/>
    <w:rsid w:val="00B44499"/>
    <w:rsid w:val="00B45610"/>
    <w:rsid w:val="00B50913"/>
    <w:rsid w:val="00B52075"/>
    <w:rsid w:val="00B54360"/>
    <w:rsid w:val="00B63EC7"/>
    <w:rsid w:val="00B65E18"/>
    <w:rsid w:val="00B7157E"/>
    <w:rsid w:val="00B80F56"/>
    <w:rsid w:val="00B96D92"/>
    <w:rsid w:val="00B9765D"/>
    <w:rsid w:val="00BA1AFA"/>
    <w:rsid w:val="00BA2CCD"/>
    <w:rsid w:val="00BA2E83"/>
    <w:rsid w:val="00BA5348"/>
    <w:rsid w:val="00BA6040"/>
    <w:rsid w:val="00BB1BC1"/>
    <w:rsid w:val="00BB623D"/>
    <w:rsid w:val="00BC10DD"/>
    <w:rsid w:val="00BC2562"/>
    <w:rsid w:val="00BC6432"/>
    <w:rsid w:val="00BD001E"/>
    <w:rsid w:val="00BD1D48"/>
    <w:rsid w:val="00BD1D7E"/>
    <w:rsid w:val="00BD371C"/>
    <w:rsid w:val="00BD547D"/>
    <w:rsid w:val="00BD7207"/>
    <w:rsid w:val="00BD78E7"/>
    <w:rsid w:val="00BE050B"/>
    <w:rsid w:val="00BE348B"/>
    <w:rsid w:val="00BE4372"/>
    <w:rsid w:val="00BE7240"/>
    <w:rsid w:val="00BF1EA2"/>
    <w:rsid w:val="00BF2A7C"/>
    <w:rsid w:val="00BF2B9C"/>
    <w:rsid w:val="00BF7FD7"/>
    <w:rsid w:val="00C01220"/>
    <w:rsid w:val="00C064E4"/>
    <w:rsid w:val="00C10263"/>
    <w:rsid w:val="00C11338"/>
    <w:rsid w:val="00C13A34"/>
    <w:rsid w:val="00C20742"/>
    <w:rsid w:val="00C20F70"/>
    <w:rsid w:val="00C217F7"/>
    <w:rsid w:val="00C21C68"/>
    <w:rsid w:val="00C23244"/>
    <w:rsid w:val="00C26483"/>
    <w:rsid w:val="00C26B4F"/>
    <w:rsid w:val="00C37C1E"/>
    <w:rsid w:val="00C41DED"/>
    <w:rsid w:val="00C44078"/>
    <w:rsid w:val="00C4606F"/>
    <w:rsid w:val="00C467B2"/>
    <w:rsid w:val="00C47D13"/>
    <w:rsid w:val="00C5283F"/>
    <w:rsid w:val="00C53484"/>
    <w:rsid w:val="00C558F4"/>
    <w:rsid w:val="00C56F1B"/>
    <w:rsid w:val="00C63D88"/>
    <w:rsid w:val="00C7038E"/>
    <w:rsid w:val="00C711C2"/>
    <w:rsid w:val="00C71D64"/>
    <w:rsid w:val="00C7399C"/>
    <w:rsid w:val="00C747C0"/>
    <w:rsid w:val="00C9008A"/>
    <w:rsid w:val="00C90BAD"/>
    <w:rsid w:val="00C95946"/>
    <w:rsid w:val="00CA0A8F"/>
    <w:rsid w:val="00CA2083"/>
    <w:rsid w:val="00CA2119"/>
    <w:rsid w:val="00CA2F60"/>
    <w:rsid w:val="00CA73F5"/>
    <w:rsid w:val="00CA7599"/>
    <w:rsid w:val="00CA76D2"/>
    <w:rsid w:val="00CA7BC4"/>
    <w:rsid w:val="00CB01D1"/>
    <w:rsid w:val="00CB12DF"/>
    <w:rsid w:val="00CC3D1E"/>
    <w:rsid w:val="00CC55BC"/>
    <w:rsid w:val="00CC68CE"/>
    <w:rsid w:val="00CC6B2F"/>
    <w:rsid w:val="00CD4E96"/>
    <w:rsid w:val="00CD7DD4"/>
    <w:rsid w:val="00CE3650"/>
    <w:rsid w:val="00CE3C00"/>
    <w:rsid w:val="00CE58E5"/>
    <w:rsid w:val="00CF3A89"/>
    <w:rsid w:val="00CF4156"/>
    <w:rsid w:val="00CF41F7"/>
    <w:rsid w:val="00CF7A90"/>
    <w:rsid w:val="00CF7D48"/>
    <w:rsid w:val="00D07214"/>
    <w:rsid w:val="00D10014"/>
    <w:rsid w:val="00D1112D"/>
    <w:rsid w:val="00D122F0"/>
    <w:rsid w:val="00D1309F"/>
    <w:rsid w:val="00D14B93"/>
    <w:rsid w:val="00D1513E"/>
    <w:rsid w:val="00D20CFD"/>
    <w:rsid w:val="00D22473"/>
    <w:rsid w:val="00D23A05"/>
    <w:rsid w:val="00D26584"/>
    <w:rsid w:val="00D26CEA"/>
    <w:rsid w:val="00D2710B"/>
    <w:rsid w:val="00D369ED"/>
    <w:rsid w:val="00D431E2"/>
    <w:rsid w:val="00D46403"/>
    <w:rsid w:val="00D46955"/>
    <w:rsid w:val="00D61932"/>
    <w:rsid w:val="00D66C5B"/>
    <w:rsid w:val="00D67B74"/>
    <w:rsid w:val="00D70DC7"/>
    <w:rsid w:val="00D71729"/>
    <w:rsid w:val="00D71894"/>
    <w:rsid w:val="00D74F11"/>
    <w:rsid w:val="00D7509C"/>
    <w:rsid w:val="00D8029C"/>
    <w:rsid w:val="00D81CC7"/>
    <w:rsid w:val="00D97EA4"/>
    <w:rsid w:val="00DA1F74"/>
    <w:rsid w:val="00DA251D"/>
    <w:rsid w:val="00DA3D3E"/>
    <w:rsid w:val="00DA5AFF"/>
    <w:rsid w:val="00DB23EC"/>
    <w:rsid w:val="00DB4F05"/>
    <w:rsid w:val="00DC3874"/>
    <w:rsid w:val="00DC5484"/>
    <w:rsid w:val="00DC619B"/>
    <w:rsid w:val="00DD1136"/>
    <w:rsid w:val="00DD6BCE"/>
    <w:rsid w:val="00DE14D0"/>
    <w:rsid w:val="00DE1FA0"/>
    <w:rsid w:val="00DE3DDF"/>
    <w:rsid w:val="00DE47C3"/>
    <w:rsid w:val="00DF1323"/>
    <w:rsid w:val="00DF3C83"/>
    <w:rsid w:val="00DF3D93"/>
    <w:rsid w:val="00DF3E02"/>
    <w:rsid w:val="00DF4E4F"/>
    <w:rsid w:val="00DF5049"/>
    <w:rsid w:val="00E00F14"/>
    <w:rsid w:val="00E012C5"/>
    <w:rsid w:val="00E02B46"/>
    <w:rsid w:val="00E02DBC"/>
    <w:rsid w:val="00E04BA3"/>
    <w:rsid w:val="00E122C8"/>
    <w:rsid w:val="00E12D2C"/>
    <w:rsid w:val="00E2310D"/>
    <w:rsid w:val="00E23540"/>
    <w:rsid w:val="00E25BE8"/>
    <w:rsid w:val="00E35065"/>
    <w:rsid w:val="00E35435"/>
    <w:rsid w:val="00E36FE1"/>
    <w:rsid w:val="00E41C27"/>
    <w:rsid w:val="00E434C5"/>
    <w:rsid w:val="00E46584"/>
    <w:rsid w:val="00E47E15"/>
    <w:rsid w:val="00E54CED"/>
    <w:rsid w:val="00E6235A"/>
    <w:rsid w:val="00E62FF7"/>
    <w:rsid w:val="00E6675D"/>
    <w:rsid w:val="00E66B50"/>
    <w:rsid w:val="00E70E62"/>
    <w:rsid w:val="00E75FF3"/>
    <w:rsid w:val="00E84953"/>
    <w:rsid w:val="00E860FD"/>
    <w:rsid w:val="00E907D3"/>
    <w:rsid w:val="00E914D6"/>
    <w:rsid w:val="00E97B26"/>
    <w:rsid w:val="00E97CB6"/>
    <w:rsid w:val="00EA5A72"/>
    <w:rsid w:val="00EB1CEF"/>
    <w:rsid w:val="00EB2E53"/>
    <w:rsid w:val="00EB459B"/>
    <w:rsid w:val="00EB6127"/>
    <w:rsid w:val="00EB67C4"/>
    <w:rsid w:val="00EC1657"/>
    <w:rsid w:val="00EC1C38"/>
    <w:rsid w:val="00EC6A81"/>
    <w:rsid w:val="00ED0ACA"/>
    <w:rsid w:val="00ED1321"/>
    <w:rsid w:val="00ED1EF4"/>
    <w:rsid w:val="00ED1FD3"/>
    <w:rsid w:val="00ED33FA"/>
    <w:rsid w:val="00ED3551"/>
    <w:rsid w:val="00ED3F80"/>
    <w:rsid w:val="00ED487E"/>
    <w:rsid w:val="00ED4F95"/>
    <w:rsid w:val="00EE08A6"/>
    <w:rsid w:val="00EE1A45"/>
    <w:rsid w:val="00EE2B8D"/>
    <w:rsid w:val="00EE33FF"/>
    <w:rsid w:val="00EE460B"/>
    <w:rsid w:val="00EE50B0"/>
    <w:rsid w:val="00EF4F69"/>
    <w:rsid w:val="00EF61F5"/>
    <w:rsid w:val="00EF7C6C"/>
    <w:rsid w:val="00F0036E"/>
    <w:rsid w:val="00F03C2A"/>
    <w:rsid w:val="00F044CA"/>
    <w:rsid w:val="00F06373"/>
    <w:rsid w:val="00F10B39"/>
    <w:rsid w:val="00F129B2"/>
    <w:rsid w:val="00F150C5"/>
    <w:rsid w:val="00F2175F"/>
    <w:rsid w:val="00F23DA9"/>
    <w:rsid w:val="00F23E46"/>
    <w:rsid w:val="00F24E0D"/>
    <w:rsid w:val="00F24F53"/>
    <w:rsid w:val="00F26531"/>
    <w:rsid w:val="00F2669A"/>
    <w:rsid w:val="00F31CA0"/>
    <w:rsid w:val="00F3385B"/>
    <w:rsid w:val="00F4198D"/>
    <w:rsid w:val="00F41F08"/>
    <w:rsid w:val="00F42144"/>
    <w:rsid w:val="00F427AE"/>
    <w:rsid w:val="00F4416C"/>
    <w:rsid w:val="00F50F22"/>
    <w:rsid w:val="00F57C47"/>
    <w:rsid w:val="00F60168"/>
    <w:rsid w:val="00F602B8"/>
    <w:rsid w:val="00F608F2"/>
    <w:rsid w:val="00F61016"/>
    <w:rsid w:val="00F63846"/>
    <w:rsid w:val="00F63AD3"/>
    <w:rsid w:val="00F70763"/>
    <w:rsid w:val="00F7277E"/>
    <w:rsid w:val="00F76C61"/>
    <w:rsid w:val="00F77583"/>
    <w:rsid w:val="00F805BA"/>
    <w:rsid w:val="00F830D1"/>
    <w:rsid w:val="00F8390D"/>
    <w:rsid w:val="00F87E83"/>
    <w:rsid w:val="00F91A9A"/>
    <w:rsid w:val="00FA0462"/>
    <w:rsid w:val="00FA3019"/>
    <w:rsid w:val="00FA6347"/>
    <w:rsid w:val="00FA63D8"/>
    <w:rsid w:val="00FA6FA1"/>
    <w:rsid w:val="00FA70D1"/>
    <w:rsid w:val="00FB05A8"/>
    <w:rsid w:val="00FB3602"/>
    <w:rsid w:val="00FB7EB0"/>
    <w:rsid w:val="00FC42FB"/>
    <w:rsid w:val="00FD0842"/>
    <w:rsid w:val="00FD1728"/>
    <w:rsid w:val="00FD3D8E"/>
    <w:rsid w:val="00FD6AB1"/>
    <w:rsid w:val="00FE0C19"/>
    <w:rsid w:val="00FE629B"/>
    <w:rsid w:val="00FF2DFF"/>
    <w:rsid w:val="00FF5327"/>
    <w:rsid w:val="00FF5E91"/>
    <w:rsid w:val="07FD7905"/>
    <w:rsid w:val="1242DAAF"/>
    <w:rsid w:val="13FCD303"/>
    <w:rsid w:val="179972C5"/>
    <w:rsid w:val="17FA1D3F"/>
    <w:rsid w:val="1A97F3EC"/>
    <w:rsid w:val="1E81172C"/>
    <w:rsid w:val="25F953FC"/>
    <w:rsid w:val="274F4B97"/>
    <w:rsid w:val="28F016C7"/>
    <w:rsid w:val="2A54E335"/>
    <w:rsid w:val="2B8EF0ED"/>
    <w:rsid w:val="2C158D76"/>
    <w:rsid w:val="34318EDD"/>
    <w:rsid w:val="398FE8A8"/>
    <w:rsid w:val="3EE4BFEB"/>
    <w:rsid w:val="42A911BA"/>
    <w:rsid w:val="42EC1150"/>
    <w:rsid w:val="49209BF0"/>
    <w:rsid w:val="4A0CD52D"/>
    <w:rsid w:val="52404668"/>
    <w:rsid w:val="52739AA0"/>
    <w:rsid w:val="58FBE309"/>
    <w:rsid w:val="5AC6E02E"/>
    <w:rsid w:val="6C5336DE"/>
    <w:rsid w:val="7E50AF1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AE5659"/>
  <w15:docId w15:val="{266F9FFD-97F9-4D0E-B937-CB58288D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CE"/>
    <w:pPr>
      <w:spacing w:after="200" w:line="276" w:lineRule="auto"/>
    </w:pPr>
    <w:rPr>
      <w:sz w:val="22"/>
      <w:szCs w:val="22"/>
      <w:lang w:eastAsia="en-US"/>
    </w:rPr>
  </w:style>
  <w:style w:type="paragraph" w:styleId="Heading3">
    <w:name w:val="heading 3"/>
    <w:basedOn w:val="Normal"/>
    <w:link w:val="Heading3Char"/>
    <w:uiPriority w:val="99"/>
    <w:qFormat/>
    <w:locked/>
    <w:rsid w:val="00B54360"/>
    <w:pPr>
      <w:spacing w:before="100" w:beforeAutospacing="1" w:after="100" w:afterAutospacing="1"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36361"/>
    <w:rPr>
      <w:rFonts w:ascii="Cambria" w:hAnsi="Cambria" w:cs="Times New Roman"/>
      <w:b/>
      <w:sz w:val="26"/>
      <w:lang w:eastAsia="en-US"/>
    </w:rPr>
  </w:style>
  <w:style w:type="paragraph" w:styleId="Header">
    <w:name w:val="header"/>
    <w:basedOn w:val="Normal"/>
    <w:link w:val="HeaderChar"/>
    <w:uiPriority w:val="99"/>
    <w:rsid w:val="00890744"/>
    <w:pPr>
      <w:tabs>
        <w:tab w:val="center" w:pos="4703"/>
        <w:tab w:val="right" w:pos="9406"/>
      </w:tabs>
      <w:spacing w:after="0" w:line="240" w:lineRule="auto"/>
    </w:pPr>
    <w:rPr>
      <w:rFonts w:ascii="Times New Roman" w:hAnsi="Times New Roman"/>
      <w:sz w:val="24"/>
      <w:szCs w:val="24"/>
      <w:lang w:eastAsia="hr-HR"/>
    </w:rPr>
  </w:style>
  <w:style w:type="character" w:customStyle="1" w:styleId="HeaderChar">
    <w:name w:val="Header Char"/>
    <w:link w:val="Header"/>
    <w:uiPriority w:val="99"/>
    <w:locked/>
    <w:rsid w:val="00890744"/>
    <w:rPr>
      <w:rFonts w:ascii="Times New Roman" w:hAnsi="Times New Roman" w:cs="Times New Roman"/>
      <w:sz w:val="24"/>
      <w:lang w:eastAsia="hr-HR"/>
    </w:rPr>
  </w:style>
  <w:style w:type="paragraph" w:styleId="BalloonText">
    <w:name w:val="Balloon Text"/>
    <w:basedOn w:val="Normal"/>
    <w:link w:val="BalloonTextChar"/>
    <w:uiPriority w:val="99"/>
    <w:semiHidden/>
    <w:rsid w:val="00890744"/>
    <w:pPr>
      <w:spacing w:after="0" w:line="240" w:lineRule="auto"/>
    </w:pPr>
    <w:rPr>
      <w:rFonts w:ascii="Tahoma" w:hAnsi="Tahoma"/>
      <w:sz w:val="16"/>
      <w:szCs w:val="16"/>
      <w:lang w:eastAsia="hr-HR"/>
    </w:rPr>
  </w:style>
  <w:style w:type="character" w:customStyle="1" w:styleId="BalloonTextChar">
    <w:name w:val="Balloon Text Char"/>
    <w:link w:val="BalloonText"/>
    <w:uiPriority w:val="99"/>
    <w:semiHidden/>
    <w:locked/>
    <w:rsid w:val="00890744"/>
    <w:rPr>
      <w:rFonts w:ascii="Tahoma" w:hAnsi="Tahoma" w:cs="Times New Roman"/>
      <w:sz w:val="16"/>
    </w:rPr>
  </w:style>
  <w:style w:type="paragraph" w:styleId="ListParagraph">
    <w:name w:val="List Paragraph"/>
    <w:basedOn w:val="Normal"/>
    <w:uiPriority w:val="34"/>
    <w:qFormat/>
    <w:rsid w:val="00FE0C19"/>
    <w:pPr>
      <w:ind w:left="720"/>
      <w:contextualSpacing/>
    </w:pPr>
  </w:style>
  <w:style w:type="table" w:styleId="TableGrid">
    <w:name w:val="Table Grid"/>
    <w:basedOn w:val="TableNormal"/>
    <w:uiPriority w:val="99"/>
    <w:rsid w:val="00BA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17F7"/>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54360"/>
    <w:pPr>
      <w:spacing w:before="100" w:beforeAutospacing="1" w:after="100" w:afterAutospacing="1" w:line="240" w:lineRule="auto"/>
    </w:pPr>
    <w:rPr>
      <w:rFonts w:ascii="Times New Roman" w:hAnsi="Times New Roman"/>
      <w:sz w:val="24"/>
      <w:szCs w:val="24"/>
      <w:lang w:eastAsia="hr-HR"/>
    </w:rPr>
  </w:style>
  <w:style w:type="character" w:styleId="Strong">
    <w:name w:val="Strong"/>
    <w:uiPriority w:val="99"/>
    <w:qFormat/>
    <w:locked/>
    <w:rsid w:val="00B54360"/>
    <w:rPr>
      <w:rFonts w:cs="Times New Roman"/>
      <w:b/>
    </w:rPr>
  </w:style>
  <w:style w:type="character" w:styleId="Hyperlink">
    <w:name w:val="Hyperlink"/>
    <w:uiPriority w:val="99"/>
    <w:rsid w:val="00B54360"/>
    <w:rPr>
      <w:rFonts w:cs="Times New Roman"/>
      <w:color w:val="0000FF"/>
      <w:u w:val="single"/>
    </w:rPr>
  </w:style>
  <w:style w:type="character" w:styleId="Emphasis">
    <w:name w:val="Emphasis"/>
    <w:uiPriority w:val="99"/>
    <w:qFormat/>
    <w:locked/>
    <w:rsid w:val="00B54360"/>
    <w:rPr>
      <w:rFonts w:cs="Times New Roman"/>
      <w:i/>
    </w:rPr>
  </w:style>
  <w:style w:type="character" w:customStyle="1" w:styleId="textline">
    <w:name w:val="text_line"/>
    <w:uiPriority w:val="99"/>
    <w:rsid w:val="00790772"/>
  </w:style>
  <w:style w:type="paragraph" w:styleId="Footer">
    <w:name w:val="footer"/>
    <w:basedOn w:val="Normal"/>
    <w:link w:val="FooterChar"/>
    <w:uiPriority w:val="99"/>
    <w:rsid w:val="00777FEB"/>
    <w:pPr>
      <w:tabs>
        <w:tab w:val="center" w:pos="4536"/>
        <w:tab w:val="right" w:pos="9072"/>
      </w:tabs>
    </w:pPr>
    <w:rPr>
      <w:sz w:val="20"/>
      <w:szCs w:val="20"/>
    </w:rPr>
  </w:style>
  <w:style w:type="character" w:customStyle="1" w:styleId="FooterChar">
    <w:name w:val="Footer Char"/>
    <w:link w:val="Footer"/>
    <w:uiPriority w:val="99"/>
    <w:locked/>
    <w:rsid w:val="00777FEB"/>
    <w:rPr>
      <w:rFonts w:cs="Times New Roman"/>
      <w:lang w:eastAsia="en-US"/>
    </w:rPr>
  </w:style>
  <w:style w:type="paragraph" w:customStyle="1" w:styleId="Standard">
    <w:name w:val="Standard"/>
    <w:rsid w:val="00A477A0"/>
    <w:pPr>
      <w:suppressAutoHyphens/>
      <w:autoSpaceDN w:val="0"/>
      <w:textAlignment w:val="baseline"/>
    </w:pPr>
    <w:rPr>
      <w:rFonts w:ascii="Times New Roman" w:eastAsia="Times New Roman" w:hAnsi="Times New Roman"/>
      <w:kern w:val="3"/>
      <w:sz w:val="24"/>
      <w:szCs w:val="24"/>
      <w:lang w:eastAsia="zh-CN"/>
    </w:rPr>
  </w:style>
  <w:style w:type="paragraph" w:styleId="CommentText">
    <w:name w:val="annotation text"/>
    <w:basedOn w:val="Standard"/>
    <w:link w:val="CommentTextChar"/>
    <w:rsid w:val="00A477A0"/>
    <w:rPr>
      <w:sz w:val="20"/>
      <w:szCs w:val="20"/>
    </w:rPr>
  </w:style>
  <w:style w:type="character" w:customStyle="1" w:styleId="CommentTextChar">
    <w:name w:val="Comment Text Char"/>
    <w:basedOn w:val="DefaultParagraphFont"/>
    <w:link w:val="CommentText"/>
    <w:rsid w:val="00A477A0"/>
    <w:rPr>
      <w:rFonts w:ascii="Times New Roman" w:eastAsia="Times New Roman" w:hAnsi="Times New Roman"/>
      <w:kern w:val="3"/>
      <w:lang w:eastAsia="zh-CN"/>
    </w:rPr>
  </w:style>
  <w:style w:type="character" w:styleId="CommentReference">
    <w:name w:val="annotation reference"/>
    <w:rsid w:val="00A477A0"/>
    <w:rPr>
      <w:sz w:val="16"/>
      <w:szCs w:val="16"/>
    </w:rPr>
  </w:style>
  <w:style w:type="character" w:styleId="FootnoteReference">
    <w:name w:val="footnote reference"/>
    <w:basedOn w:val="DefaultParagraphFont"/>
    <w:rsid w:val="00A477A0"/>
    <w:rPr>
      <w:position w:val="0"/>
      <w:vertAlign w:val="superscript"/>
    </w:rPr>
  </w:style>
  <w:style w:type="paragraph" w:styleId="FootnoteText">
    <w:name w:val="footnote text"/>
    <w:basedOn w:val="Normal"/>
    <w:link w:val="FootnoteTextChar"/>
    <w:rsid w:val="00A477A0"/>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FootnoteTextChar">
    <w:name w:val="Footnote Text Char"/>
    <w:basedOn w:val="DefaultParagraphFont"/>
    <w:link w:val="FootnoteText"/>
    <w:rsid w:val="00A477A0"/>
    <w:rPr>
      <w:rFonts w:ascii="Times New Roman" w:eastAsia="SimSun" w:hAnsi="Times New Roman" w:cs="Mangal"/>
      <w:kern w:val="3"/>
      <w:szCs w:val="18"/>
      <w:lang w:eastAsia="zh-CN" w:bidi="hi-IN"/>
    </w:rPr>
  </w:style>
  <w:style w:type="character" w:styleId="UnresolvedMention">
    <w:name w:val="Unresolved Mention"/>
    <w:basedOn w:val="DefaultParagraphFont"/>
    <w:uiPriority w:val="99"/>
    <w:semiHidden/>
    <w:unhideWhenUsed/>
    <w:rsid w:val="009873C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0ACA"/>
    <w:pPr>
      <w:suppressAutoHyphens w:val="0"/>
      <w:autoSpaceDN/>
      <w:spacing w:after="200"/>
      <w:textAlignment w:val="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rsid w:val="00ED0ACA"/>
    <w:rPr>
      <w:rFonts w:ascii="Times New Roman" w:eastAsia="Times New Roman" w:hAnsi="Times New Roman"/>
      <w:b/>
      <w:bCs/>
      <w:kern w:val="3"/>
      <w:lang w:eastAsia="en-US"/>
    </w:rPr>
  </w:style>
  <w:style w:type="paragraph" w:styleId="Revision">
    <w:name w:val="Revision"/>
    <w:hidden/>
    <w:uiPriority w:val="99"/>
    <w:semiHidden/>
    <w:rsid w:val="00114D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3015">
      <w:bodyDiv w:val="1"/>
      <w:marLeft w:val="0"/>
      <w:marRight w:val="0"/>
      <w:marTop w:val="0"/>
      <w:marBottom w:val="0"/>
      <w:divBdr>
        <w:top w:val="none" w:sz="0" w:space="0" w:color="auto"/>
        <w:left w:val="none" w:sz="0" w:space="0" w:color="auto"/>
        <w:bottom w:val="none" w:sz="0" w:space="0" w:color="auto"/>
        <w:right w:val="none" w:sz="0" w:space="0" w:color="auto"/>
      </w:divBdr>
    </w:div>
    <w:div w:id="874003410">
      <w:marLeft w:val="0"/>
      <w:marRight w:val="0"/>
      <w:marTop w:val="0"/>
      <w:marBottom w:val="0"/>
      <w:divBdr>
        <w:top w:val="none" w:sz="0" w:space="0" w:color="auto"/>
        <w:left w:val="none" w:sz="0" w:space="0" w:color="auto"/>
        <w:bottom w:val="none" w:sz="0" w:space="0" w:color="auto"/>
        <w:right w:val="none" w:sz="0" w:space="0" w:color="auto"/>
      </w:divBdr>
      <w:divsChild>
        <w:div w:id="874003412">
          <w:marLeft w:val="0"/>
          <w:marRight w:val="0"/>
          <w:marTop w:val="0"/>
          <w:marBottom w:val="0"/>
          <w:divBdr>
            <w:top w:val="none" w:sz="0" w:space="0" w:color="auto"/>
            <w:left w:val="none" w:sz="0" w:space="0" w:color="auto"/>
            <w:bottom w:val="none" w:sz="0" w:space="0" w:color="auto"/>
            <w:right w:val="none" w:sz="0" w:space="0" w:color="auto"/>
          </w:divBdr>
          <w:divsChild>
            <w:div w:id="874003416">
              <w:marLeft w:val="0"/>
              <w:marRight w:val="0"/>
              <w:marTop w:val="0"/>
              <w:marBottom w:val="0"/>
              <w:divBdr>
                <w:top w:val="none" w:sz="0" w:space="0" w:color="auto"/>
                <w:left w:val="none" w:sz="0" w:space="0" w:color="auto"/>
                <w:bottom w:val="none" w:sz="0" w:space="0" w:color="auto"/>
                <w:right w:val="none" w:sz="0" w:space="0" w:color="auto"/>
              </w:divBdr>
            </w:div>
          </w:divsChild>
        </w:div>
        <w:div w:id="874003413">
          <w:marLeft w:val="0"/>
          <w:marRight w:val="0"/>
          <w:marTop w:val="0"/>
          <w:marBottom w:val="0"/>
          <w:divBdr>
            <w:top w:val="none" w:sz="0" w:space="0" w:color="auto"/>
            <w:left w:val="none" w:sz="0" w:space="0" w:color="auto"/>
            <w:bottom w:val="none" w:sz="0" w:space="0" w:color="auto"/>
            <w:right w:val="none" w:sz="0" w:space="0" w:color="auto"/>
          </w:divBdr>
          <w:divsChild>
            <w:div w:id="874003414">
              <w:marLeft w:val="0"/>
              <w:marRight w:val="0"/>
              <w:marTop w:val="0"/>
              <w:marBottom w:val="0"/>
              <w:divBdr>
                <w:top w:val="none" w:sz="0" w:space="0" w:color="auto"/>
                <w:left w:val="none" w:sz="0" w:space="0" w:color="auto"/>
                <w:bottom w:val="none" w:sz="0" w:space="0" w:color="auto"/>
                <w:right w:val="none" w:sz="0" w:space="0" w:color="auto"/>
              </w:divBdr>
            </w:div>
          </w:divsChild>
        </w:div>
        <w:div w:id="874003415">
          <w:marLeft w:val="0"/>
          <w:marRight w:val="0"/>
          <w:marTop w:val="0"/>
          <w:marBottom w:val="0"/>
          <w:divBdr>
            <w:top w:val="none" w:sz="0" w:space="0" w:color="auto"/>
            <w:left w:val="none" w:sz="0" w:space="0" w:color="auto"/>
            <w:bottom w:val="none" w:sz="0" w:space="0" w:color="auto"/>
            <w:right w:val="none" w:sz="0" w:space="0" w:color="auto"/>
          </w:divBdr>
          <w:divsChild>
            <w:div w:id="874003411">
              <w:marLeft w:val="0"/>
              <w:marRight w:val="0"/>
              <w:marTop w:val="0"/>
              <w:marBottom w:val="0"/>
              <w:divBdr>
                <w:top w:val="none" w:sz="0" w:space="0" w:color="auto"/>
                <w:left w:val="none" w:sz="0" w:space="0" w:color="auto"/>
                <w:bottom w:val="none" w:sz="0" w:space="0" w:color="auto"/>
                <w:right w:val="none" w:sz="0" w:space="0" w:color="auto"/>
              </w:divBdr>
              <w:divsChild>
                <w:div w:id="8740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417">
          <w:marLeft w:val="0"/>
          <w:marRight w:val="0"/>
          <w:marTop w:val="0"/>
          <w:marBottom w:val="0"/>
          <w:divBdr>
            <w:top w:val="none" w:sz="0" w:space="0" w:color="auto"/>
            <w:left w:val="none" w:sz="0" w:space="0" w:color="auto"/>
            <w:bottom w:val="none" w:sz="0" w:space="0" w:color="auto"/>
            <w:right w:val="none" w:sz="0" w:space="0" w:color="auto"/>
          </w:divBdr>
        </w:div>
      </w:divsChild>
    </w:div>
    <w:div w:id="874003419">
      <w:marLeft w:val="0"/>
      <w:marRight w:val="0"/>
      <w:marTop w:val="0"/>
      <w:marBottom w:val="0"/>
      <w:divBdr>
        <w:top w:val="none" w:sz="0" w:space="0" w:color="auto"/>
        <w:left w:val="none" w:sz="0" w:space="0" w:color="auto"/>
        <w:bottom w:val="none" w:sz="0" w:space="0" w:color="auto"/>
        <w:right w:val="none" w:sz="0" w:space="0" w:color="auto"/>
      </w:divBdr>
      <w:divsChild>
        <w:div w:id="874003422">
          <w:marLeft w:val="0"/>
          <w:marRight w:val="0"/>
          <w:marTop w:val="0"/>
          <w:marBottom w:val="0"/>
          <w:divBdr>
            <w:top w:val="none" w:sz="0" w:space="0" w:color="auto"/>
            <w:left w:val="none" w:sz="0" w:space="0" w:color="auto"/>
            <w:bottom w:val="none" w:sz="0" w:space="0" w:color="auto"/>
            <w:right w:val="none" w:sz="0" w:space="0" w:color="auto"/>
          </w:divBdr>
          <w:divsChild>
            <w:div w:id="8740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426">
      <w:marLeft w:val="0"/>
      <w:marRight w:val="0"/>
      <w:marTop w:val="0"/>
      <w:marBottom w:val="0"/>
      <w:divBdr>
        <w:top w:val="none" w:sz="0" w:space="0" w:color="auto"/>
        <w:left w:val="none" w:sz="0" w:space="0" w:color="auto"/>
        <w:bottom w:val="none" w:sz="0" w:space="0" w:color="auto"/>
        <w:right w:val="none" w:sz="0" w:space="0" w:color="auto"/>
      </w:divBdr>
      <w:divsChild>
        <w:div w:id="874003423">
          <w:marLeft w:val="0"/>
          <w:marRight w:val="0"/>
          <w:marTop w:val="0"/>
          <w:marBottom w:val="0"/>
          <w:divBdr>
            <w:top w:val="none" w:sz="0" w:space="0" w:color="auto"/>
            <w:left w:val="none" w:sz="0" w:space="0" w:color="auto"/>
            <w:bottom w:val="none" w:sz="0" w:space="0" w:color="auto"/>
            <w:right w:val="none" w:sz="0" w:space="0" w:color="auto"/>
          </w:divBdr>
          <w:divsChild>
            <w:div w:id="874003425">
              <w:marLeft w:val="0"/>
              <w:marRight w:val="0"/>
              <w:marTop w:val="0"/>
              <w:marBottom w:val="0"/>
              <w:divBdr>
                <w:top w:val="none" w:sz="0" w:space="0" w:color="auto"/>
                <w:left w:val="none" w:sz="0" w:space="0" w:color="auto"/>
                <w:bottom w:val="none" w:sz="0" w:space="0" w:color="auto"/>
                <w:right w:val="none" w:sz="0" w:space="0" w:color="auto"/>
              </w:divBdr>
            </w:div>
          </w:divsChild>
        </w:div>
        <w:div w:id="874003424">
          <w:marLeft w:val="0"/>
          <w:marRight w:val="0"/>
          <w:marTop w:val="0"/>
          <w:marBottom w:val="0"/>
          <w:divBdr>
            <w:top w:val="none" w:sz="0" w:space="0" w:color="auto"/>
            <w:left w:val="none" w:sz="0" w:space="0" w:color="auto"/>
            <w:bottom w:val="none" w:sz="0" w:space="0" w:color="auto"/>
            <w:right w:val="none" w:sz="0" w:space="0" w:color="auto"/>
          </w:divBdr>
          <w:divsChild>
            <w:div w:id="874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430">
      <w:marLeft w:val="0"/>
      <w:marRight w:val="0"/>
      <w:marTop w:val="0"/>
      <w:marBottom w:val="0"/>
      <w:divBdr>
        <w:top w:val="none" w:sz="0" w:space="0" w:color="auto"/>
        <w:left w:val="none" w:sz="0" w:space="0" w:color="auto"/>
        <w:bottom w:val="none" w:sz="0" w:space="0" w:color="auto"/>
        <w:right w:val="none" w:sz="0" w:space="0" w:color="auto"/>
      </w:divBdr>
      <w:divsChild>
        <w:div w:id="874003440">
          <w:marLeft w:val="0"/>
          <w:marRight w:val="0"/>
          <w:marTop w:val="0"/>
          <w:marBottom w:val="0"/>
          <w:divBdr>
            <w:top w:val="none" w:sz="0" w:space="0" w:color="auto"/>
            <w:left w:val="none" w:sz="0" w:space="0" w:color="auto"/>
            <w:bottom w:val="none" w:sz="0" w:space="0" w:color="auto"/>
            <w:right w:val="none" w:sz="0" w:space="0" w:color="auto"/>
          </w:divBdr>
          <w:divsChild>
            <w:div w:id="874003434">
              <w:marLeft w:val="0"/>
              <w:marRight w:val="0"/>
              <w:marTop w:val="0"/>
              <w:marBottom w:val="0"/>
              <w:divBdr>
                <w:top w:val="none" w:sz="0" w:space="0" w:color="auto"/>
                <w:left w:val="none" w:sz="0" w:space="0" w:color="auto"/>
                <w:bottom w:val="none" w:sz="0" w:space="0" w:color="auto"/>
                <w:right w:val="none" w:sz="0" w:space="0" w:color="auto"/>
              </w:divBdr>
              <w:divsChild>
                <w:div w:id="874003404">
                  <w:marLeft w:val="0"/>
                  <w:marRight w:val="0"/>
                  <w:marTop w:val="0"/>
                  <w:marBottom w:val="0"/>
                  <w:divBdr>
                    <w:top w:val="none" w:sz="0" w:space="0" w:color="auto"/>
                    <w:left w:val="none" w:sz="0" w:space="0" w:color="auto"/>
                    <w:bottom w:val="none" w:sz="0" w:space="0" w:color="auto"/>
                    <w:right w:val="none" w:sz="0" w:space="0" w:color="auto"/>
                  </w:divBdr>
                  <w:divsChild>
                    <w:div w:id="874003442">
                      <w:marLeft w:val="0"/>
                      <w:marRight w:val="0"/>
                      <w:marTop w:val="0"/>
                      <w:marBottom w:val="0"/>
                      <w:divBdr>
                        <w:top w:val="none" w:sz="0" w:space="0" w:color="auto"/>
                        <w:left w:val="none" w:sz="0" w:space="0" w:color="auto"/>
                        <w:bottom w:val="none" w:sz="0" w:space="0" w:color="auto"/>
                        <w:right w:val="none" w:sz="0" w:space="0" w:color="auto"/>
                      </w:divBdr>
                      <w:divsChild>
                        <w:div w:id="874003409">
                          <w:marLeft w:val="0"/>
                          <w:marRight w:val="0"/>
                          <w:marTop w:val="0"/>
                          <w:marBottom w:val="0"/>
                          <w:divBdr>
                            <w:top w:val="none" w:sz="0" w:space="0" w:color="auto"/>
                            <w:left w:val="none" w:sz="0" w:space="0" w:color="auto"/>
                            <w:bottom w:val="none" w:sz="0" w:space="0" w:color="auto"/>
                            <w:right w:val="none" w:sz="0" w:space="0" w:color="auto"/>
                          </w:divBdr>
                          <w:divsChild>
                            <w:div w:id="874003431">
                              <w:marLeft w:val="0"/>
                              <w:marRight w:val="0"/>
                              <w:marTop w:val="0"/>
                              <w:marBottom w:val="0"/>
                              <w:divBdr>
                                <w:top w:val="none" w:sz="0" w:space="0" w:color="auto"/>
                                <w:left w:val="none" w:sz="0" w:space="0" w:color="auto"/>
                                <w:bottom w:val="none" w:sz="0" w:space="0" w:color="auto"/>
                                <w:right w:val="none" w:sz="0" w:space="0" w:color="auto"/>
                              </w:divBdr>
                              <w:divsChild>
                                <w:div w:id="874003437">
                                  <w:marLeft w:val="0"/>
                                  <w:marRight w:val="0"/>
                                  <w:marTop w:val="0"/>
                                  <w:marBottom w:val="0"/>
                                  <w:divBdr>
                                    <w:top w:val="none" w:sz="0" w:space="0" w:color="auto"/>
                                    <w:left w:val="none" w:sz="0" w:space="0" w:color="auto"/>
                                    <w:bottom w:val="none" w:sz="0" w:space="0" w:color="auto"/>
                                    <w:right w:val="none" w:sz="0" w:space="0" w:color="auto"/>
                                  </w:divBdr>
                                  <w:divsChild>
                                    <w:div w:id="874003433">
                                      <w:marLeft w:val="0"/>
                                      <w:marRight w:val="0"/>
                                      <w:marTop w:val="0"/>
                                      <w:marBottom w:val="0"/>
                                      <w:divBdr>
                                        <w:top w:val="none" w:sz="0" w:space="0" w:color="auto"/>
                                        <w:left w:val="none" w:sz="0" w:space="0" w:color="auto"/>
                                        <w:bottom w:val="none" w:sz="0" w:space="0" w:color="auto"/>
                                        <w:right w:val="none" w:sz="0" w:space="0" w:color="auto"/>
                                      </w:divBdr>
                                      <w:divsChild>
                                        <w:div w:id="874003432">
                                          <w:marLeft w:val="0"/>
                                          <w:marRight w:val="0"/>
                                          <w:marTop w:val="0"/>
                                          <w:marBottom w:val="0"/>
                                          <w:divBdr>
                                            <w:top w:val="none" w:sz="0" w:space="0" w:color="auto"/>
                                            <w:left w:val="none" w:sz="0" w:space="0" w:color="auto"/>
                                            <w:bottom w:val="none" w:sz="0" w:space="0" w:color="auto"/>
                                            <w:right w:val="none" w:sz="0" w:space="0" w:color="auto"/>
                                          </w:divBdr>
                                          <w:divsChild>
                                            <w:div w:id="874003405">
                                              <w:marLeft w:val="1125"/>
                                              <w:marRight w:val="600"/>
                                              <w:marTop w:val="0"/>
                                              <w:marBottom w:val="0"/>
                                              <w:divBdr>
                                                <w:top w:val="none" w:sz="0" w:space="0" w:color="auto"/>
                                                <w:left w:val="none" w:sz="0" w:space="0" w:color="auto"/>
                                                <w:bottom w:val="none" w:sz="0" w:space="0" w:color="auto"/>
                                                <w:right w:val="none" w:sz="0" w:space="0" w:color="auto"/>
                                              </w:divBdr>
                                            </w:div>
                                            <w:div w:id="874003406">
                                              <w:marLeft w:val="1125"/>
                                              <w:marRight w:val="600"/>
                                              <w:marTop w:val="0"/>
                                              <w:marBottom w:val="0"/>
                                              <w:divBdr>
                                                <w:top w:val="none" w:sz="0" w:space="0" w:color="auto"/>
                                                <w:left w:val="none" w:sz="0" w:space="0" w:color="auto"/>
                                                <w:bottom w:val="none" w:sz="0" w:space="0" w:color="auto"/>
                                                <w:right w:val="none" w:sz="0" w:space="0" w:color="auto"/>
                                              </w:divBdr>
                                            </w:div>
                                            <w:div w:id="874003407">
                                              <w:marLeft w:val="1125"/>
                                              <w:marRight w:val="600"/>
                                              <w:marTop w:val="0"/>
                                              <w:marBottom w:val="0"/>
                                              <w:divBdr>
                                                <w:top w:val="none" w:sz="0" w:space="0" w:color="auto"/>
                                                <w:left w:val="none" w:sz="0" w:space="0" w:color="auto"/>
                                                <w:bottom w:val="none" w:sz="0" w:space="0" w:color="auto"/>
                                                <w:right w:val="none" w:sz="0" w:space="0" w:color="auto"/>
                                              </w:divBdr>
                                            </w:div>
                                            <w:div w:id="874003408">
                                              <w:marLeft w:val="1125"/>
                                              <w:marRight w:val="600"/>
                                              <w:marTop w:val="0"/>
                                              <w:marBottom w:val="0"/>
                                              <w:divBdr>
                                                <w:top w:val="none" w:sz="0" w:space="0" w:color="auto"/>
                                                <w:left w:val="none" w:sz="0" w:space="0" w:color="auto"/>
                                                <w:bottom w:val="none" w:sz="0" w:space="0" w:color="auto"/>
                                                <w:right w:val="none" w:sz="0" w:space="0" w:color="auto"/>
                                              </w:divBdr>
                                            </w:div>
                                            <w:div w:id="874003427">
                                              <w:marLeft w:val="1125"/>
                                              <w:marRight w:val="600"/>
                                              <w:marTop w:val="0"/>
                                              <w:marBottom w:val="0"/>
                                              <w:divBdr>
                                                <w:top w:val="none" w:sz="0" w:space="0" w:color="auto"/>
                                                <w:left w:val="none" w:sz="0" w:space="0" w:color="auto"/>
                                                <w:bottom w:val="none" w:sz="0" w:space="0" w:color="auto"/>
                                                <w:right w:val="none" w:sz="0" w:space="0" w:color="auto"/>
                                              </w:divBdr>
                                            </w:div>
                                            <w:div w:id="874003428">
                                              <w:marLeft w:val="1125"/>
                                              <w:marRight w:val="600"/>
                                              <w:marTop w:val="0"/>
                                              <w:marBottom w:val="0"/>
                                              <w:divBdr>
                                                <w:top w:val="none" w:sz="0" w:space="0" w:color="auto"/>
                                                <w:left w:val="none" w:sz="0" w:space="0" w:color="auto"/>
                                                <w:bottom w:val="none" w:sz="0" w:space="0" w:color="auto"/>
                                                <w:right w:val="none" w:sz="0" w:space="0" w:color="auto"/>
                                              </w:divBdr>
                                            </w:div>
                                            <w:div w:id="874003429">
                                              <w:marLeft w:val="1125"/>
                                              <w:marRight w:val="600"/>
                                              <w:marTop w:val="0"/>
                                              <w:marBottom w:val="0"/>
                                              <w:divBdr>
                                                <w:top w:val="none" w:sz="0" w:space="0" w:color="auto"/>
                                                <w:left w:val="none" w:sz="0" w:space="0" w:color="auto"/>
                                                <w:bottom w:val="none" w:sz="0" w:space="0" w:color="auto"/>
                                                <w:right w:val="none" w:sz="0" w:space="0" w:color="auto"/>
                                              </w:divBdr>
                                            </w:div>
                                            <w:div w:id="874003435">
                                              <w:marLeft w:val="1125"/>
                                              <w:marRight w:val="600"/>
                                              <w:marTop w:val="0"/>
                                              <w:marBottom w:val="0"/>
                                              <w:divBdr>
                                                <w:top w:val="none" w:sz="0" w:space="0" w:color="auto"/>
                                                <w:left w:val="none" w:sz="0" w:space="0" w:color="auto"/>
                                                <w:bottom w:val="none" w:sz="0" w:space="0" w:color="auto"/>
                                                <w:right w:val="none" w:sz="0" w:space="0" w:color="auto"/>
                                              </w:divBdr>
                                            </w:div>
                                            <w:div w:id="874003436">
                                              <w:marLeft w:val="1125"/>
                                              <w:marRight w:val="600"/>
                                              <w:marTop w:val="0"/>
                                              <w:marBottom w:val="0"/>
                                              <w:divBdr>
                                                <w:top w:val="none" w:sz="0" w:space="0" w:color="auto"/>
                                                <w:left w:val="none" w:sz="0" w:space="0" w:color="auto"/>
                                                <w:bottom w:val="none" w:sz="0" w:space="0" w:color="auto"/>
                                                <w:right w:val="none" w:sz="0" w:space="0" w:color="auto"/>
                                              </w:divBdr>
                                            </w:div>
                                            <w:div w:id="874003438">
                                              <w:marLeft w:val="1125"/>
                                              <w:marRight w:val="600"/>
                                              <w:marTop w:val="0"/>
                                              <w:marBottom w:val="0"/>
                                              <w:divBdr>
                                                <w:top w:val="none" w:sz="0" w:space="0" w:color="auto"/>
                                                <w:left w:val="none" w:sz="0" w:space="0" w:color="auto"/>
                                                <w:bottom w:val="none" w:sz="0" w:space="0" w:color="auto"/>
                                                <w:right w:val="none" w:sz="0" w:space="0" w:color="auto"/>
                                              </w:divBdr>
                                            </w:div>
                                            <w:div w:id="874003439">
                                              <w:marLeft w:val="1125"/>
                                              <w:marRight w:val="600"/>
                                              <w:marTop w:val="0"/>
                                              <w:marBottom w:val="0"/>
                                              <w:divBdr>
                                                <w:top w:val="none" w:sz="0" w:space="0" w:color="auto"/>
                                                <w:left w:val="none" w:sz="0" w:space="0" w:color="auto"/>
                                                <w:bottom w:val="none" w:sz="0" w:space="0" w:color="auto"/>
                                                <w:right w:val="none" w:sz="0" w:space="0" w:color="auto"/>
                                              </w:divBdr>
                                            </w:div>
                                            <w:div w:id="874003441">
                                              <w:marLeft w:val="1125"/>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07485">
      <w:bodyDiv w:val="1"/>
      <w:marLeft w:val="0"/>
      <w:marRight w:val="0"/>
      <w:marTop w:val="0"/>
      <w:marBottom w:val="0"/>
      <w:divBdr>
        <w:top w:val="none" w:sz="0" w:space="0" w:color="auto"/>
        <w:left w:val="none" w:sz="0" w:space="0" w:color="auto"/>
        <w:bottom w:val="none" w:sz="0" w:space="0" w:color="auto"/>
        <w:right w:val="none" w:sz="0" w:space="0" w:color="auto"/>
      </w:divBdr>
    </w:div>
    <w:div w:id="21243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A0B5-23F1-4B57-B8C6-71B72420A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7D471-C770-45B9-84A3-B5087B7516B3}">
  <ds:schemaRefs>
    <ds:schemaRef ds:uri="http://schemas.microsoft.com/sharepoint/v3/contenttype/forms"/>
  </ds:schemaRefs>
</ds:datastoreItem>
</file>

<file path=customXml/itemProps3.xml><?xml version="1.0" encoding="utf-8"?>
<ds:datastoreItem xmlns:ds="http://schemas.openxmlformats.org/officeDocument/2006/customXml" ds:itemID="{51022A0B-A9CB-4C89-90BF-10477AAF0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F757F-4D6B-4AEF-973F-64AE3D1E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11101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Radić Tanja</dc:creator>
  <cp:keywords/>
  <dc:description/>
  <cp:lastModifiedBy>Radić Tanja</cp:lastModifiedBy>
  <cp:revision>2</cp:revision>
  <dcterms:created xsi:type="dcterms:W3CDTF">2021-10-07T10:10:00Z</dcterms:created>
  <dcterms:modified xsi:type="dcterms:W3CDTF">2021-10-07T10:10:00Z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